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6624C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4191635" cy="2172970"/>
            <wp:effectExtent l="0" t="0" r="12065" b="11430"/>
            <wp:docPr id="2" name="图片 2" descr="Fig.S1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1-G"/>
                    <pic:cNvPicPr>
                      <a:picLocks noChangeAspect="1"/>
                    </pic:cNvPicPr>
                  </pic:nvPicPr>
                  <pic:blipFill>
                    <a:blip r:embed="rId4"/>
                    <a:srcRect l="5335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DD4D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. S1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Home pages the platforms for B-cell epitope prediction by the OptimumAntigen</w:t>
      </w:r>
      <w:r>
        <w:rPr>
          <w:rFonts w:ascii="Times New Roman" w:hAnsi="Times New Roman"/>
          <w:color w:val="000000"/>
          <w:kern w:val="0"/>
          <w:sz w:val="14"/>
          <w:szCs w:val="14"/>
          <w:lang w:bidi="ar"/>
        </w:rPr>
        <w:t xml:space="preserve">TM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Design Tool (A) and T-cell epitope prediction by IEDB (B).</w:t>
      </w:r>
    </w:p>
    <w:p w14:paraId="5D59DFFE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3274603F">
      <w:pPr>
        <w:widowControl/>
        <w:jc w:val="center"/>
        <w:rPr>
          <w:rFonts w:hint="eastAsia" w:ascii="Times New Roman" w:hAnsi="Times New Roman"/>
          <w:color w:val="000000"/>
          <w:kern w:val="0"/>
          <w:szCs w:val="21"/>
          <w:lang w:bidi="ar"/>
        </w:rPr>
      </w:pP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drawing>
          <wp:inline distT="0" distB="0" distL="114300" distR="114300">
            <wp:extent cx="4406265" cy="3216910"/>
            <wp:effectExtent l="0" t="0" r="635" b="8890"/>
            <wp:docPr id="6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E744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. S2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pET-28a-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O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mp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W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sequencing.</w:t>
      </w:r>
    </w:p>
    <w:p w14:paraId="7739073C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</w:p>
    <w:p w14:paraId="6730CF72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4795520" cy="1913255"/>
            <wp:effectExtent l="0" t="0" r="5080" b="4445"/>
            <wp:docPr id="7" name="图片 7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1244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. S3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Mass spectrometry (A) and liquid chromatography (B) of the multiepitope peptide rOmpW.</w:t>
      </w:r>
    </w:p>
    <w:p w14:paraId="46A9C3E4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  <w:bookmarkStart w:id="1" w:name="_GoBack"/>
      <w:bookmarkEnd w:id="1"/>
    </w:p>
    <w:p w14:paraId="1B643D20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4053840" cy="2298700"/>
            <wp:effectExtent l="0" t="0" r="0" b="0"/>
            <wp:docPr id="8" name="图片 8" descr="Fig.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.S4"/>
                    <pic:cNvPicPr>
                      <a:picLocks noChangeAspect="1"/>
                    </pic:cNvPicPr>
                  </pic:nvPicPr>
                  <pic:blipFill>
                    <a:blip r:embed="rId7"/>
                    <a:srcRect l="1735" t="4294" r="1931" b="3170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3DD1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. S4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Assessment of the lethal dose of </w:t>
      </w:r>
      <w:r>
        <w:rPr>
          <w:rFonts w:ascii="Times New Roman" w:hAnsi="Times New Roman"/>
          <w:i/>
          <w:iCs/>
          <w:color w:val="000000"/>
          <w:kern w:val="0"/>
          <w:szCs w:val="21"/>
          <w:lang w:bidi="ar"/>
        </w:rPr>
        <w:t>A. baumannii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ATCC17978.</w:t>
      </w:r>
    </w:p>
    <w:p w14:paraId="3DD1F3DD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752B0B2E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4066540" cy="2906395"/>
            <wp:effectExtent l="0" t="0" r="0" b="0"/>
            <wp:docPr id="9" name="图片 9" descr="Fig.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S5"/>
                    <pic:cNvPicPr>
                      <a:picLocks noChangeAspect="1"/>
                    </pic:cNvPicPr>
                  </pic:nvPicPr>
                  <pic:blipFill>
                    <a:blip r:embed="rId8"/>
                    <a:srcRect r="3394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0084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 xml:space="preserve">Fig. S5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Survival rates (A), body weight changes (B) and clinical scores (C) each day after </w:t>
      </w:r>
      <w:r>
        <w:rPr>
          <w:rFonts w:ascii="Times New Roman" w:hAnsi="Times New Roman"/>
          <w:i/>
          <w:iCs/>
          <w:color w:val="000000"/>
          <w:kern w:val="0"/>
          <w:szCs w:val="21"/>
          <w:lang w:bidi="ar"/>
        </w:rPr>
        <w:t>A. baumannii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challenge.</w:t>
      </w:r>
    </w:p>
    <w:p w14:paraId="57B6D568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</w:t>
      </w:r>
    </w:p>
    <w:p w14:paraId="493A286F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2077085" cy="1694815"/>
            <wp:effectExtent l="0" t="0" r="5715" b="6985"/>
            <wp:docPr id="10" name="图片 10" descr="Fig.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.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98F3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  <w:bookmarkStart w:id="0" w:name="OLE_LINK2"/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>. S</w:t>
      </w:r>
      <w:bookmarkEnd w:id="0"/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6 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Human peripheral blood neutrophils.</w:t>
      </w:r>
    </w:p>
    <w:p w14:paraId="2292F9AD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2844D479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0674FDFA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32CAC052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2F634059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3855720" cy="1814195"/>
            <wp:effectExtent l="0" t="0" r="0" b="0"/>
            <wp:docPr id="1" name="图片 1" descr="Fig.S7-G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.S7-G(1)"/>
                    <pic:cNvPicPr>
                      <a:picLocks noChangeAspect="1"/>
                    </pic:cNvPicPr>
                  </pic:nvPicPr>
                  <pic:blipFill>
                    <a:blip r:embed="rId10"/>
                    <a:srcRect l="4783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2B16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>. S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val="en-US" w:eastAsia="zh-CN" w:bidi="ar"/>
        </w:rPr>
        <w:t xml:space="preserve">7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Mass spectrometry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(</w:t>
      </w:r>
      <w:r>
        <w:rPr>
          <w:rFonts w:hint="eastAsia" w:ascii="Times New Roman" w:hAnsi="Times New Roman"/>
          <w:color w:val="000000"/>
          <w:kern w:val="0"/>
          <w:szCs w:val="21"/>
          <w:lang w:val="en-US" w:eastAsia="zh-CN" w:bidi="ar"/>
        </w:rPr>
        <w:t>A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) and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l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iquid chromatography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(</w:t>
      </w:r>
      <w:r>
        <w:rPr>
          <w:rFonts w:hint="eastAsia" w:ascii="Times New Roman" w:hAnsi="Times New Roman"/>
          <w:color w:val="000000"/>
          <w:kern w:val="0"/>
          <w:szCs w:val="21"/>
          <w:lang w:val="en-US" w:eastAsia="zh-CN" w:bidi="ar"/>
        </w:rPr>
        <w:t>B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 xml:space="preserve">) 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>o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f DCpep.</w:t>
      </w:r>
    </w:p>
    <w:p w14:paraId="47C111CA">
      <w:pPr>
        <w:widowControl/>
        <w:jc w:val="left"/>
        <w:rPr>
          <w:rFonts w:hint="eastAsia" w:ascii="Times New Roman" w:hAnsi="Times New Roman"/>
          <w:color w:val="000000"/>
          <w:kern w:val="0"/>
          <w:szCs w:val="21"/>
          <w:lang w:bidi="ar"/>
        </w:rPr>
      </w:pPr>
    </w:p>
    <w:p w14:paraId="39035303">
      <w:pPr>
        <w:widowControl/>
        <w:jc w:val="center"/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</w:pPr>
      <w:r>
        <w:rPr>
          <w:rFonts w:hint="eastAsia" w:ascii="Times New Roman" w:hAnsi="Times New Roman" w:eastAsia="宋体"/>
          <w:color w:val="000000"/>
          <w:kern w:val="0"/>
          <w:szCs w:val="21"/>
          <w:lang w:eastAsia="zh-CN" w:bidi="ar"/>
        </w:rPr>
        <w:drawing>
          <wp:inline distT="0" distB="0" distL="114300" distR="114300">
            <wp:extent cx="3964940" cy="3550920"/>
            <wp:effectExtent l="0" t="0" r="10160" b="5080"/>
            <wp:docPr id="12" name="图片 12" descr="Fig.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.S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D027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4"/>
          <w:lang w:bidi="ar"/>
        </w:rPr>
        <w:t>Fig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>. S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val="en-US" w:eastAsia="zh-CN" w:bidi="ar"/>
        </w:rPr>
        <w:t>8</w:t>
      </w:r>
      <w:r>
        <w:rPr>
          <w:rFonts w:hint="eastAsia" w:ascii="Times New Roman" w:hAnsi="Times New Roman"/>
          <w:b/>
          <w:bCs/>
          <w:color w:val="000000"/>
          <w:kern w:val="0"/>
          <w:sz w:val="24"/>
          <w:lang w:bidi="ar"/>
        </w:rPr>
        <w:t xml:space="preserve"> </w:t>
      </w:r>
      <w:r>
        <w:rPr>
          <w:rFonts w:hint="eastAsia" w:ascii="Times New Roman" w:hAnsi="Times New Roman"/>
          <w:color w:val="000000"/>
          <w:kern w:val="0"/>
          <w:szCs w:val="21"/>
          <w:lang w:bidi="ar"/>
        </w:rPr>
        <w:t>Safety evaluation of DCpep-NM-PLGA-rOmpW</w:t>
      </w:r>
    </w:p>
    <w:p w14:paraId="1E5A2D58">
      <w:pPr>
        <w:widowControl/>
        <w:jc w:val="left"/>
        <w:rPr>
          <w:rFonts w:ascii="Times New Roman" w:hAnsi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Cs w:val="21"/>
          <w:lang w:bidi="ar"/>
        </w:rPr>
        <w:t>Notes: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Cytotoxicity of DCpep-NM-PLGA-rOmpW and DCpep-NM-PLGA-PBS to A549 cells (A-B). Liver and kidney functions in different groups (C-F). HE staining of major organs (G).</w:t>
      </w:r>
    </w:p>
    <w:p w14:paraId="5ED31DDD">
      <w:pPr>
        <w:rPr>
          <w:rFonts w:ascii="Times New Roman" w:hAnsi="Times New Roman" w:eastAsia="GillSansMT-Identity-H"/>
          <w:color w:val="000000"/>
          <w:kern w:val="0"/>
          <w:sz w:val="24"/>
          <w:lang w:bidi="ar"/>
        </w:rPr>
      </w:pPr>
    </w:p>
    <w:p w14:paraId="7512E29B"/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illSansMT-Identity-H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ZjRlNmVhYWMyOTJjODgxZTU0OWQwZmIwZmRjYjYifQ=="/>
  </w:docVars>
  <w:rsids>
    <w:rsidRoot w:val="00000000"/>
    <w:rsid w:val="29397C98"/>
    <w:rsid w:val="2CC0368A"/>
    <w:rsid w:val="62BC79C8"/>
    <w:rsid w:val="672A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116</Words>
  <Characters>672</Characters>
  <Lines>0</Lines>
  <Paragraphs>0</Paragraphs>
  <TotalTime>41</TotalTime>
  <ScaleCrop>false</ScaleCrop>
  <LinksUpToDate>false</LinksUpToDate>
  <CharactersWithSpaces>780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2024-11-19T07:13:00Z</dcterms:created>
  <dc:creator>zhuch</dc:creator>
  <cp:lastModifiedBy>蔡小卷</cp:lastModifiedBy>
  <dcterms:modified xsi:type="dcterms:W3CDTF">2024-11-21T09:43:58Z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156BF446FCAB4AAC944FE7EF732404AB_12</vt:lpwstr>
  </property>
</Properties>
</file>