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203186" w14:textId="77777777" w:rsidR="00752B6E" w:rsidRDefault="00752B6E" w:rsidP="00752B6E">
      <w:r>
        <w:rPr>
          <w:noProof/>
        </w:rPr>
        <w:drawing>
          <wp:inline distT="0" distB="0" distL="0" distR="0" wp14:anchorId="1754F2F2" wp14:editId="41258EAE">
            <wp:extent cx="5943600" cy="6910705"/>
            <wp:effectExtent l="0" t="0" r="0" b="0"/>
            <wp:docPr id="756652886" name="Picture 7" descr="A screenshot of a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6652886" name="Picture 7" descr="A screenshot of a char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910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18ADCE" w14:textId="77777777" w:rsidR="00752B6E" w:rsidRDefault="00752B6E" w:rsidP="00752B6E">
      <w:pPr>
        <w:jc w:val="both"/>
        <w:rPr>
          <w:b/>
          <w:bCs/>
        </w:rPr>
      </w:pPr>
      <w:r>
        <w:rPr>
          <w:b/>
          <w:bCs/>
        </w:rPr>
        <w:t>Extended Data Fig 1: Cohort demographics, batch correction, and cell annotations.</w:t>
      </w:r>
    </w:p>
    <w:p w14:paraId="4FD0A6A7" w14:textId="77777777" w:rsidR="00752B6E" w:rsidRPr="0096682B" w:rsidRDefault="00752B6E" w:rsidP="00752B6E">
      <w:pPr>
        <w:jc w:val="both"/>
        <w:rPr>
          <w:b/>
          <w:bCs/>
        </w:rPr>
      </w:pPr>
      <w:r>
        <w:rPr>
          <w:b/>
          <w:bCs/>
        </w:rPr>
        <w:t>a</w:t>
      </w:r>
      <w:r w:rsidRPr="00E35D2F">
        <w:t>,</w:t>
      </w:r>
      <w:r>
        <w:t xml:space="preserve"> Age distribution by clinical condition. COVID-19 represents moderate and severe infants. RSV represents infants with mild, moderate and severe disease. Statistical comparisons were performed using Kruskal-Wallis test. </w:t>
      </w:r>
      <w:r w:rsidRPr="001844C5">
        <w:rPr>
          <w:b/>
          <w:bCs/>
        </w:rPr>
        <w:t>b</w:t>
      </w:r>
      <w:r>
        <w:t>,</w:t>
      </w:r>
      <w:r w:rsidRPr="001844C5">
        <w:rPr>
          <w:b/>
          <w:bCs/>
        </w:rPr>
        <w:t>c</w:t>
      </w:r>
      <w:r>
        <w:t xml:space="preserve">, Sample counts by sex/ancestry and clinical condition. Statistical comparisons were performed using Chi-squared test (delta degrees of freedom=0). </w:t>
      </w:r>
      <w:r w:rsidRPr="001844C5">
        <w:rPr>
          <w:b/>
          <w:bCs/>
        </w:rPr>
        <w:t>d</w:t>
      </w:r>
      <w:r>
        <w:t>,</w:t>
      </w:r>
      <w:r w:rsidRPr="001844C5">
        <w:rPr>
          <w:b/>
          <w:bCs/>
        </w:rPr>
        <w:t>e</w:t>
      </w:r>
      <w:r>
        <w:t xml:space="preserve">, UMAPs before and after batch correction with Harmony (for scRNA-seq) and BBKNN (for snATAC-seq). </w:t>
      </w:r>
      <w:r w:rsidRPr="00671BCA">
        <w:rPr>
          <w:b/>
          <w:bCs/>
        </w:rPr>
        <w:t>f</w:t>
      </w:r>
      <w:r>
        <w:t xml:space="preserve">, Marker gene expression describing all annotated PBMC </w:t>
      </w:r>
      <w:r>
        <w:lastRenderedPageBreak/>
        <w:t xml:space="preserve">subsets for scRNA-seq. </w:t>
      </w:r>
      <w:r w:rsidRPr="009C441C">
        <w:rPr>
          <w:b/>
          <w:bCs/>
        </w:rPr>
        <w:t>g</w:t>
      </w:r>
      <w:r>
        <w:t>, Prediction scores from canonical correlation analysis (CCA) of scRNA-seq annotations (gene expression) onto snATAC-seq clusters (gene activity scores).</w:t>
      </w:r>
    </w:p>
    <w:p w14:paraId="12964750" w14:textId="77777777" w:rsidR="00752B6E" w:rsidRDefault="00752B6E" w:rsidP="00752B6E">
      <w:r>
        <w:br w:type="page"/>
      </w:r>
    </w:p>
    <w:p w14:paraId="2A3A7818" w14:textId="77777777" w:rsidR="00752B6E" w:rsidRDefault="00752B6E" w:rsidP="00752B6E">
      <w:r>
        <w:rPr>
          <w:noProof/>
        </w:rPr>
        <w:lastRenderedPageBreak/>
        <w:drawing>
          <wp:inline distT="0" distB="0" distL="0" distR="0" wp14:anchorId="592A7122" wp14:editId="4F8BCC33">
            <wp:extent cx="5943600" cy="7143750"/>
            <wp:effectExtent l="0" t="0" r="0" b="6350"/>
            <wp:docPr id="63715449" name="Picture 8" descr="A chart of different colored and black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715449" name="Picture 8" descr="A chart of different colored and black numbers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14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1DF4C2" w14:textId="77777777" w:rsidR="00752B6E" w:rsidRPr="00EA4A6F" w:rsidRDefault="00752B6E" w:rsidP="00752B6E">
      <w:pPr>
        <w:jc w:val="both"/>
        <w:rPr>
          <w:b/>
          <w:bCs/>
        </w:rPr>
      </w:pPr>
      <w:r w:rsidRPr="00EA4A6F">
        <w:rPr>
          <w:b/>
          <w:bCs/>
        </w:rPr>
        <w:t>Extended Data Fig. 2:</w:t>
      </w:r>
      <w:r>
        <w:rPr>
          <w:b/>
          <w:bCs/>
        </w:rPr>
        <w:t xml:space="preserve"> Cell frequency and transcriptional responses of SARS-CoV-2 and RSV in myeloid cells.</w:t>
      </w:r>
    </w:p>
    <w:p w14:paraId="38436741" w14:textId="77777777" w:rsidR="00752B6E" w:rsidRDefault="00752B6E" w:rsidP="00752B6E">
      <w:pPr>
        <w:jc w:val="both"/>
      </w:pPr>
      <w:r w:rsidRPr="00042D8E">
        <w:rPr>
          <w:b/>
          <w:bCs/>
        </w:rPr>
        <w:t>a</w:t>
      </w:r>
      <w:r>
        <w:t>, Healthy control comparisons with clinical groups for total CD14</w:t>
      </w:r>
      <w:r w:rsidRPr="00042D8E">
        <w:rPr>
          <w:vertAlign w:val="superscript"/>
        </w:rPr>
        <w:t>+</w:t>
      </w:r>
      <w:r>
        <w:t xml:space="preserve"> and CD16</w:t>
      </w:r>
      <w:r w:rsidRPr="00042D8E">
        <w:rPr>
          <w:vertAlign w:val="superscript"/>
        </w:rPr>
        <w:t>+</w:t>
      </w:r>
      <w:r>
        <w:t xml:space="preserve"> monocytes, DCs, and pDCs as a percentage of total PBMCs. </w:t>
      </w:r>
      <w:r>
        <w:rPr>
          <w:b/>
          <w:bCs/>
        </w:rPr>
        <w:t>b</w:t>
      </w:r>
      <w:r>
        <w:t xml:space="preserve">, Pairwise comparisons of cell frequencies as a percent of total PBMCs for DC subsets. </w:t>
      </w:r>
      <w:r w:rsidRPr="000747C4">
        <w:rPr>
          <w:b/>
          <w:bCs/>
        </w:rPr>
        <w:t>c</w:t>
      </w:r>
      <w:r w:rsidRPr="000747C4">
        <w:t>,</w:t>
      </w:r>
      <w:r>
        <w:t xml:space="preserve"> UMAP of clinical conditions and </w:t>
      </w:r>
      <w:r w:rsidRPr="000747C4">
        <w:rPr>
          <w:i/>
          <w:iCs/>
        </w:rPr>
        <w:t>ISG15</w:t>
      </w:r>
      <w:r>
        <w:t xml:space="preserve"> </w:t>
      </w:r>
      <w:r>
        <w:lastRenderedPageBreak/>
        <w:t xml:space="preserve">expression. </w:t>
      </w:r>
      <w:r w:rsidRPr="000747C4">
        <w:rPr>
          <w:b/>
          <w:bCs/>
        </w:rPr>
        <w:t>d</w:t>
      </w:r>
      <w:r>
        <w:t xml:space="preserve">, Pairwise comparisons of ISG scores for total DCs and pDCs. </w:t>
      </w:r>
      <w:r w:rsidRPr="009D5077">
        <w:rPr>
          <w:b/>
          <w:bCs/>
        </w:rPr>
        <w:t>e</w:t>
      </w:r>
      <w:r>
        <w:t>, Pairwise comparisons of ISG</w:t>
      </w:r>
      <w:r w:rsidRPr="00697EFD">
        <w:rPr>
          <w:vertAlign w:val="superscript"/>
        </w:rPr>
        <w:t>hi</w:t>
      </w:r>
      <w:r>
        <w:t xml:space="preserve"> state cell frequencies as a percent of total PBMCs for CD14</w:t>
      </w:r>
      <w:r w:rsidRPr="00557063">
        <w:rPr>
          <w:vertAlign w:val="superscript"/>
        </w:rPr>
        <w:t>+</w:t>
      </w:r>
      <w:r>
        <w:t xml:space="preserve"> monocytes and CD16</w:t>
      </w:r>
      <w:r w:rsidRPr="00557063">
        <w:rPr>
          <w:vertAlign w:val="superscript"/>
        </w:rPr>
        <w:t>+</w:t>
      </w:r>
      <w:r>
        <w:t xml:space="preserve"> monocytes. </w:t>
      </w:r>
      <w:r>
        <w:rPr>
          <w:b/>
          <w:bCs/>
        </w:rPr>
        <w:t>f</w:t>
      </w:r>
      <w:r w:rsidRPr="005773DD">
        <w:t xml:space="preserve">, </w:t>
      </w:r>
      <w:r>
        <w:t>Heatmap of combined healthy vs COVID-19 (moderate and severe) and healthy vs RSV (mild, moderate and severe) differentially expressed genes and top differentially expressed genes in CD16</w:t>
      </w:r>
      <w:r w:rsidRPr="005773DD">
        <w:rPr>
          <w:vertAlign w:val="superscript"/>
        </w:rPr>
        <w:t>+</w:t>
      </w:r>
      <w:r>
        <w:t xml:space="preserve"> monocytes. </w:t>
      </w:r>
      <w:r w:rsidRPr="001D18EC">
        <w:rPr>
          <w:b/>
          <w:bCs/>
        </w:rPr>
        <w:t>g</w:t>
      </w:r>
      <w:r>
        <w:t>,</w:t>
      </w:r>
      <w:r w:rsidRPr="001D18EC">
        <w:rPr>
          <w:b/>
          <w:bCs/>
        </w:rPr>
        <w:t>h</w:t>
      </w:r>
      <w:r>
        <w:t>, Dot plots of module based enrichments of differentially expressed genes for CD14</w:t>
      </w:r>
      <w:r w:rsidRPr="001D18EC">
        <w:rPr>
          <w:vertAlign w:val="superscript"/>
        </w:rPr>
        <w:t>+</w:t>
      </w:r>
      <w:r>
        <w:t xml:space="preserve"> monocytes and CD16</w:t>
      </w:r>
      <w:r w:rsidRPr="001D18EC">
        <w:rPr>
          <w:vertAlign w:val="superscript"/>
        </w:rPr>
        <w:t>+</w:t>
      </w:r>
      <w:r>
        <w:t xml:space="preserve"> monocytes. Adjusted p-values were computed using Fisher’s exact test (one tailed test, alternative=greater) followed by Benjamini Hochberg multiple hypothesis test correction. </w:t>
      </w:r>
      <w:r>
        <w:rPr>
          <w:b/>
          <w:bCs/>
        </w:rPr>
        <w:t>i</w:t>
      </w:r>
      <w:r w:rsidRPr="001118E4">
        <w:t>,</w:t>
      </w:r>
      <w:r>
        <w:rPr>
          <w:b/>
          <w:bCs/>
        </w:rPr>
        <w:t>j</w:t>
      </w:r>
      <w:r w:rsidRPr="001118E4">
        <w:t>,</w:t>
      </w:r>
      <w:r>
        <w:t xml:space="preserve"> Comparisons of ISG scores and </w:t>
      </w:r>
      <w:r w:rsidRPr="008A0550">
        <w:rPr>
          <w:i/>
          <w:iCs/>
        </w:rPr>
        <w:t xml:space="preserve">IL1B </w:t>
      </w:r>
      <w:r>
        <w:t>expression in total CD14</w:t>
      </w:r>
      <w:r w:rsidRPr="008A0550">
        <w:rPr>
          <w:vertAlign w:val="superscript"/>
        </w:rPr>
        <w:t>+</w:t>
      </w:r>
      <w:r>
        <w:t xml:space="preserve"> monocytes and total CD16</w:t>
      </w:r>
      <w:r w:rsidRPr="008A0550">
        <w:rPr>
          <w:vertAlign w:val="superscript"/>
        </w:rPr>
        <w:t>+</w:t>
      </w:r>
      <w:r>
        <w:t xml:space="preserve"> monocytes. </w:t>
      </w:r>
      <w:r w:rsidRPr="001118E4">
        <w:rPr>
          <w:b/>
          <w:bCs/>
        </w:rPr>
        <w:t>k</w:t>
      </w:r>
      <w:r w:rsidRPr="001118E4">
        <w:t>,</w:t>
      </w:r>
      <w:r>
        <w:t xml:space="preserve"> Healthy control comparisons of NFKB pathway scores. </w:t>
      </w:r>
      <w:r w:rsidRPr="00FB2E56">
        <w:rPr>
          <w:b/>
          <w:bCs/>
        </w:rPr>
        <w:t>l</w:t>
      </w:r>
      <w:r>
        <w:t>,</w:t>
      </w:r>
      <w:r w:rsidRPr="00467D9A">
        <w:rPr>
          <w:b/>
          <w:bCs/>
        </w:rPr>
        <w:t>m</w:t>
      </w:r>
      <w:r>
        <w:t>, Min-max scaled gene expression of NFKB pathway genes used in NFKB pathway scores in CD14</w:t>
      </w:r>
      <w:r w:rsidRPr="00467D9A">
        <w:rPr>
          <w:vertAlign w:val="superscript"/>
        </w:rPr>
        <w:t>+</w:t>
      </w:r>
      <w:r>
        <w:t xml:space="preserve"> monocytes and CD16</w:t>
      </w:r>
      <w:r w:rsidRPr="00467D9A">
        <w:rPr>
          <w:vertAlign w:val="superscript"/>
        </w:rPr>
        <w:t>+</w:t>
      </w:r>
      <w:r>
        <w:t xml:space="preserve"> monocytes. Statistical tests for pairwise comparisons between healthy controls, COVID-19 (moderate and severe) and RSV (mild, moderate and severe) were calculated using Dunn’s test of multiple comparisons (panels </w:t>
      </w:r>
      <w:r w:rsidRPr="008B6BFC">
        <w:rPr>
          <w:b/>
          <w:bCs/>
        </w:rPr>
        <w:t>b</w:t>
      </w:r>
      <w:r>
        <w:t>,</w:t>
      </w:r>
      <w:r>
        <w:rPr>
          <w:b/>
          <w:bCs/>
        </w:rPr>
        <w:t>d</w:t>
      </w:r>
      <w:r w:rsidRPr="00FB2E56">
        <w:t>,</w:t>
      </w:r>
      <w:r w:rsidRPr="00FB2E56">
        <w:rPr>
          <w:b/>
          <w:bCs/>
        </w:rPr>
        <w:t>e</w:t>
      </w:r>
      <w:r>
        <w:t>,</w:t>
      </w:r>
      <w:r w:rsidRPr="00FB2E56">
        <w:rPr>
          <w:b/>
          <w:bCs/>
        </w:rPr>
        <w:t>i</w:t>
      </w:r>
      <w:r>
        <w:t>,</w:t>
      </w:r>
      <w:r w:rsidRPr="00FB2E56">
        <w:rPr>
          <w:b/>
          <w:bCs/>
        </w:rPr>
        <w:t>j</w:t>
      </w:r>
      <w:r>
        <w:t xml:space="preserve">). Statistical tests for healthy control comparisons across clinical groups were calculated using Mann-Whitney rank sum tests followed by Benjamini Hochberg multiple hypothesis correction (panels </w:t>
      </w:r>
      <w:r>
        <w:rPr>
          <w:b/>
          <w:bCs/>
        </w:rPr>
        <w:t>a</w:t>
      </w:r>
      <w:r>
        <w:t>,</w:t>
      </w:r>
      <w:r>
        <w:rPr>
          <w:b/>
          <w:bCs/>
        </w:rPr>
        <w:t>e</w:t>
      </w:r>
      <w:r w:rsidRPr="00FB2E56">
        <w:t>,</w:t>
      </w:r>
      <w:r>
        <w:rPr>
          <w:b/>
          <w:bCs/>
        </w:rPr>
        <w:t>i</w:t>
      </w:r>
      <w:r w:rsidRPr="00FB2E56">
        <w:t>,</w:t>
      </w:r>
      <w:r>
        <w:rPr>
          <w:b/>
          <w:bCs/>
        </w:rPr>
        <w:t>j</w:t>
      </w:r>
      <w:r w:rsidRPr="00FB2E56">
        <w:t>,</w:t>
      </w:r>
      <w:r>
        <w:rPr>
          <w:b/>
          <w:bCs/>
        </w:rPr>
        <w:t>k</w:t>
      </w:r>
      <w:r>
        <w:t>). Significant comparisons (p</w:t>
      </w:r>
      <w:r w:rsidRPr="00B57623">
        <w:rPr>
          <w:vertAlign w:val="subscript"/>
        </w:rPr>
        <w:t>adj</w:t>
      </w:r>
      <w:r>
        <w:t xml:space="preserve"> &lt; 0.05) to healthy controls are indicated by a red asterisk.</w:t>
      </w:r>
    </w:p>
    <w:p w14:paraId="0CDD0BF9" w14:textId="77777777" w:rsidR="00752B6E" w:rsidRDefault="00752B6E" w:rsidP="00752B6E">
      <w:r>
        <w:br w:type="page"/>
      </w:r>
    </w:p>
    <w:p w14:paraId="1720FD64" w14:textId="77777777" w:rsidR="00752B6E" w:rsidRDefault="00752B6E" w:rsidP="00752B6E">
      <w:pPr>
        <w:jc w:val="both"/>
      </w:pPr>
      <w:r>
        <w:rPr>
          <w:noProof/>
        </w:rPr>
        <w:lastRenderedPageBreak/>
        <w:drawing>
          <wp:inline distT="0" distB="0" distL="0" distR="0" wp14:anchorId="442A6B1B" wp14:editId="36E0222C">
            <wp:extent cx="5943600" cy="6328410"/>
            <wp:effectExtent l="0" t="0" r="0" b="0"/>
            <wp:docPr id="1996816957" name="Picture 9" descr="A collage of diagrams and graph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6816957" name="Picture 9" descr="A collage of diagrams and graphs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328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A5A610" w14:textId="77777777" w:rsidR="00752B6E" w:rsidRDefault="00752B6E" w:rsidP="00752B6E">
      <w:pPr>
        <w:jc w:val="both"/>
        <w:rPr>
          <w:b/>
          <w:bCs/>
        </w:rPr>
      </w:pPr>
      <w:r w:rsidRPr="00887585">
        <w:rPr>
          <w:b/>
          <w:bCs/>
        </w:rPr>
        <w:t xml:space="preserve">Extended Data Fig. 3: </w:t>
      </w:r>
      <w:r>
        <w:rPr>
          <w:b/>
          <w:bCs/>
        </w:rPr>
        <w:t>Chromatin accessibility and TF binding accessibility in monocytes.</w:t>
      </w:r>
    </w:p>
    <w:p w14:paraId="58E0B19E" w14:textId="77777777" w:rsidR="00752B6E" w:rsidRDefault="00752B6E" w:rsidP="00752B6E">
      <w:pPr>
        <w:jc w:val="both"/>
      </w:pPr>
      <w:r>
        <w:rPr>
          <w:b/>
          <w:bCs/>
        </w:rPr>
        <w:t>a</w:t>
      </w:r>
      <w:r w:rsidRPr="005D41EA">
        <w:t>,</w:t>
      </w:r>
      <w:r>
        <w:t xml:space="preserve"> Heatmap of combined healthy vs COVID-19 (moderate and severe) and healthy vs RSV (mild, moderate and severe) differentially accessible peaks alongside the genes with the greatest number of nearby peaks in CD16</w:t>
      </w:r>
      <w:r w:rsidRPr="005D41EA">
        <w:rPr>
          <w:vertAlign w:val="superscript"/>
        </w:rPr>
        <w:t>+</w:t>
      </w:r>
      <w:r>
        <w:t xml:space="preserve"> monocytes. </w:t>
      </w:r>
      <w:r>
        <w:rPr>
          <w:b/>
          <w:bCs/>
        </w:rPr>
        <w:t>b</w:t>
      </w:r>
      <w:r>
        <w:t>, Dot plots of module based enrichments of differentially accessible peaks associated with nearest expressed genes for CD14</w:t>
      </w:r>
      <w:r w:rsidRPr="001D18EC">
        <w:rPr>
          <w:vertAlign w:val="superscript"/>
        </w:rPr>
        <w:t>+</w:t>
      </w:r>
      <w:r>
        <w:t xml:space="preserve"> monocytes and CD16</w:t>
      </w:r>
      <w:r w:rsidRPr="001D18EC">
        <w:rPr>
          <w:vertAlign w:val="superscript"/>
        </w:rPr>
        <w:t>+</w:t>
      </w:r>
      <w:r>
        <w:t xml:space="preserve"> monocytes. Adjusted p-values were computed using Fisher’s exact test (one tailed test, alternative=greater) followed by Benjamini Hochberg multiple hypothesis test correction. </w:t>
      </w:r>
      <w:r>
        <w:rPr>
          <w:b/>
          <w:bCs/>
        </w:rPr>
        <w:t>c</w:t>
      </w:r>
      <w:r>
        <w:t>, Epigenetic ISG scores based on opening peaks near ISGs in CD16</w:t>
      </w:r>
      <w:r w:rsidRPr="00A06A52">
        <w:rPr>
          <w:vertAlign w:val="superscript"/>
        </w:rPr>
        <w:t>+</w:t>
      </w:r>
      <w:r>
        <w:t xml:space="preserve"> monocytes. </w:t>
      </w:r>
      <w:r>
        <w:rPr>
          <w:b/>
          <w:bCs/>
        </w:rPr>
        <w:t>d</w:t>
      </w:r>
      <w:r w:rsidRPr="003D5FAA">
        <w:t>,</w:t>
      </w:r>
      <w:r>
        <w:t xml:space="preserve"> Epigenetic ISG scores based on opening peaks near ISGs in CD14</w:t>
      </w:r>
      <w:r w:rsidRPr="00A06A52">
        <w:rPr>
          <w:vertAlign w:val="superscript"/>
        </w:rPr>
        <w:t>+</w:t>
      </w:r>
      <w:r>
        <w:t xml:space="preserve"> </w:t>
      </w:r>
      <w:r>
        <w:lastRenderedPageBreak/>
        <w:t xml:space="preserve">monocytes for convalescent COVID-19 adults who manifested mild or severe disease during acute infection. </w:t>
      </w:r>
      <w:r>
        <w:rPr>
          <w:b/>
          <w:bCs/>
        </w:rPr>
        <w:t>e</w:t>
      </w:r>
      <w:r>
        <w:t>,</w:t>
      </w:r>
      <w:r>
        <w:rPr>
          <w:b/>
          <w:bCs/>
        </w:rPr>
        <w:t>f</w:t>
      </w:r>
      <w:r>
        <w:t>, Volcano plots of significant transcription factors comparing infants with COVID-19 (moderate and severe) and RSV (mild, moderate and severe) to healthy controls in CD14</w:t>
      </w:r>
      <w:r w:rsidRPr="00AD5B6B">
        <w:rPr>
          <w:vertAlign w:val="superscript"/>
        </w:rPr>
        <w:t>+</w:t>
      </w:r>
      <w:r>
        <w:t xml:space="preserve"> monocytes and CD16</w:t>
      </w:r>
      <w:r w:rsidRPr="003D5FAA">
        <w:rPr>
          <w:vertAlign w:val="superscript"/>
        </w:rPr>
        <w:t>+</w:t>
      </w:r>
      <w:r>
        <w:t xml:space="preserve"> monocytes. </w:t>
      </w:r>
      <w:r>
        <w:rPr>
          <w:b/>
          <w:bCs/>
        </w:rPr>
        <w:t>g</w:t>
      </w:r>
      <w:r>
        <w:t>,</w:t>
      </w:r>
      <w:r>
        <w:rPr>
          <w:b/>
          <w:bCs/>
        </w:rPr>
        <w:t>h</w:t>
      </w:r>
      <w:r>
        <w:t>, Healthy control comparisons of IRF9 deviations and NFKB/REL scores with clinical groups for CD14</w:t>
      </w:r>
      <w:r w:rsidRPr="00FD7271">
        <w:rPr>
          <w:vertAlign w:val="superscript"/>
        </w:rPr>
        <w:t>+</w:t>
      </w:r>
      <w:r>
        <w:t xml:space="preserve"> monocytes and CD16</w:t>
      </w:r>
      <w:r w:rsidRPr="00FD7271">
        <w:rPr>
          <w:vertAlign w:val="superscript"/>
        </w:rPr>
        <w:t>+</w:t>
      </w:r>
      <w:r>
        <w:t xml:space="preserve"> monocytes. </w:t>
      </w:r>
      <w:r>
        <w:rPr>
          <w:b/>
          <w:bCs/>
        </w:rPr>
        <w:t>i</w:t>
      </w:r>
      <w:r>
        <w:t>,</w:t>
      </w:r>
      <w:r>
        <w:rPr>
          <w:b/>
          <w:bCs/>
        </w:rPr>
        <w:t>j</w:t>
      </w:r>
      <w:r>
        <w:t xml:space="preserve">, Pairwise comparisons of gene expression for </w:t>
      </w:r>
      <w:r w:rsidRPr="003129E4">
        <w:rPr>
          <w:i/>
          <w:iCs/>
        </w:rPr>
        <w:t>IRF9</w:t>
      </w:r>
      <w:r>
        <w:t xml:space="preserve">, </w:t>
      </w:r>
      <w:r w:rsidRPr="003129E4">
        <w:rPr>
          <w:i/>
          <w:iCs/>
        </w:rPr>
        <w:t>NFKB1</w:t>
      </w:r>
      <w:r>
        <w:t xml:space="preserve">, </w:t>
      </w:r>
      <w:r w:rsidRPr="003129E4">
        <w:rPr>
          <w:i/>
          <w:iCs/>
        </w:rPr>
        <w:t>NFKB2</w:t>
      </w:r>
      <w:r>
        <w:t xml:space="preserve">, </w:t>
      </w:r>
      <w:r w:rsidRPr="003129E4">
        <w:rPr>
          <w:i/>
          <w:iCs/>
        </w:rPr>
        <w:t>REL</w:t>
      </w:r>
      <w:r>
        <w:t xml:space="preserve">, and </w:t>
      </w:r>
      <w:r w:rsidRPr="003129E4">
        <w:rPr>
          <w:i/>
          <w:iCs/>
        </w:rPr>
        <w:t>RELA</w:t>
      </w:r>
      <w:r>
        <w:t xml:space="preserve">. Statistical tests for pairwise comparisons between healthy controls, COVID-19 (moderate and severe) and RSV (mild, moderate and severe) were calculated using Dunn’s test of multiple comparisons (panels </w:t>
      </w:r>
      <w:r>
        <w:rPr>
          <w:b/>
          <w:bCs/>
        </w:rPr>
        <w:t>d</w:t>
      </w:r>
      <w:r w:rsidRPr="00FD7271">
        <w:t>,</w:t>
      </w:r>
      <w:r>
        <w:rPr>
          <w:b/>
          <w:bCs/>
        </w:rPr>
        <w:t>i</w:t>
      </w:r>
      <w:r>
        <w:t>,</w:t>
      </w:r>
      <w:r>
        <w:rPr>
          <w:b/>
          <w:bCs/>
        </w:rPr>
        <w:t>j</w:t>
      </w:r>
      <w:r>
        <w:t xml:space="preserve">). Statistical tests for healthy control comparisons across clinical groups were calculated using Mann-Whitney rank sum tests followed by Benjamini Hochberg multiple hypothesis correction (panels </w:t>
      </w:r>
      <w:r>
        <w:rPr>
          <w:b/>
          <w:bCs/>
        </w:rPr>
        <w:t>c</w:t>
      </w:r>
      <w:r w:rsidRPr="005D41EA">
        <w:t>,</w:t>
      </w:r>
      <w:r>
        <w:rPr>
          <w:b/>
          <w:bCs/>
        </w:rPr>
        <w:t>g</w:t>
      </w:r>
      <w:r w:rsidRPr="005D41EA">
        <w:t>,</w:t>
      </w:r>
      <w:r>
        <w:rPr>
          <w:b/>
          <w:bCs/>
        </w:rPr>
        <w:t>h</w:t>
      </w:r>
      <w:r>
        <w:t>). Significant comparisons (p</w:t>
      </w:r>
      <w:r w:rsidRPr="00B57623">
        <w:rPr>
          <w:vertAlign w:val="subscript"/>
        </w:rPr>
        <w:t>adj</w:t>
      </w:r>
      <w:r>
        <w:t xml:space="preserve"> &lt; 0.05) to healthy controls are indicated by a red asterisk.</w:t>
      </w:r>
    </w:p>
    <w:p w14:paraId="3F0AD344" w14:textId="77777777" w:rsidR="00752B6E" w:rsidRDefault="00752B6E" w:rsidP="00752B6E">
      <w:r>
        <w:br w:type="page"/>
      </w:r>
    </w:p>
    <w:p w14:paraId="1D579B84" w14:textId="77777777" w:rsidR="00752B6E" w:rsidRDefault="00752B6E" w:rsidP="00752B6E">
      <w:pPr>
        <w:jc w:val="both"/>
      </w:pPr>
      <w:r>
        <w:rPr>
          <w:noProof/>
        </w:rPr>
        <w:lastRenderedPageBreak/>
        <w:drawing>
          <wp:inline distT="0" distB="0" distL="0" distR="0" wp14:anchorId="1F2653E0" wp14:editId="5107E4C4">
            <wp:extent cx="5943600" cy="4312285"/>
            <wp:effectExtent l="0" t="0" r="0" b="5715"/>
            <wp:docPr id="1603815095" name="Picture 10" descr="A collage of a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3815095" name="Picture 10" descr="A collage of a ch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12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F5D931" w14:textId="77777777" w:rsidR="00752B6E" w:rsidRDefault="00752B6E" w:rsidP="00752B6E">
      <w:pPr>
        <w:jc w:val="both"/>
        <w:rPr>
          <w:b/>
          <w:bCs/>
          <w:i/>
          <w:iCs/>
        </w:rPr>
      </w:pPr>
      <w:r w:rsidRPr="00D832E8">
        <w:rPr>
          <w:b/>
          <w:bCs/>
        </w:rPr>
        <w:t>Extended Data Fig. 4:</w:t>
      </w:r>
      <w:r>
        <w:rPr>
          <w:b/>
          <w:bCs/>
        </w:rPr>
        <w:t xml:space="preserve"> NK cell frequencies and expression of ISGs, </w:t>
      </w:r>
      <w:r w:rsidRPr="003A6234">
        <w:rPr>
          <w:b/>
          <w:bCs/>
          <w:i/>
          <w:iCs/>
        </w:rPr>
        <w:t>IFNG</w:t>
      </w:r>
      <w:r w:rsidRPr="005F27E7">
        <w:rPr>
          <w:b/>
          <w:bCs/>
        </w:rPr>
        <w:t>,</w:t>
      </w:r>
      <w:r>
        <w:rPr>
          <w:b/>
          <w:bCs/>
        </w:rPr>
        <w:t xml:space="preserve"> and migration markers.</w:t>
      </w:r>
    </w:p>
    <w:p w14:paraId="2699F628" w14:textId="77777777" w:rsidR="00752B6E" w:rsidRDefault="00752B6E" w:rsidP="00752B6E">
      <w:pPr>
        <w:jc w:val="both"/>
      </w:pPr>
      <w:r>
        <w:rPr>
          <w:b/>
          <w:bCs/>
        </w:rPr>
        <w:t>a</w:t>
      </w:r>
      <w:r w:rsidRPr="005F27E7">
        <w:t>,</w:t>
      </w:r>
      <w:r>
        <w:t xml:space="preserve"> Pairwise comparison of CD56</w:t>
      </w:r>
      <w:r w:rsidRPr="005F27E7">
        <w:rPr>
          <w:vertAlign w:val="superscript"/>
        </w:rPr>
        <w:t>dim</w:t>
      </w:r>
      <w:r>
        <w:t xml:space="preserve"> NK cell frequencies. </w:t>
      </w:r>
      <w:r>
        <w:rPr>
          <w:b/>
          <w:bCs/>
        </w:rPr>
        <w:t>b</w:t>
      </w:r>
      <w:r>
        <w:t>, Healthy control comparisons to clinical groups of CD56</w:t>
      </w:r>
      <w:r w:rsidRPr="008A6C96">
        <w:rPr>
          <w:vertAlign w:val="superscript"/>
        </w:rPr>
        <w:t>bright</w:t>
      </w:r>
      <w:r>
        <w:t xml:space="preserve"> NK and proliferating NK cell frequencies as a percentage of PBMCs. </w:t>
      </w:r>
      <w:r>
        <w:rPr>
          <w:b/>
          <w:bCs/>
        </w:rPr>
        <w:t>c</w:t>
      </w:r>
      <w:r w:rsidRPr="005F27E7">
        <w:t>,</w:t>
      </w:r>
      <w:r>
        <w:t xml:space="preserve"> Dot plot of cell migration marker expression across NK subsets and clinical groups. </w:t>
      </w:r>
      <w:r>
        <w:rPr>
          <w:b/>
          <w:bCs/>
        </w:rPr>
        <w:t>d</w:t>
      </w:r>
      <w:r>
        <w:t xml:space="preserve">, Pairwise comparison of </w:t>
      </w:r>
      <w:r w:rsidRPr="005F27E7">
        <w:rPr>
          <w:i/>
          <w:iCs/>
        </w:rPr>
        <w:t>ITGA4</w:t>
      </w:r>
      <w:r>
        <w:t xml:space="preserve"> expression in NK subsets. </w:t>
      </w:r>
      <w:r>
        <w:rPr>
          <w:b/>
          <w:bCs/>
        </w:rPr>
        <w:t>e</w:t>
      </w:r>
      <w:r>
        <w:t>,</w:t>
      </w:r>
      <w:r w:rsidRPr="005F27E7">
        <w:rPr>
          <w:b/>
          <w:bCs/>
        </w:rPr>
        <w:t>f</w:t>
      </w:r>
      <w:r>
        <w:t>,</w:t>
      </w:r>
      <w:r w:rsidRPr="005F27E7">
        <w:rPr>
          <w:b/>
          <w:bCs/>
        </w:rPr>
        <w:t>g</w:t>
      </w:r>
      <w:r>
        <w:t xml:space="preserve">, Pairwise and healthy control comparisons to clinical groups of ISG scores for NK subsets. </w:t>
      </w:r>
      <w:r>
        <w:rPr>
          <w:b/>
          <w:bCs/>
        </w:rPr>
        <w:t>h</w:t>
      </w:r>
      <w:r>
        <w:t xml:space="preserve">, Pairwise comparisons of </w:t>
      </w:r>
      <w:r w:rsidRPr="005F27E7">
        <w:rPr>
          <w:i/>
          <w:iCs/>
        </w:rPr>
        <w:t xml:space="preserve">GZMB </w:t>
      </w:r>
      <w:r>
        <w:t xml:space="preserve">and </w:t>
      </w:r>
      <w:r w:rsidRPr="005F27E7">
        <w:rPr>
          <w:i/>
          <w:iCs/>
        </w:rPr>
        <w:t>PRF1</w:t>
      </w:r>
      <w:r>
        <w:t xml:space="preserve"> expression in NK subsets. Statistical tests for pairwise comparisons between healthy controls, COVID-19 (moderate and severe) and RSV (mild, moderate and severe) calculated using Dunn’s test of multiple comparisons (panels </w:t>
      </w:r>
      <w:r>
        <w:rPr>
          <w:b/>
          <w:bCs/>
        </w:rPr>
        <w:t>a</w:t>
      </w:r>
      <w:r>
        <w:t>,</w:t>
      </w:r>
      <w:r>
        <w:rPr>
          <w:b/>
          <w:bCs/>
        </w:rPr>
        <w:t>d</w:t>
      </w:r>
      <w:r w:rsidRPr="00FB2E56">
        <w:t>,</w:t>
      </w:r>
      <w:r>
        <w:rPr>
          <w:b/>
          <w:bCs/>
        </w:rPr>
        <w:t>e</w:t>
      </w:r>
      <w:r w:rsidRPr="00761EF1">
        <w:t>,</w:t>
      </w:r>
      <w:r>
        <w:rPr>
          <w:b/>
          <w:bCs/>
        </w:rPr>
        <w:t>f</w:t>
      </w:r>
      <w:r w:rsidRPr="00761EF1">
        <w:t>,</w:t>
      </w:r>
      <w:r>
        <w:rPr>
          <w:b/>
          <w:bCs/>
        </w:rPr>
        <w:t>g</w:t>
      </w:r>
      <w:r w:rsidRPr="00761EF1">
        <w:t>,</w:t>
      </w:r>
      <w:r>
        <w:rPr>
          <w:b/>
          <w:bCs/>
        </w:rPr>
        <w:t>h</w:t>
      </w:r>
      <w:r>
        <w:t xml:space="preserve">). Statistical tests for healthy control comparisons across clinical groups were calculated using Mann-Whitney rank sum tests followed by Benjamini Hochberg multiple hypothesis correction (panels </w:t>
      </w:r>
      <w:r>
        <w:rPr>
          <w:b/>
          <w:bCs/>
        </w:rPr>
        <w:t>b</w:t>
      </w:r>
      <w:r w:rsidRPr="005D41EA">
        <w:t>,</w:t>
      </w:r>
      <w:r>
        <w:rPr>
          <w:b/>
          <w:bCs/>
        </w:rPr>
        <w:t>e</w:t>
      </w:r>
      <w:r w:rsidRPr="005D41EA">
        <w:t>,</w:t>
      </w:r>
      <w:r>
        <w:rPr>
          <w:b/>
          <w:bCs/>
        </w:rPr>
        <w:t>f</w:t>
      </w:r>
      <w:r w:rsidRPr="00FD1EB1">
        <w:t>,</w:t>
      </w:r>
      <w:r>
        <w:rPr>
          <w:b/>
          <w:bCs/>
        </w:rPr>
        <w:t>g</w:t>
      </w:r>
      <w:r>
        <w:t>). Significant comparisons (p</w:t>
      </w:r>
      <w:r w:rsidRPr="00B57623">
        <w:rPr>
          <w:vertAlign w:val="subscript"/>
        </w:rPr>
        <w:t>adj</w:t>
      </w:r>
      <w:r>
        <w:t xml:space="preserve"> &lt; 0.05) to healthy controls are indicated by a red asterisk.</w:t>
      </w:r>
    </w:p>
    <w:p w14:paraId="7B852FB3" w14:textId="77777777" w:rsidR="00752B6E" w:rsidRDefault="00752B6E" w:rsidP="00752B6E">
      <w:r>
        <w:br w:type="page"/>
      </w:r>
    </w:p>
    <w:p w14:paraId="3F83D7B2" w14:textId="77777777" w:rsidR="00752B6E" w:rsidRDefault="00752B6E" w:rsidP="00752B6E">
      <w:pPr>
        <w:jc w:val="both"/>
      </w:pPr>
      <w:r>
        <w:rPr>
          <w:noProof/>
        </w:rPr>
        <w:lastRenderedPageBreak/>
        <w:drawing>
          <wp:inline distT="0" distB="0" distL="0" distR="0" wp14:anchorId="06279F3C" wp14:editId="080C0AD3">
            <wp:extent cx="5943600" cy="4253865"/>
            <wp:effectExtent l="0" t="0" r="0" b="635"/>
            <wp:docPr id="385111073" name="Picture 11" descr="A chart of different colored graph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111073" name="Picture 11" descr="A chart of different colored graphs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5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F69045" w14:textId="77777777" w:rsidR="00752B6E" w:rsidRDefault="00752B6E" w:rsidP="00752B6E">
      <w:pPr>
        <w:jc w:val="both"/>
        <w:rPr>
          <w:b/>
          <w:bCs/>
        </w:rPr>
      </w:pPr>
      <w:r>
        <w:rPr>
          <w:b/>
          <w:bCs/>
        </w:rPr>
        <w:t>Extended Data Fig. 5: Chromatin remodeling of NK cells in RSV and SARS-CoV-2 infected infants.</w:t>
      </w:r>
    </w:p>
    <w:p w14:paraId="71098147" w14:textId="77777777" w:rsidR="00752B6E" w:rsidRPr="00761EF1" w:rsidRDefault="00752B6E" w:rsidP="00752B6E">
      <w:pPr>
        <w:jc w:val="both"/>
      </w:pPr>
      <w:r w:rsidRPr="00F75CD1">
        <w:rPr>
          <w:b/>
          <w:bCs/>
        </w:rPr>
        <w:t>a</w:t>
      </w:r>
      <w:r w:rsidRPr="00F75CD1">
        <w:t>,</w:t>
      </w:r>
      <w:r>
        <w:rPr>
          <w:b/>
          <w:bCs/>
        </w:rPr>
        <w:t>b</w:t>
      </w:r>
      <w:r>
        <w:t>, Volcano plots of significant transcription factors comparing infants with COVID-19 (moderate and severe), RSV (mild, moderate and severe) and healthy controls in CD56</w:t>
      </w:r>
      <w:r w:rsidRPr="00F75CD1">
        <w:rPr>
          <w:vertAlign w:val="superscript"/>
        </w:rPr>
        <w:t>dim</w:t>
      </w:r>
      <w:r>
        <w:t xml:space="preserve"> NK and CD56</w:t>
      </w:r>
      <w:r w:rsidRPr="00F75CD1">
        <w:rPr>
          <w:vertAlign w:val="superscript"/>
        </w:rPr>
        <w:t xml:space="preserve">bright </w:t>
      </w:r>
      <w:r>
        <w:t xml:space="preserve">NK cells. </w:t>
      </w:r>
      <w:r>
        <w:rPr>
          <w:b/>
          <w:bCs/>
        </w:rPr>
        <w:t>c</w:t>
      </w:r>
      <w:r>
        <w:t>, Healthy control comparisons to clinical groups of chromVAR deviation scores for TBX21 and EOMES in CD56</w:t>
      </w:r>
      <w:r w:rsidRPr="00CF6064">
        <w:rPr>
          <w:vertAlign w:val="superscript"/>
        </w:rPr>
        <w:t>dim</w:t>
      </w:r>
      <w:r>
        <w:t xml:space="preserve"> NK cells. Statistical tests were calculated using Mann-Whitney rank sum tests followed by Benjamini Hochberg multiple hypothesis correction. Significant comparisons (p</w:t>
      </w:r>
      <w:r w:rsidRPr="00B57623">
        <w:rPr>
          <w:vertAlign w:val="subscript"/>
        </w:rPr>
        <w:t>adj</w:t>
      </w:r>
      <w:r>
        <w:t xml:space="preserve"> &lt; 0.05) to healthy controls are indicated by a red asterisk. </w:t>
      </w:r>
      <w:r>
        <w:rPr>
          <w:b/>
          <w:bCs/>
        </w:rPr>
        <w:t>d</w:t>
      </w:r>
      <w:r>
        <w:t>,</w:t>
      </w:r>
      <w:r w:rsidRPr="00F75CD1">
        <w:rPr>
          <w:b/>
          <w:bCs/>
        </w:rPr>
        <w:t>e</w:t>
      </w:r>
      <w:r>
        <w:t>, Pearson correlations of TBX21 and EOMES deviation scores with respect to RSV clinical disease severity scores in CD56</w:t>
      </w:r>
      <w:r w:rsidRPr="00F75CD1">
        <w:rPr>
          <w:vertAlign w:val="superscript"/>
        </w:rPr>
        <w:t>dim</w:t>
      </w:r>
      <w:r>
        <w:t xml:space="preserve"> NK and CD56</w:t>
      </w:r>
      <w:r w:rsidRPr="00F75CD1">
        <w:rPr>
          <w:vertAlign w:val="superscript"/>
        </w:rPr>
        <w:t>bright</w:t>
      </w:r>
      <w:r>
        <w:t xml:space="preserve"> NK cells. </w:t>
      </w:r>
      <w:r>
        <w:rPr>
          <w:b/>
          <w:bCs/>
        </w:rPr>
        <w:t>f</w:t>
      </w:r>
      <w:r>
        <w:t>,</w:t>
      </w:r>
      <w:r>
        <w:rPr>
          <w:b/>
          <w:bCs/>
        </w:rPr>
        <w:t>g</w:t>
      </w:r>
      <w:r>
        <w:t xml:space="preserve">, Pairwise comparison of </w:t>
      </w:r>
      <w:r w:rsidRPr="005813F3">
        <w:rPr>
          <w:i/>
          <w:iCs/>
        </w:rPr>
        <w:t>TBX21</w:t>
      </w:r>
      <w:r>
        <w:t xml:space="preserve"> and </w:t>
      </w:r>
      <w:r w:rsidRPr="005813F3">
        <w:rPr>
          <w:i/>
          <w:iCs/>
        </w:rPr>
        <w:t>EOMES</w:t>
      </w:r>
      <w:r>
        <w:t xml:space="preserve"> expression in CD56</w:t>
      </w:r>
      <w:r w:rsidRPr="005F27E7">
        <w:rPr>
          <w:vertAlign w:val="superscript"/>
        </w:rPr>
        <w:t>dim</w:t>
      </w:r>
      <w:r>
        <w:t xml:space="preserve"> NK and CD56</w:t>
      </w:r>
      <w:r w:rsidRPr="00CF6064">
        <w:rPr>
          <w:vertAlign w:val="superscript"/>
        </w:rPr>
        <w:t>bright</w:t>
      </w:r>
      <w:r>
        <w:t xml:space="preserve"> NK cells. </w:t>
      </w:r>
      <w:r>
        <w:rPr>
          <w:b/>
          <w:bCs/>
        </w:rPr>
        <w:t>h</w:t>
      </w:r>
      <w:r>
        <w:t xml:space="preserve">, Pearson correlation comparing the accessibility of a peak 4kb upstream of </w:t>
      </w:r>
      <w:r w:rsidRPr="006013B4">
        <w:rPr>
          <w:i/>
          <w:iCs/>
        </w:rPr>
        <w:t>IFNG</w:t>
      </w:r>
      <w:r>
        <w:t xml:space="preserve"> harboring TBX21 and EOMES motifs with RSV clinical disease severity score. </w:t>
      </w:r>
      <w:r>
        <w:rPr>
          <w:b/>
          <w:bCs/>
        </w:rPr>
        <w:t>i</w:t>
      </w:r>
      <w:r>
        <w:t xml:space="preserve">, Pairwise comparison of peak (4kb upstream </w:t>
      </w:r>
      <w:r w:rsidRPr="006013B4">
        <w:rPr>
          <w:i/>
          <w:iCs/>
        </w:rPr>
        <w:t>IFNG</w:t>
      </w:r>
      <w:r>
        <w:t xml:space="preserve">) accessibility between healthy, COVID-19 (moderate and severe), mild RSV, and moderate/severe RSV. </w:t>
      </w:r>
      <w:r w:rsidRPr="005813F3">
        <w:rPr>
          <w:b/>
          <w:bCs/>
        </w:rPr>
        <w:t>j</w:t>
      </w:r>
      <w:r>
        <w:rPr>
          <w:b/>
          <w:bCs/>
        </w:rPr>
        <w:t xml:space="preserve"> </w:t>
      </w:r>
      <w:r>
        <w:t xml:space="preserve">Pearson correlation of </w:t>
      </w:r>
      <w:r w:rsidRPr="005813F3">
        <w:rPr>
          <w:i/>
          <w:iCs/>
        </w:rPr>
        <w:t>IFNG</w:t>
      </w:r>
      <w:r>
        <w:rPr>
          <w:i/>
          <w:iCs/>
        </w:rPr>
        <w:t>-AS1</w:t>
      </w:r>
      <w:r w:rsidRPr="005813F3">
        <w:t xml:space="preserve"> </w:t>
      </w:r>
      <w:r>
        <w:t>expression in CD5</w:t>
      </w:r>
      <w:r w:rsidRPr="006013B4">
        <w:rPr>
          <w:vertAlign w:val="superscript"/>
        </w:rPr>
        <w:t>bright</w:t>
      </w:r>
      <w:r>
        <w:t xml:space="preserve"> NK cells and peak (4kb upstream </w:t>
      </w:r>
      <w:r w:rsidRPr="006013B4">
        <w:rPr>
          <w:i/>
          <w:iCs/>
        </w:rPr>
        <w:t>IFNG</w:t>
      </w:r>
      <w:r>
        <w:t xml:space="preserve">) accessibility for infants infected with RSV. Statistical tests for pairwise comparisons were calculated using Dunn’s test of multiple comparisons (panels </w:t>
      </w:r>
      <w:r>
        <w:rPr>
          <w:b/>
          <w:bCs/>
        </w:rPr>
        <w:t>f</w:t>
      </w:r>
      <w:r w:rsidRPr="00761EF1">
        <w:t>,</w:t>
      </w:r>
      <w:r>
        <w:rPr>
          <w:b/>
          <w:bCs/>
        </w:rPr>
        <w:t>g</w:t>
      </w:r>
      <w:r w:rsidRPr="00761EF1">
        <w:t>,</w:t>
      </w:r>
      <w:r>
        <w:rPr>
          <w:b/>
          <w:bCs/>
        </w:rPr>
        <w:t>i</w:t>
      </w:r>
      <w:r>
        <w:t>).</w:t>
      </w:r>
    </w:p>
    <w:p w14:paraId="14B1754F" w14:textId="77777777" w:rsidR="00752B6E" w:rsidRDefault="00752B6E" w:rsidP="00752B6E">
      <w:r>
        <w:br w:type="page"/>
      </w:r>
    </w:p>
    <w:p w14:paraId="76EE1C8E" w14:textId="77777777" w:rsidR="00752B6E" w:rsidRDefault="00752B6E" w:rsidP="00752B6E">
      <w:pPr>
        <w:jc w:val="both"/>
      </w:pPr>
      <w:r>
        <w:rPr>
          <w:noProof/>
        </w:rPr>
        <w:lastRenderedPageBreak/>
        <w:drawing>
          <wp:inline distT="0" distB="0" distL="0" distR="0" wp14:anchorId="5F7B8196" wp14:editId="5B633599">
            <wp:extent cx="5943600" cy="7417435"/>
            <wp:effectExtent l="0" t="0" r="0" b="0"/>
            <wp:docPr id="652130293" name="Picture 12" descr="A chart of different colored box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2130293" name="Picture 12" descr="A chart of different colored boxes&#10;&#10;Description automatically generated with medium confidenc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417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CA7105" w14:textId="77777777" w:rsidR="00752B6E" w:rsidRDefault="00752B6E" w:rsidP="00752B6E">
      <w:pPr>
        <w:jc w:val="both"/>
        <w:rPr>
          <w:b/>
          <w:bCs/>
        </w:rPr>
      </w:pPr>
      <w:r>
        <w:rPr>
          <w:b/>
          <w:bCs/>
        </w:rPr>
        <w:t>Extended Data Fig. 6: CD8+ and cytotoxic T cell frequencies and ISG scores</w:t>
      </w:r>
    </w:p>
    <w:p w14:paraId="1C5E82FE" w14:textId="77777777" w:rsidR="00752B6E" w:rsidRDefault="00752B6E" w:rsidP="00752B6E">
      <w:pPr>
        <w:jc w:val="both"/>
      </w:pPr>
      <w:r>
        <w:rPr>
          <w:b/>
          <w:bCs/>
        </w:rPr>
        <w:t>a</w:t>
      </w:r>
      <w:r>
        <w:t>, Dot plot of CD8</w:t>
      </w:r>
      <w:r w:rsidRPr="00A05AF7">
        <w:rPr>
          <w:vertAlign w:val="superscript"/>
        </w:rPr>
        <w:t>+</w:t>
      </w:r>
      <w:r>
        <w:t xml:space="preserve"> and cytotoxic T gene expression markers. </w:t>
      </w:r>
      <w:r>
        <w:rPr>
          <w:b/>
          <w:bCs/>
        </w:rPr>
        <w:t>b</w:t>
      </w:r>
      <w:r>
        <w:t>, Pairwise comparisons of ISG</w:t>
      </w:r>
      <w:r w:rsidRPr="00EC5F1F">
        <w:rPr>
          <w:vertAlign w:val="superscript"/>
        </w:rPr>
        <w:t xml:space="preserve">lo </w:t>
      </w:r>
      <w:r>
        <w:t>naive CD8</w:t>
      </w:r>
      <w:r w:rsidRPr="00EC5F1F">
        <w:rPr>
          <w:vertAlign w:val="superscript"/>
        </w:rPr>
        <w:t>+</w:t>
      </w:r>
      <w:r>
        <w:t xml:space="preserve"> T, GZMK</w:t>
      </w:r>
      <w:r w:rsidRPr="00EC5F1F">
        <w:rPr>
          <w:vertAlign w:val="superscript"/>
        </w:rPr>
        <w:t xml:space="preserve">hi </w:t>
      </w:r>
      <w:r>
        <w:t>CD8</w:t>
      </w:r>
      <w:r w:rsidRPr="00EC5F1F">
        <w:rPr>
          <w:vertAlign w:val="superscript"/>
        </w:rPr>
        <w:t>+</w:t>
      </w:r>
      <w:r>
        <w:t xml:space="preserve"> T, CD8</w:t>
      </w:r>
      <w:r w:rsidRPr="00EC5F1F">
        <w:rPr>
          <w:vertAlign w:val="superscript"/>
        </w:rPr>
        <w:t>+</w:t>
      </w:r>
      <w:r>
        <w:t xml:space="preserve"> T</w:t>
      </w:r>
      <w:r w:rsidRPr="00A05AF7">
        <w:rPr>
          <w:vertAlign w:val="subscript"/>
        </w:rPr>
        <w:t>EMRA</w:t>
      </w:r>
      <w:r>
        <w:t>, MAIT, CD8</w:t>
      </w:r>
      <w:r w:rsidRPr="00EC5F1F">
        <w:rPr>
          <w:vertAlign w:val="superscript"/>
        </w:rPr>
        <w:t>-</w:t>
      </w:r>
      <w:r>
        <w:t xml:space="preserve"> </w:t>
      </w:r>
      <w:r w:rsidRPr="00642490">
        <w:t>γδ</w:t>
      </w:r>
      <w:r>
        <w:t xml:space="preserve"> T and CD8</w:t>
      </w:r>
      <w:r w:rsidRPr="00EC5F1F">
        <w:rPr>
          <w:vertAlign w:val="superscript"/>
        </w:rPr>
        <w:t>+</w:t>
      </w:r>
      <w:r>
        <w:t xml:space="preserve"> </w:t>
      </w:r>
      <w:r w:rsidRPr="00642490">
        <w:t>γδ</w:t>
      </w:r>
      <w:r>
        <w:t xml:space="preserve"> T cell frequencies. </w:t>
      </w:r>
      <w:r>
        <w:rPr>
          <w:b/>
          <w:bCs/>
        </w:rPr>
        <w:t>c</w:t>
      </w:r>
      <w:r>
        <w:t>, Healthy control comparisons of ISG</w:t>
      </w:r>
      <w:r w:rsidRPr="00EC5F1F">
        <w:rPr>
          <w:vertAlign w:val="superscript"/>
        </w:rPr>
        <w:t>hi</w:t>
      </w:r>
      <w:r>
        <w:t xml:space="preserve"> Naive CD8</w:t>
      </w:r>
      <w:r w:rsidRPr="00EC5F1F">
        <w:rPr>
          <w:vertAlign w:val="superscript"/>
        </w:rPr>
        <w:t>+</w:t>
      </w:r>
      <w:r>
        <w:t xml:space="preserve"> T, proliferating T, </w:t>
      </w:r>
      <w:r w:rsidRPr="00642490">
        <w:t>γδ</w:t>
      </w:r>
      <w:r>
        <w:t xml:space="preserve"> T, CD8</w:t>
      </w:r>
      <w:r w:rsidRPr="00EC5F1F">
        <w:rPr>
          <w:vertAlign w:val="superscript"/>
        </w:rPr>
        <w:t>-</w:t>
      </w:r>
      <w:r>
        <w:t xml:space="preserve"> </w:t>
      </w:r>
      <w:r w:rsidRPr="00642490">
        <w:t>γδ</w:t>
      </w:r>
      <w:r>
        <w:t xml:space="preserve"> T and CD8</w:t>
      </w:r>
      <w:r w:rsidRPr="00EC5F1F">
        <w:rPr>
          <w:vertAlign w:val="superscript"/>
        </w:rPr>
        <w:t>+</w:t>
      </w:r>
      <w:r>
        <w:t xml:space="preserve"> </w:t>
      </w:r>
      <w:r w:rsidRPr="00642490">
        <w:lastRenderedPageBreak/>
        <w:t>γδ</w:t>
      </w:r>
      <w:r>
        <w:t xml:space="preserve"> T cell frequencies as a percentage of PBMCs. </w:t>
      </w:r>
      <w:r w:rsidRPr="00EC5F1F">
        <w:rPr>
          <w:b/>
          <w:bCs/>
        </w:rPr>
        <w:t>d</w:t>
      </w:r>
      <w:r>
        <w:t>,</w:t>
      </w:r>
      <w:r w:rsidRPr="00EC5F1F">
        <w:rPr>
          <w:b/>
          <w:bCs/>
        </w:rPr>
        <w:t>e</w:t>
      </w:r>
      <w:r>
        <w:t>,</w:t>
      </w:r>
      <w:r w:rsidRPr="00EC5F1F">
        <w:rPr>
          <w:b/>
          <w:bCs/>
        </w:rPr>
        <w:t>f</w:t>
      </w:r>
      <w:r>
        <w:t>,</w:t>
      </w:r>
      <w:r w:rsidRPr="00EC5F1F">
        <w:rPr>
          <w:b/>
          <w:bCs/>
        </w:rPr>
        <w:t>g</w:t>
      </w:r>
      <w:r>
        <w:t>,</w:t>
      </w:r>
      <w:r w:rsidRPr="00EC5F1F">
        <w:rPr>
          <w:b/>
          <w:bCs/>
        </w:rPr>
        <w:t>h</w:t>
      </w:r>
      <w:r>
        <w:t>,</w:t>
      </w:r>
      <w:r w:rsidRPr="00EC5F1F">
        <w:rPr>
          <w:b/>
          <w:bCs/>
        </w:rPr>
        <w:t>i</w:t>
      </w:r>
      <w:r>
        <w:t>,</w:t>
      </w:r>
      <w:r w:rsidRPr="00EC5F1F">
        <w:rPr>
          <w:b/>
          <w:bCs/>
        </w:rPr>
        <w:t>j</w:t>
      </w:r>
      <w:r>
        <w:t>, Pairwise can healthy control comparisons of ISG scores for CD8</w:t>
      </w:r>
      <w:r w:rsidRPr="00EC5F1F">
        <w:rPr>
          <w:vertAlign w:val="superscript"/>
        </w:rPr>
        <w:t>+</w:t>
      </w:r>
      <w:r>
        <w:t xml:space="preserve"> and cytotoxic T subsets. </w:t>
      </w:r>
      <w:r>
        <w:rPr>
          <w:b/>
          <w:bCs/>
        </w:rPr>
        <w:t>k</w:t>
      </w:r>
      <w:r>
        <w:t>, UMAP of proliferating T clusters with marker genes. Clusters separated into proliferating CD8</w:t>
      </w:r>
      <w:r w:rsidRPr="00346B80">
        <w:rPr>
          <w:vertAlign w:val="superscript"/>
        </w:rPr>
        <w:t>+</w:t>
      </w:r>
      <w:r>
        <w:t xml:space="preserve"> T and proliferating CD4</w:t>
      </w:r>
      <w:r w:rsidRPr="00346B80">
        <w:rPr>
          <w:vertAlign w:val="superscript"/>
        </w:rPr>
        <w:t>+</w:t>
      </w:r>
      <w:r>
        <w:t xml:space="preserve"> T cell subsets. </w:t>
      </w:r>
      <w:r>
        <w:rPr>
          <w:b/>
          <w:bCs/>
        </w:rPr>
        <w:t>l</w:t>
      </w:r>
      <w:r>
        <w:t>, Pairwise comparisons of CD4</w:t>
      </w:r>
      <w:r w:rsidRPr="00A05AF7">
        <w:rPr>
          <w:vertAlign w:val="superscript"/>
        </w:rPr>
        <w:t>+</w:t>
      </w:r>
      <w:r>
        <w:t xml:space="preserve"> and CD8</w:t>
      </w:r>
      <w:r w:rsidRPr="00346B80">
        <w:rPr>
          <w:vertAlign w:val="superscript"/>
        </w:rPr>
        <w:t>+</w:t>
      </w:r>
      <w:r>
        <w:t xml:space="preserve"> proliferating T cell frequencies as a percentage of PBMCs. Statistical tests for pairwise comparisons between healthy controls, COVID-19 (moderate and severe) and RSV (mild, moderate and severe) were calculated using Dunn’s test of multiple comparisons (panels </w:t>
      </w:r>
      <w:r>
        <w:rPr>
          <w:b/>
          <w:bCs/>
        </w:rPr>
        <w:t>b</w:t>
      </w:r>
      <w:r>
        <w:t>,</w:t>
      </w:r>
      <w:r>
        <w:rPr>
          <w:b/>
          <w:bCs/>
        </w:rPr>
        <w:t>d</w:t>
      </w:r>
      <w:r w:rsidRPr="00FB2E56">
        <w:t>,</w:t>
      </w:r>
      <w:r>
        <w:rPr>
          <w:b/>
          <w:bCs/>
        </w:rPr>
        <w:t>e</w:t>
      </w:r>
      <w:r>
        <w:t>,</w:t>
      </w:r>
      <w:r>
        <w:rPr>
          <w:b/>
          <w:bCs/>
        </w:rPr>
        <w:t>f</w:t>
      </w:r>
      <w:r>
        <w:t>,</w:t>
      </w:r>
      <w:r>
        <w:rPr>
          <w:b/>
          <w:bCs/>
        </w:rPr>
        <w:t>g</w:t>
      </w:r>
      <w:r>
        <w:t>,</w:t>
      </w:r>
      <w:r>
        <w:rPr>
          <w:b/>
          <w:bCs/>
        </w:rPr>
        <w:t>h</w:t>
      </w:r>
      <w:r w:rsidRPr="00F43ACD">
        <w:t>,</w:t>
      </w:r>
      <w:r>
        <w:rPr>
          <w:b/>
          <w:bCs/>
        </w:rPr>
        <w:t>i</w:t>
      </w:r>
      <w:r w:rsidRPr="00F43ACD">
        <w:t>,</w:t>
      </w:r>
      <w:r>
        <w:rPr>
          <w:b/>
          <w:bCs/>
        </w:rPr>
        <w:t>j</w:t>
      </w:r>
      <w:r w:rsidRPr="00F43ACD">
        <w:t>,</w:t>
      </w:r>
      <w:r>
        <w:rPr>
          <w:b/>
          <w:bCs/>
        </w:rPr>
        <w:t>l</w:t>
      </w:r>
      <w:r>
        <w:t xml:space="preserve">). Statistical tests for healthy control comparisons across clinical groups were calculated using Mann-Whitney rank sum tests followed by Benjamini Hochberg multiple hypothesis correction (panels </w:t>
      </w:r>
      <w:r>
        <w:rPr>
          <w:b/>
          <w:bCs/>
        </w:rPr>
        <w:t>c</w:t>
      </w:r>
      <w:r>
        <w:t>,</w:t>
      </w:r>
      <w:r>
        <w:rPr>
          <w:b/>
          <w:bCs/>
        </w:rPr>
        <w:t>d</w:t>
      </w:r>
      <w:r w:rsidRPr="00FB2E56">
        <w:t>,</w:t>
      </w:r>
      <w:r>
        <w:rPr>
          <w:b/>
          <w:bCs/>
        </w:rPr>
        <w:t>e</w:t>
      </w:r>
      <w:r>
        <w:t>,</w:t>
      </w:r>
      <w:r>
        <w:rPr>
          <w:b/>
          <w:bCs/>
        </w:rPr>
        <w:t>f</w:t>
      </w:r>
      <w:r>
        <w:t>,</w:t>
      </w:r>
      <w:r>
        <w:rPr>
          <w:b/>
          <w:bCs/>
        </w:rPr>
        <w:t>g</w:t>
      </w:r>
      <w:r>
        <w:t>,</w:t>
      </w:r>
      <w:r>
        <w:rPr>
          <w:b/>
          <w:bCs/>
        </w:rPr>
        <w:t>h</w:t>
      </w:r>
      <w:r w:rsidRPr="00F43ACD">
        <w:t>,</w:t>
      </w:r>
      <w:r>
        <w:rPr>
          <w:b/>
          <w:bCs/>
        </w:rPr>
        <w:t>i</w:t>
      </w:r>
      <w:r w:rsidRPr="00F43ACD">
        <w:t>,</w:t>
      </w:r>
      <w:r>
        <w:rPr>
          <w:b/>
          <w:bCs/>
        </w:rPr>
        <w:t>j</w:t>
      </w:r>
      <w:r>
        <w:t>). Significant comparisons (p</w:t>
      </w:r>
      <w:r w:rsidRPr="00B57623">
        <w:rPr>
          <w:vertAlign w:val="subscript"/>
        </w:rPr>
        <w:t>adj</w:t>
      </w:r>
      <w:r>
        <w:t xml:space="preserve"> &lt; 0.05) to healthy controls are indicated by a red asterisk.</w:t>
      </w:r>
    </w:p>
    <w:p w14:paraId="70D40A42" w14:textId="77777777" w:rsidR="00752B6E" w:rsidRDefault="00752B6E" w:rsidP="00752B6E">
      <w:r>
        <w:br w:type="page"/>
      </w:r>
    </w:p>
    <w:p w14:paraId="119A8AD4" w14:textId="77777777" w:rsidR="00752B6E" w:rsidRDefault="00752B6E" w:rsidP="00752B6E">
      <w:pPr>
        <w:jc w:val="both"/>
      </w:pPr>
      <w:r>
        <w:rPr>
          <w:noProof/>
        </w:rPr>
        <w:lastRenderedPageBreak/>
        <w:drawing>
          <wp:inline distT="0" distB="0" distL="0" distR="0" wp14:anchorId="1AB91A43" wp14:editId="0977FE4B">
            <wp:extent cx="5943600" cy="5593715"/>
            <wp:effectExtent l="0" t="0" r="0" b="0"/>
            <wp:docPr id="65741791" name="Picture 13" descr="A collage of different colored graph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741791" name="Picture 13" descr="A collage of different colored graphs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9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CC9C70" w14:textId="77777777" w:rsidR="00752B6E" w:rsidRPr="00467D9A" w:rsidRDefault="00752B6E" w:rsidP="00752B6E">
      <w:pPr>
        <w:jc w:val="both"/>
        <w:rPr>
          <w:b/>
          <w:bCs/>
        </w:rPr>
      </w:pPr>
      <w:r>
        <w:rPr>
          <w:b/>
          <w:bCs/>
        </w:rPr>
        <w:t>Extended Data Fig. 7: Epigenetic remodeling of naive CD8</w:t>
      </w:r>
      <w:r w:rsidRPr="0036434B">
        <w:rPr>
          <w:b/>
          <w:bCs/>
          <w:vertAlign w:val="superscript"/>
        </w:rPr>
        <w:t>+</w:t>
      </w:r>
      <w:r>
        <w:rPr>
          <w:b/>
          <w:bCs/>
        </w:rPr>
        <w:t xml:space="preserve"> T cells and CD4</w:t>
      </w:r>
      <w:r w:rsidRPr="0036434B">
        <w:rPr>
          <w:b/>
          <w:bCs/>
          <w:vertAlign w:val="superscript"/>
        </w:rPr>
        <w:t>+</w:t>
      </w:r>
      <w:r>
        <w:rPr>
          <w:b/>
          <w:bCs/>
        </w:rPr>
        <w:t xml:space="preserve"> T cell frequencies.</w:t>
      </w:r>
    </w:p>
    <w:p w14:paraId="749A6214" w14:textId="77777777" w:rsidR="00752B6E" w:rsidRDefault="00752B6E" w:rsidP="00752B6E">
      <w:pPr>
        <w:jc w:val="both"/>
      </w:pPr>
      <w:r>
        <w:rPr>
          <w:b/>
          <w:bCs/>
        </w:rPr>
        <w:t>a</w:t>
      </w:r>
      <w:r>
        <w:t>,</w:t>
      </w:r>
      <w:r w:rsidRPr="00467D9A">
        <w:t xml:space="preserve"> </w:t>
      </w:r>
      <w:r>
        <w:t>UMAP of CD8</w:t>
      </w:r>
      <w:r w:rsidRPr="00467D9A">
        <w:rPr>
          <w:vertAlign w:val="superscript"/>
        </w:rPr>
        <w:t>+</w:t>
      </w:r>
      <w:r>
        <w:t xml:space="preserve"> and cytotoxic T subsets in snATAC-seq with label transfer prediction scores from scRNA-seq annotations. </w:t>
      </w:r>
      <w:r>
        <w:rPr>
          <w:b/>
          <w:bCs/>
        </w:rPr>
        <w:t>b</w:t>
      </w:r>
      <w:r>
        <w:t>, Volcano plot of significant transcription factors comparing infants with COVID-19 (moderate and severe) and RSV (mild, moderate and severe) Naive CD8</w:t>
      </w:r>
      <w:r w:rsidRPr="00467D9A">
        <w:rPr>
          <w:vertAlign w:val="superscript"/>
        </w:rPr>
        <w:t>+</w:t>
      </w:r>
      <w:r>
        <w:t xml:space="preserve"> T cells. </w:t>
      </w:r>
      <w:r>
        <w:rPr>
          <w:b/>
          <w:bCs/>
        </w:rPr>
        <w:t>c</w:t>
      </w:r>
      <w:r>
        <w:t>, Healthy control comparisons to clinical groups NFKB pathway scores in Naive CD8</w:t>
      </w:r>
      <w:r w:rsidRPr="00467D9A">
        <w:rPr>
          <w:vertAlign w:val="superscript"/>
        </w:rPr>
        <w:t>+</w:t>
      </w:r>
      <w:r>
        <w:t xml:space="preserve"> T cells. </w:t>
      </w:r>
      <w:r>
        <w:rPr>
          <w:b/>
          <w:bCs/>
        </w:rPr>
        <w:t>d</w:t>
      </w:r>
      <w:r>
        <w:t>, Min-max scaled gene expression of NFKB pathway genes used in NFKB pathway scores in Naive CD8</w:t>
      </w:r>
      <w:r w:rsidRPr="00467D9A">
        <w:rPr>
          <w:vertAlign w:val="superscript"/>
        </w:rPr>
        <w:t>+</w:t>
      </w:r>
      <w:r>
        <w:t xml:space="preserve"> T cells. </w:t>
      </w:r>
      <w:r>
        <w:rPr>
          <w:b/>
          <w:bCs/>
        </w:rPr>
        <w:t>e</w:t>
      </w:r>
      <w:r>
        <w:t xml:space="preserve">, Expression of </w:t>
      </w:r>
      <w:r w:rsidRPr="00467D9A">
        <w:rPr>
          <w:i/>
          <w:iCs/>
        </w:rPr>
        <w:t>CCR7</w:t>
      </w:r>
      <w:r>
        <w:t xml:space="preserve"> (Naive) and </w:t>
      </w:r>
      <w:r w:rsidRPr="00467D9A">
        <w:rPr>
          <w:i/>
          <w:iCs/>
        </w:rPr>
        <w:t>S100A4</w:t>
      </w:r>
      <w:r>
        <w:t xml:space="preserve"> (Memory) for CD4</w:t>
      </w:r>
      <w:r w:rsidRPr="00467D9A">
        <w:rPr>
          <w:vertAlign w:val="superscript"/>
        </w:rPr>
        <w:t>+</w:t>
      </w:r>
      <w:r>
        <w:t xml:space="preserve"> T subsets. </w:t>
      </w:r>
      <w:r>
        <w:rPr>
          <w:b/>
          <w:bCs/>
        </w:rPr>
        <w:t>f</w:t>
      </w:r>
      <w:r w:rsidRPr="00467D9A">
        <w:t>,</w:t>
      </w:r>
      <w:r>
        <w:t xml:space="preserve"> Min-max expression of memory CD4</w:t>
      </w:r>
      <w:r w:rsidRPr="00840188">
        <w:rPr>
          <w:vertAlign w:val="superscript"/>
        </w:rPr>
        <w:t>+</w:t>
      </w:r>
      <w:r>
        <w:t xml:space="preserve"> T subset marker genes. </w:t>
      </w:r>
      <w:r>
        <w:rPr>
          <w:b/>
          <w:bCs/>
        </w:rPr>
        <w:t>g</w:t>
      </w:r>
      <w:r>
        <w:t>, Density plots of memory CD4</w:t>
      </w:r>
      <w:r w:rsidRPr="00167773">
        <w:rPr>
          <w:vertAlign w:val="superscript"/>
        </w:rPr>
        <w:t>+</w:t>
      </w:r>
      <w:r>
        <w:t xml:space="preserve"> T cluster marker genes. </w:t>
      </w:r>
      <w:r>
        <w:rPr>
          <w:b/>
          <w:bCs/>
        </w:rPr>
        <w:t>h</w:t>
      </w:r>
      <w:r>
        <w:t>, Pairwise comparisons of CD4</w:t>
      </w:r>
      <w:r w:rsidRPr="00840188">
        <w:rPr>
          <w:vertAlign w:val="superscript"/>
        </w:rPr>
        <w:t>+</w:t>
      </w:r>
      <w:r>
        <w:t xml:space="preserve"> T</w:t>
      </w:r>
      <w:r w:rsidRPr="00840188">
        <w:rPr>
          <w:vertAlign w:val="subscript"/>
        </w:rPr>
        <w:t>CM</w:t>
      </w:r>
      <w:r>
        <w:t>, ISG</w:t>
      </w:r>
      <w:r w:rsidRPr="00840188">
        <w:rPr>
          <w:vertAlign w:val="superscript"/>
        </w:rPr>
        <w:t>lo</w:t>
      </w:r>
      <w:r>
        <w:t xml:space="preserve"> T</w:t>
      </w:r>
      <w:r w:rsidRPr="00D20F38">
        <w:t>fh</w:t>
      </w:r>
      <w:r>
        <w:t>, Th</w:t>
      </w:r>
      <w:r w:rsidRPr="00D20F38">
        <w:t>1</w:t>
      </w:r>
      <w:r>
        <w:t>, Th</w:t>
      </w:r>
      <w:r w:rsidRPr="00D20F38">
        <w:t>2</w:t>
      </w:r>
      <w:r>
        <w:t>, and Th</w:t>
      </w:r>
      <w:r w:rsidRPr="00D20F38">
        <w:t>17</w:t>
      </w:r>
      <w:r>
        <w:t xml:space="preserve"> cell frequencies as a percentage of PBMCs. </w:t>
      </w:r>
      <w:r>
        <w:rPr>
          <w:b/>
          <w:bCs/>
        </w:rPr>
        <w:t>i</w:t>
      </w:r>
      <w:r>
        <w:t>, Healthy control comparisons to clinical groups of ISG</w:t>
      </w:r>
      <w:r w:rsidRPr="00D20F38">
        <w:rPr>
          <w:vertAlign w:val="superscript"/>
        </w:rPr>
        <w:t>hi</w:t>
      </w:r>
      <w:r>
        <w:t xml:space="preserve"> Tfh, CD4</w:t>
      </w:r>
      <w:r w:rsidRPr="00D20F38">
        <w:rPr>
          <w:vertAlign w:val="superscript"/>
        </w:rPr>
        <w:t>+</w:t>
      </w:r>
      <w:r>
        <w:t xml:space="preserve"> T</w:t>
      </w:r>
      <w:r w:rsidRPr="00D20F38">
        <w:rPr>
          <w:vertAlign w:val="subscript"/>
        </w:rPr>
        <w:t>EMRA</w:t>
      </w:r>
      <w:r>
        <w:t xml:space="preserve"> and Th22 cell frequencies as a percentage of PBMCs. </w:t>
      </w:r>
      <w:r>
        <w:rPr>
          <w:b/>
          <w:bCs/>
        </w:rPr>
        <w:t>j</w:t>
      </w:r>
      <w:r>
        <w:t xml:space="preserve"> Pairwise comparison of ISG</w:t>
      </w:r>
      <w:r w:rsidRPr="00D20F38">
        <w:rPr>
          <w:vertAlign w:val="superscript"/>
        </w:rPr>
        <w:t>lo</w:t>
      </w:r>
      <w:r>
        <w:t xml:space="preserve"> naive T</w:t>
      </w:r>
      <w:r w:rsidRPr="00D20F38">
        <w:rPr>
          <w:vertAlign w:val="subscript"/>
        </w:rPr>
        <w:t>reg</w:t>
      </w:r>
      <w:r>
        <w:t xml:space="preserve"> cell frequencies as a percentage of PBMCs. </w:t>
      </w:r>
      <w:r>
        <w:rPr>
          <w:b/>
          <w:bCs/>
        </w:rPr>
        <w:t>k</w:t>
      </w:r>
      <w:r>
        <w:t>, Healthy control comparisons to clinical groups of ISGhi naive T</w:t>
      </w:r>
      <w:r w:rsidRPr="00D20F38">
        <w:rPr>
          <w:vertAlign w:val="subscript"/>
        </w:rPr>
        <w:t>reg</w:t>
      </w:r>
      <w:r>
        <w:t xml:space="preserve"> </w:t>
      </w:r>
      <w:r>
        <w:lastRenderedPageBreak/>
        <w:t>and memory T</w:t>
      </w:r>
      <w:r w:rsidRPr="00D20F38">
        <w:rPr>
          <w:vertAlign w:val="subscript"/>
        </w:rPr>
        <w:t>reg</w:t>
      </w:r>
      <w:r>
        <w:t xml:space="preserve"> cell frequencies as a percentage of PBMCs. </w:t>
      </w:r>
      <w:r>
        <w:rPr>
          <w:b/>
          <w:bCs/>
        </w:rPr>
        <w:t>l</w:t>
      </w:r>
      <w:r>
        <w:t>, Pairwise and healthy control comparison of ISG scores in Naive CD4</w:t>
      </w:r>
      <w:r w:rsidRPr="00D20F38">
        <w:rPr>
          <w:vertAlign w:val="superscript"/>
        </w:rPr>
        <w:t>+</w:t>
      </w:r>
      <w:r>
        <w:t xml:space="preserve"> T cells. Statistical tests for pairwise comparisons between healthy controls, COVID-19 (moderate and severe) and RSV (mild, moderate and severe) were calculated using Dunn’s test of multiple comparisons (panels</w:t>
      </w:r>
      <w:r>
        <w:rPr>
          <w:b/>
          <w:bCs/>
        </w:rPr>
        <w:t xml:space="preserve"> h</w:t>
      </w:r>
      <w:r w:rsidRPr="00D20F38">
        <w:t>,</w:t>
      </w:r>
      <w:r>
        <w:rPr>
          <w:b/>
          <w:bCs/>
        </w:rPr>
        <w:t>j</w:t>
      </w:r>
      <w:r w:rsidRPr="00D20F38">
        <w:t>,</w:t>
      </w:r>
      <w:r>
        <w:rPr>
          <w:b/>
          <w:bCs/>
        </w:rPr>
        <w:t>l</w:t>
      </w:r>
      <w:r>
        <w:t xml:space="preserve">). Statistical tests for healthy control comparisons across clinical groups were calculated using Mann-Whitney rank sum tests followed by Benjamini Hochberg multiple hypothesis correction (panels </w:t>
      </w:r>
      <w:r>
        <w:rPr>
          <w:b/>
          <w:bCs/>
        </w:rPr>
        <w:t>c</w:t>
      </w:r>
      <w:r>
        <w:t>,</w:t>
      </w:r>
      <w:r w:rsidRPr="00D20F38">
        <w:rPr>
          <w:b/>
          <w:bCs/>
        </w:rPr>
        <w:t>i</w:t>
      </w:r>
      <w:r>
        <w:t>,</w:t>
      </w:r>
      <w:r w:rsidRPr="00D20F38">
        <w:rPr>
          <w:b/>
          <w:bCs/>
        </w:rPr>
        <w:t>k</w:t>
      </w:r>
      <w:r>
        <w:t>,</w:t>
      </w:r>
      <w:r w:rsidRPr="00D20F38">
        <w:rPr>
          <w:b/>
          <w:bCs/>
        </w:rPr>
        <w:t>l</w:t>
      </w:r>
      <w:r>
        <w:t>). Significant comparisons (p</w:t>
      </w:r>
      <w:r w:rsidRPr="00B57623">
        <w:rPr>
          <w:vertAlign w:val="subscript"/>
        </w:rPr>
        <w:t>adj</w:t>
      </w:r>
      <w:r>
        <w:t xml:space="preserve"> &lt; 0.05) to healthy controls are indicated by a red asterisk.</w:t>
      </w:r>
    </w:p>
    <w:p w14:paraId="61B1A0F6" w14:textId="77777777" w:rsidR="00752B6E" w:rsidRDefault="00752B6E" w:rsidP="00752B6E">
      <w:r>
        <w:br w:type="page"/>
      </w:r>
    </w:p>
    <w:p w14:paraId="7678D568" w14:textId="77777777" w:rsidR="00752B6E" w:rsidRDefault="00752B6E" w:rsidP="00752B6E">
      <w:pPr>
        <w:jc w:val="both"/>
      </w:pPr>
      <w:r>
        <w:rPr>
          <w:noProof/>
        </w:rPr>
        <w:lastRenderedPageBreak/>
        <w:drawing>
          <wp:inline distT="0" distB="0" distL="0" distR="0" wp14:anchorId="5B85BC49" wp14:editId="667AA0CE">
            <wp:extent cx="5943600" cy="7692390"/>
            <wp:effectExtent l="0" t="0" r="0" b="3810"/>
            <wp:docPr id="830195253" name="Picture 14" descr="A chart of different colored box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0195253" name="Picture 14" descr="A chart of different colored boxes&#10;&#10;Description automatically generated with medium confidenc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2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9FE108" w14:textId="77777777" w:rsidR="00752B6E" w:rsidRDefault="00752B6E" w:rsidP="00752B6E">
      <w:pPr>
        <w:jc w:val="both"/>
        <w:rPr>
          <w:b/>
          <w:bCs/>
        </w:rPr>
      </w:pPr>
      <w:r>
        <w:rPr>
          <w:b/>
          <w:bCs/>
        </w:rPr>
        <w:t>Extended Data Fig. 8: ISG scores and chromatin accessibility in CD4</w:t>
      </w:r>
      <w:r w:rsidRPr="00E57691">
        <w:rPr>
          <w:b/>
          <w:bCs/>
          <w:vertAlign w:val="superscript"/>
        </w:rPr>
        <w:t>+</w:t>
      </w:r>
      <w:r>
        <w:rPr>
          <w:b/>
          <w:bCs/>
        </w:rPr>
        <w:t xml:space="preserve"> T cells.</w:t>
      </w:r>
    </w:p>
    <w:p w14:paraId="5488B943" w14:textId="77777777" w:rsidR="00752B6E" w:rsidRDefault="00752B6E" w:rsidP="00752B6E">
      <w:pPr>
        <w:jc w:val="both"/>
      </w:pPr>
      <w:r>
        <w:rPr>
          <w:b/>
          <w:bCs/>
        </w:rPr>
        <w:lastRenderedPageBreak/>
        <w:t>a</w:t>
      </w:r>
      <w:r w:rsidRPr="00E57691">
        <w:t>,</w:t>
      </w:r>
      <w:r>
        <w:rPr>
          <w:b/>
          <w:bCs/>
        </w:rPr>
        <w:t>b</w:t>
      </w:r>
      <w:r w:rsidRPr="00E57691">
        <w:t>,</w:t>
      </w:r>
      <w:r>
        <w:rPr>
          <w:b/>
          <w:bCs/>
        </w:rPr>
        <w:t>c</w:t>
      </w:r>
      <w:r w:rsidRPr="00E57691">
        <w:t>,</w:t>
      </w:r>
      <w:r>
        <w:rPr>
          <w:b/>
          <w:bCs/>
        </w:rPr>
        <w:t>d</w:t>
      </w:r>
      <w:r w:rsidRPr="00E57691">
        <w:t>,</w:t>
      </w:r>
      <w:r>
        <w:rPr>
          <w:b/>
          <w:bCs/>
        </w:rPr>
        <w:t>e</w:t>
      </w:r>
      <w:r w:rsidRPr="00E57691">
        <w:t>,</w:t>
      </w:r>
      <w:r>
        <w:rPr>
          <w:b/>
          <w:bCs/>
        </w:rPr>
        <w:t>f</w:t>
      </w:r>
      <w:r w:rsidRPr="00E57691">
        <w:t>,</w:t>
      </w:r>
      <w:r>
        <w:rPr>
          <w:b/>
          <w:bCs/>
        </w:rPr>
        <w:t>g</w:t>
      </w:r>
      <w:r w:rsidRPr="00E57691">
        <w:t>,</w:t>
      </w:r>
      <w:r>
        <w:rPr>
          <w:b/>
          <w:bCs/>
        </w:rPr>
        <w:t>h</w:t>
      </w:r>
      <w:r w:rsidRPr="00E57691">
        <w:t>,</w:t>
      </w:r>
      <w:r>
        <w:rPr>
          <w:b/>
          <w:bCs/>
        </w:rPr>
        <w:t>i</w:t>
      </w:r>
      <w:r>
        <w:t>,</w:t>
      </w:r>
      <w:r w:rsidRPr="00E57691">
        <w:t xml:space="preserve"> </w:t>
      </w:r>
      <w:r>
        <w:t>Pairwise and healthy control comparison of ISG scores for memory CD4</w:t>
      </w:r>
      <w:r w:rsidRPr="00D20F38">
        <w:rPr>
          <w:vertAlign w:val="superscript"/>
        </w:rPr>
        <w:t>+</w:t>
      </w:r>
      <w:r>
        <w:t xml:space="preserve"> T and T</w:t>
      </w:r>
      <w:r w:rsidRPr="002C72B4">
        <w:rPr>
          <w:vertAlign w:val="subscript"/>
        </w:rPr>
        <w:t>reg</w:t>
      </w:r>
      <w:r>
        <w:t xml:space="preserve"> subsets. </w:t>
      </w:r>
      <w:r>
        <w:rPr>
          <w:b/>
          <w:bCs/>
        </w:rPr>
        <w:t>j</w:t>
      </w:r>
      <w:r>
        <w:t>, UMAP of CD4</w:t>
      </w:r>
      <w:r w:rsidRPr="00467D9A">
        <w:rPr>
          <w:vertAlign w:val="superscript"/>
        </w:rPr>
        <w:t>+</w:t>
      </w:r>
      <w:r>
        <w:t xml:space="preserve"> T subsets in snATAC-seq with label transfer prediction scores from scRNA-seq annotations. </w:t>
      </w:r>
      <w:r>
        <w:rPr>
          <w:b/>
          <w:bCs/>
        </w:rPr>
        <w:t>k</w:t>
      </w:r>
      <w:r>
        <w:t>, Volcano plots of significant transcription factors comparing infants with COVID-19 (moderate and severe), RSV (mild, moderate and severe) and healthy controls in Naive CD4</w:t>
      </w:r>
      <w:r w:rsidRPr="002C72B4">
        <w:rPr>
          <w:vertAlign w:val="superscript"/>
        </w:rPr>
        <w:t>+</w:t>
      </w:r>
      <w:r>
        <w:t xml:space="preserve"> T cells. </w:t>
      </w:r>
      <w:r>
        <w:rPr>
          <w:b/>
          <w:bCs/>
        </w:rPr>
        <w:t>l</w:t>
      </w:r>
      <w:r>
        <w:t>, Pairwise comparisons of NFKB/REL chromVAR deviation scores and NFKB Pathway scores in Naive CD4</w:t>
      </w:r>
      <w:r w:rsidRPr="00814D86">
        <w:rPr>
          <w:vertAlign w:val="superscript"/>
        </w:rPr>
        <w:t>+</w:t>
      </w:r>
      <w:r>
        <w:t xml:space="preserve"> Tcells. </w:t>
      </w:r>
      <w:r>
        <w:rPr>
          <w:b/>
          <w:bCs/>
        </w:rPr>
        <w:t>m</w:t>
      </w:r>
      <w:r>
        <w:t>, Healthy control comparisons to clinical groups NFKB pathway scores in Naive CD4</w:t>
      </w:r>
      <w:r w:rsidRPr="00467D9A">
        <w:rPr>
          <w:vertAlign w:val="superscript"/>
        </w:rPr>
        <w:t>+</w:t>
      </w:r>
      <w:r>
        <w:t xml:space="preserve"> T cells. </w:t>
      </w:r>
      <w:r>
        <w:rPr>
          <w:b/>
          <w:bCs/>
        </w:rPr>
        <w:t>n</w:t>
      </w:r>
      <w:r>
        <w:t>, Min-max scaled gene expression of NFKB pathway genes used in NFKB pathway scores in Naive CD4</w:t>
      </w:r>
      <w:r w:rsidRPr="00467D9A">
        <w:rPr>
          <w:vertAlign w:val="superscript"/>
        </w:rPr>
        <w:t>+</w:t>
      </w:r>
      <w:r>
        <w:t xml:space="preserve"> T cells. Statistical tests for pairwise comparisons between healthy controls, COVID-19 (moderate and severe) and RSV (mild, moderate and severe) were calculated using Dunn’s test of multiple comparisons (panels</w:t>
      </w:r>
      <w:r>
        <w:rPr>
          <w:b/>
          <w:bCs/>
        </w:rPr>
        <w:t xml:space="preserve"> a</w:t>
      </w:r>
      <w:r w:rsidRPr="00E57691">
        <w:t>,</w:t>
      </w:r>
      <w:r>
        <w:rPr>
          <w:b/>
          <w:bCs/>
        </w:rPr>
        <w:t>b</w:t>
      </w:r>
      <w:r w:rsidRPr="00E57691">
        <w:t>,</w:t>
      </w:r>
      <w:r>
        <w:rPr>
          <w:b/>
          <w:bCs/>
        </w:rPr>
        <w:t>c</w:t>
      </w:r>
      <w:r w:rsidRPr="00E57691">
        <w:t>,</w:t>
      </w:r>
      <w:r>
        <w:rPr>
          <w:b/>
          <w:bCs/>
        </w:rPr>
        <w:t>d</w:t>
      </w:r>
      <w:r w:rsidRPr="00E57691">
        <w:t>,</w:t>
      </w:r>
      <w:r>
        <w:rPr>
          <w:b/>
          <w:bCs/>
        </w:rPr>
        <w:t>e</w:t>
      </w:r>
      <w:r w:rsidRPr="00E57691">
        <w:t>,</w:t>
      </w:r>
      <w:r>
        <w:rPr>
          <w:b/>
          <w:bCs/>
        </w:rPr>
        <w:t>f</w:t>
      </w:r>
      <w:r w:rsidRPr="00E57691">
        <w:t>,</w:t>
      </w:r>
      <w:r>
        <w:rPr>
          <w:b/>
          <w:bCs/>
        </w:rPr>
        <w:t>g</w:t>
      </w:r>
      <w:r w:rsidRPr="00E57691">
        <w:t>,</w:t>
      </w:r>
      <w:r>
        <w:rPr>
          <w:b/>
          <w:bCs/>
        </w:rPr>
        <w:t>h</w:t>
      </w:r>
      <w:r w:rsidRPr="00E57691">
        <w:t>,</w:t>
      </w:r>
      <w:r>
        <w:rPr>
          <w:b/>
          <w:bCs/>
        </w:rPr>
        <w:t>i</w:t>
      </w:r>
      <w:r w:rsidRPr="00814D86">
        <w:t>,</w:t>
      </w:r>
      <w:r>
        <w:rPr>
          <w:b/>
          <w:bCs/>
        </w:rPr>
        <w:t>l</w:t>
      </w:r>
      <w:r>
        <w:t xml:space="preserve">). Statistical tests for healthy control comparisons across clinical groups were calculated using Mann-Whitney rank sum tests followed by Benjamini Hochberg multiple hypothesis correction (panels </w:t>
      </w:r>
      <w:r>
        <w:rPr>
          <w:b/>
          <w:bCs/>
        </w:rPr>
        <w:t>a</w:t>
      </w:r>
      <w:r w:rsidRPr="00E57691">
        <w:t>,</w:t>
      </w:r>
      <w:r>
        <w:rPr>
          <w:b/>
          <w:bCs/>
        </w:rPr>
        <w:t>b</w:t>
      </w:r>
      <w:r w:rsidRPr="00E57691">
        <w:t>,</w:t>
      </w:r>
      <w:r>
        <w:rPr>
          <w:b/>
          <w:bCs/>
        </w:rPr>
        <w:t>c</w:t>
      </w:r>
      <w:r w:rsidRPr="00E57691">
        <w:t>,</w:t>
      </w:r>
      <w:r>
        <w:rPr>
          <w:b/>
          <w:bCs/>
        </w:rPr>
        <w:t>d</w:t>
      </w:r>
      <w:r w:rsidRPr="00E57691">
        <w:t>,</w:t>
      </w:r>
      <w:r>
        <w:rPr>
          <w:b/>
          <w:bCs/>
        </w:rPr>
        <w:t>e</w:t>
      </w:r>
      <w:r w:rsidRPr="00E57691">
        <w:t>,</w:t>
      </w:r>
      <w:r>
        <w:rPr>
          <w:b/>
          <w:bCs/>
        </w:rPr>
        <w:t>f</w:t>
      </w:r>
      <w:r w:rsidRPr="00E57691">
        <w:t>,</w:t>
      </w:r>
      <w:r>
        <w:rPr>
          <w:b/>
          <w:bCs/>
        </w:rPr>
        <w:t>g</w:t>
      </w:r>
      <w:r w:rsidRPr="00E57691">
        <w:t>,</w:t>
      </w:r>
      <w:r>
        <w:rPr>
          <w:b/>
          <w:bCs/>
        </w:rPr>
        <w:t>h</w:t>
      </w:r>
      <w:r w:rsidRPr="00E57691">
        <w:t>,</w:t>
      </w:r>
      <w:r>
        <w:rPr>
          <w:b/>
          <w:bCs/>
        </w:rPr>
        <w:t>i</w:t>
      </w:r>
      <w:r>
        <w:t>,</w:t>
      </w:r>
      <w:r w:rsidRPr="00814D86">
        <w:rPr>
          <w:b/>
          <w:bCs/>
        </w:rPr>
        <w:t>m</w:t>
      </w:r>
      <w:r>
        <w:t>). Significant comparisons (p</w:t>
      </w:r>
      <w:r w:rsidRPr="00B57623">
        <w:rPr>
          <w:vertAlign w:val="subscript"/>
        </w:rPr>
        <w:t>adj</w:t>
      </w:r>
      <w:r>
        <w:t xml:space="preserve"> &lt; 0.05) to healthy controls are indicated by a red asterisk.</w:t>
      </w:r>
    </w:p>
    <w:p w14:paraId="1C381283" w14:textId="77777777" w:rsidR="00752B6E" w:rsidRDefault="00752B6E" w:rsidP="00752B6E">
      <w:r>
        <w:br w:type="page"/>
      </w:r>
    </w:p>
    <w:p w14:paraId="2E2AF6E5" w14:textId="77777777" w:rsidR="00752B6E" w:rsidRDefault="00752B6E" w:rsidP="00752B6E">
      <w:pPr>
        <w:jc w:val="both"/>
      </w:pPr>
      <w:r>
        <w:rPr>
          <w:noProof/>
        </w:rPr>
        <w:lastRenderedPageBreak/>
        <w:drawing>
          <wp:inline distT="0" distB="0" distL="0" distR="0" wp14:anchorId="5AA3A9C2" wp14:editId="5603AFC3">
            <wp:extent cx="5943600" cy="5873115"/>
            <wp:effectExtent l="0" t="0" r="0" b="0"/>
            <wp:docPr id="1464653959" name="Picture 15" descr="A chart of different colored and black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4653959" name="Picture 15" descr="A chart of different colored and black numbers&#10;&#10;Description automatically generated with medium confidence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873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4E77B9" w14:textId="77777777" w:rsidR="00752B6E" w:rsidRDefault="00752B6E" w:rsidP="00752B6E">
      <w:pPr>
        <w:jc w:val="both"/>
        <w:rPr>
          <w:b/>
          <w:bCs/>
        </w:rPr>
      </w:pPr>
      <w:r>
        <w:rPr>
          <w:b/>
          <w:bCs/>
        </w:rPr>
        <w:t>Extended Data Fig. 9: ISG scores and chromatin remodeling of B cells</w:t>
      </w:r>
    </w:p>
    <w:p w14:paraId="7A53C773" w14:textId="77777777" w:rsidR="00752B6E" w:rsidRDefault="00752B6E" w:rsidP="00752B6E">
      <w:pPr>
        <w:jc w:val="both"/>
      </w:pPr>
      <w:r>
        <w:rPr>
          <w:b/>
          <w:bCs/>
        </w:rPr>
        <w:t>a</w:t>
      </w:r>
      <w:r>
        <w:t xml:space="preserve">, Pairwise comparison of B cell subset frequencies as a percentage of PBMCs. </w:t>
      </w:r>
      <w:r>
        <w:rPr>
          <w:b/>
          <w:bCs/>
        </w:rPr>
        <w:t>b</w:t>
      </w:r>
      <w:r>
        <w:t>, Pairwise comparison of ISG</w:t>
      </w:r>
      <w:r w:rsidRPr="00965485">
        <w:rPr>
          <w:vertAlign w:val="superscript"/>
        </w:rPr>
        <w:t>hi</w:t>
      </w:r>
      <w:r>
        <w:t xml:space="preserve"> naive B and ISG</w:t>
      </w:r>
      <w:r w:rsidRPr="00965485">
        <w:rPr>
          <w:vertAlign w:val="superscript"/>
        </w:rPr>
        <w:t>hi</w:t>
      </w:r>
      <w:r>
        <w:t xml:space="preserve"> TrB cell frequencies as a percentage of PBMCs. </w:t>
      </w:r>
      <w:r>
        <w:rPr>
          <w:b/>
          <w:bCs/>
        </w:rPr>
        <w:t>c</w:t>
      </w:r>
      <w:r>
        <w:t xml:space="preserve">, Relative frequency of naive B subsets. </w:t>
      </w:r>
      <w:r>
        <w:rPr>
          <w:b/>
          <w:bCs/>
        </w:rPr>
        <w:t>d</w:t>
      </w:r>
      <w:r>
        <w:t>,</w:t>
      </w:r>
      <w:r w:rsidRPr="00965485">
        <w:rPr>
          <w:b/>
          <w:bCs/>
        </w:rPr>
        <w:t>e</w:t>
      </w:r>
      <w:r>
        <w:t>,</w:t>
      </w:r>
      <w:r w:rsidRPr="00965485">
        <w:rPr>
          <w:b/>
          <w:bCs/>
        </w:rPr>
        <w:t>f</w:t>
      </w:r>
      <w:r>
        <w:t>,</w:t>
      </w:r>
      <w:r w:rsidRPr="00965485">
        <w:rPr>
          <w:b/>
          <w:bCs/>
        </w:rPr>
        <w:t>g</w:t>
      </w:r>
      <w:r>
        <w:t>,</w:t>
      </w:r>
      <w:r w:rsidRPr="00965485">
        <w:rPr>
          <w:b/>
          <w:bCs/>
        </w:rPr>
        <w:t>h</w:t>
      </w:r>
      <w:r>
        <w:t>,</w:t>
      </w:r>
      <w:r w:rsidRPr="00965485">
        <w:rPr>
          <w:b/>
          <w:bCs/>
        </w:rPr>
        <w:t>i</w:t>
      </w:r>
      <w:r>
        <w:t xml:space="preserve">, Pairwise and healthy control comparisons of ISG scores in B cell subsets. </w:t>
      </w:r>
      <w:r>
        <w:rPr>
          <w:b/>
          <w:bCs/>
        </w:rPr>
        <w:t>j</w:t>
      </w:r>
      <w:r>
        <w:t xml:space="preserve">, Volcano plot of statistically significant transcription factors comparing infants with COVID-19 (moderate and severe), RSV (mild, moderate and severe) and healthy controls in TrB cells. </w:t>
      </w:r>
      <w:r>
        <w:rPr>
          <w:b/>
          <w:bCs/>
        </w:rPr>
        <w:t>k</w:t>
      </w:r>
      <w:r>
        <w:t xml:space="preserve">, Pairwise comparison of </w:t>
      </w:r>
      <w:r w:rsidRPr="00965485">
        <w:rPr>
          <w:i/>
          <w:iCs/>
        </w:rPr>
        <w:t>FOS</w:t>
      </w:r>
      <w:r>
        <w:t xml:space="preserve"> expression in TrB cells. </w:t>
      </w:r>
      <w:r>
        <w:rPr>
          <w:b/>
          <w:bCs/>
        </w:rPr>
        <w:t>l</w:t>
      </w:r>
      <w:r>
        <w:t>, Frequency of all dexamethasone untreated and dexamethasone treated infants as a percentage of FKBP5</w:t>
      </w:r>
      <w:r w:rsidRPr="001F5B4D">
        <w:rPr>
          <w:vertAlign w:val="superscript"/>
        </w:rPr>
        <w:t>hi</w:t>
      </w:r>
      <w:r>
        <w:t xml:space="preserve"> B cells. </w:t>
      </w:r>
      <w:r>
        <w:rPr>
          <w:b/>
          <w:bCs/>
        </w:rPr>
        <w:t>m</w:t>
      </w:r>
      <w:r>
        <w:t xml:space="preserve">, ISG scores between naive B subsets. Statistical tests for all pairwise comparisons between healthy controls, COVID-19 (moderate and severe) and RSV (mild, moderate and severe) and Naive B cell states were calculated using Dunn’s test of multiple comparisons (panels </w:t>
      </w:r>
      <w:r w:rsidRPr="001F5B4D">
        <w:rPr>
          <w:b/>
          <w:bCs/>
        </w:rPr>
        <w:t>a</w:t>
      </w:r>
      <w:r>
        <w:t>,</w:t>
      </w:r>
      <w:r w:rsidRPr="001F5B4D">
        <w:rPr>
          <w:b/>
          <w:bCs/>
        </w:rPr>
        <w:t>b</w:t>
      </w:r>
      <w:r>
        <w:t>,</w:t>
      </w:r>
      <w:r>
        <w:rPr>
          <w:b/>
          <w:bCs/>
        </w:rPr>
        <w:t>d</w:t>
      </w:r>
      <w:r>
        <w:t>,</w:t>
      </w:r>
      <w:r w:rsidRPr="00965485">
        <w:rPr>
          <w:b/>
          <w:bCs/>
        </w:rPr>
        <w:t>e</w:t>
      </w:r>
      <w:r>
        <w:t>,</w:t>
      </w:r>
      <w:r w:rsidRPr="00965485">
        <w:rPr>
          <w:b/>
          <w:bCs/>
        </w:rPr>
        <w:t>f</w:t>
      </w:r>
      <w:r>
        <w:t>,</w:t>
      </w:r>
      <w:r w:rsidRPr="00965485">
        <w:rPr>
          <w:b/>
          <w:bCs/>
        </w:rPr>
        <w:t>g</w:t>
      </w:r>
      <w:r>
        <w:t>,</w:t>
      </w:r>
      <w:r w:rsidRPr="00965485">
        <w:rPr>
          <w:b/>
          <w:bCs/>
        </w:rPr>
        <w:t>h</w:t>
      </w:r>
      <w:r>
        <w:t>,</w:t>
      </w:r>
      <w:r w:rsidRPr="00965485">
        <w:rPr>
          <w:b/>
          <w:bCs/>
        </w:rPr>
        <w:t>i</w:t>
      </w:r>
      <w:r>
        <w:t>,</w:t>
      </w:r>
      <w:r w:rsidRPr="00814D86">
        <w:rPr>
          <w:b/>
          <w:bCs/>
        </w:rPr>
        <w:t>m</w:t>
      </w:r>
      <w:r>
        <w:t xml:space="preserve">). Statistical tests for healthy control </w:t>
      </w:r>
      <w:r>
        <w:lastRenderedPageBreak/>
        <w:t xml:space="preserve">comparisons across clinical groups were calculated using Mann-Whitney rank sum tests followed by Benjamini Hochberg multiple hypothesis correction (panels </w:t>
      </w:r>
      <w:r>
        <w:rPr>
          <w:b/>
          <w:bCs/>
        </w:rPr>
        <w:t>d</w:t>
      </w:r>
      <w:r>
        <w:t>,</w:t>
      </w:r>
      <w:r w:rsidRPr="00965485">
        <w:rPr>
          <w:b/>
          <w:bCs/>
        </w:rPr>
        <w:t>e</w:t>
      </w:r>
      <w:r>
        <w:t>,</w:t>
      </w:r>
      <w:r w:rsidRPr="00965485">
        <w:rPr>
          <w:b/>
          <w:bCs/>
        </w:rPr>
        <w:t>f</w:t>
      </w:r>
      <w:r>
        <w:t>,</w:t>
      </w:r>
      <w:r w:rsidRPr="00965485">
        <w:rPr>
          <w:b/>
          <w:bCs/>
        </w:rPr>
        <w:t>g</w:t>
      </w:r>
      <w:r>
        <w:t>,</w:t>
      </w:r>
      <w:r w:rsidRPr="00965485">
        <w:rPr>
          <w:b/>
          <w:bCs/>
        </w:rPr>
        <w:t>h</w:t>
      </w:r>
      <w:r>
        <w:t>,</w:t>
      </w:r>
      <w:r w:rsidRPr="00965485">
        <w:rPr>
          <w:b/>
          <w:bCs/>
        </w:rPr>
        <w:t>i</w:t>
      </w:r>
      <w:r>
        <w:t>). Significant comparisons (p</w:t>
      </w:r>
      <w:r w:rsidRPr="00B57623">
        <w:rPr>
          <w:vertAlign w:val="subscript"/>
        </w:rPr>
        <w:t>adj</w:t>
      </w:r>
      <w:r>
        <w:t xml:space="preserve"> &lt; 0.05) to healthy controls are indicated by a red asterisk. </w:t>
      </w:r>
    </w:p>
    <w:p w14:paraId="7B177F69" w14:textId="77777777" w:rsidR="00752B6E" w:rsidRDefault="00752B6E" w:rsidP="00752B6E">
      <w:pPr>
        <w:jc w:val="both"/>
      </w:pPr>
    </w:p>
    <w:p w14:paraId="4F7FCA11" w14:textId="77777777" w:rsidR="00752B6E" w:rsidRDefault="00752B6E" w:rsidP="00752B6E">
      <w:r>
        <w:br w:type="page"/>
      </w:r>
    </w:p>
    <w:p w14:paraId="7477CFCE" w14:textId="77777777" w:rsidR="00752B6E" w:rsidRPr="001F5B4D" w:rsidRDefault="00752B6E" w:rsidP="00752B6E">
      <w:pPr>
        <w:jc w:val="both"/>
      </w:pPr>
      <w:r>
        <w:rPr>
          <w:noProof/>
        </w:rPr>
        <w:lastRenderedPageBreak/>
        <w:drawing>
          <wp:inline distT="0" distB="0" distL="0" distR="0" wp14:anchorId="4B7D359C" wp14:editId="1888DFF0">
            <wp:extent cx="5943600" cy="2797175"/>
            <wp:effectExtent l="0" t="0" r="0" b="0"/>
            <wp:docPr id="13993401" name="Picture 16" descr="A close-up of a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93401" name="Picture 16" descr="A close-up of a chart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9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6C05AD" w14:textId="77777777" w:rsidR="00752B6E" w:rsidRDefault="00752B6E" w:rsidP="00752B6E">
      <w:pPr>
        <w:jc w:val="both"/>
        <w:rPr>
          <w:b/>
          <w:bCs/>
        </w:rPr>
      </w:pPr>
      <w:r w:rsidRPr="00914340">
        <w:rPr>
          <w:b/>
          <w:bCs/>
        </w:rPr>
        <w:t>Extended Data Fig. 10:</w:t>
      </w:r>
      <w:r>
        <w:rPr>
          <w:b/>
          <w:bCs/>
        </w:rPr>
        <w:t xml:space="preserve"> Differential gene expression and chromatin accessibility in dexamethasone treated infants with COVID-19.</w:t>
      </w:r>
    </w:p>
    <w:p w14:paraId="522290CB" w14:textId="77777777" w:rsidR="00752B6E" w:rsidRPr="009631C9" w:rsidRDefault="00752B6E" w:rsidP="00752B6E">
      <w:pPr>
        <w:jc w:val="both"/>
      </w:pPr>
      <w:r>
        <w:rPr>
          <w:b/>
          <w:bCs/>
        </w:rPr>
        <w:t>a</w:t>
      </w:r>
      <w:r>
        <w:t>,Barplots of the number of differentially expressed genes and differentially accessible peaks in CD14</w:t>
      </w:r>
      <w:r w:rsidRPr="009631C9">
        <w:rPr>
          <w:vertAlign w:val="superscript"/>
        </w:rPr>
        <w:t>+</w:t>
      </w:r>
      <w:r>
        <w:t xml:space="preserve"> monocytes, naive CD4</w:t>
      </w:r>
      <w:r w:rsidRPr="009631C9">
        <w:rPr>
          <w:vertAlign w:val="superscript"/>
        </w:rPr>
        <w:t>+</w:t>
      </w:r>
      <w:r>
        <w:t xml:space="preserve"> T, naive B, naive CD8</w:t>
      </w:r>
      <w:r w:rsidRPr="009631C9">
        <w:rPr>
          <w:vertAlign w:val="superscript"/>
        </w:rPr>
        <w:t>+</w:t>
      </w:r>
      <w:r>
        <w:t xml:space="preserve"> T, CD56</w:t>
      </w:r>
      <w:r w:rsidRPr="009631C9">
        <w:rPr>
          <w:vertAlign w:val="superscript"/>
        </w:rPr>
        <w:t>dim</w:t>
      </w:r>
      <w:r>
        <w:t xml:space="preserve"> NK, CD56</w:t>
      </w:r>
      <w:r w:rsidRPr="009631C9">
        <w:rPr>
          <w:vertAlign w:val="superscript"/>
        </w:rPr>
        <w:t>bright</w:t>
      </w:r>
      <w:r>
        <w:t xml:space="preserve"> NK and memory B cells between severe COVID-19 and severe T COVID-19 groups. </w:t>
      </w:r>
      <w:r w:rsidRPr="009631C9">
        <w:rPr>
          <w:b/>
          <w:bCs/>
        </w:rPr>
        <w:t>b</w:t>
      </w:r>
      <w:r>
        <w:t xml:space="preserve">, (top) </w:t>
      </w:r>
      <w:r w:rsidRPr="009631C9">
        <w:t>Sankey</w:t>
      </w:r>
      <w:r>
        <w:t xml:space="preserve"> plot of shared differentially expressed genes for severe COVID-19 and severe T COVID-19 comparisons. (bottom) Heatmap of CD14</w:t>
      </w:r>
      <w:r w:rsidRPr="009631C9">
        <w:rPr>
          <w:vertAlign w:val="superscript"/>
        </w:rPr>
        <w:t>+</w:t>
      </w:r>
      <w:r>
        <w:t xml:space="preserve"> monocyte specific differentially expressed genes and the top two shared differentially expressed genes in CD14</w:t>
      </w:r>
      <w:r w:rsidRPr="009631C9">
        <w:rPr>
          <w:vertAlign w:val="superscript"/>
        </w:rPr>
        <w:t>+</w:t>
      </w:r>
      <w:r>
        <w:t xml:space="preserve"> monocytes, naive CD4</w:t>
      </w:r>
      <w:r w:rsidRPr="009631C9">
        <w:rPr>
          <w:vertAlign w:val="superscript"/>
        </w:rPr>
        <w:t>+</w:t>
      </w:r>
      <w:r>
        <w:t xml:space="preserve"> T, naive B, naive CD8</w:t>
      </w:r>
      <w:r w:rsidRPr="009631C9">
        <w:rPr>
          <w:vertAlign w:val="superscript"/>
        </w:rPr>
        <w:t>+</w:t>
      </w:r>
      <w:r>
        <w:t xml:space="preserve"> T, CD56</w:t>
      </w:r>
      <w:r w:rsidRPr="009631C9">
        <w:rPr>
          <w:vertAlign w:val="superscript"/>
        </w:rPr>
        <w:t>dim</w:t>
      </w:r>
      <w:r>
        <w:t xml:space="preserve"> NK, CD56</w:t>
      </w:r>
      <w:r w:rsidRPr="009631C9">
        <w:rPr>
          <w:vertAlign w:val="superscript"/>
        </w:rPr>
        <w:t>bright</w:t>
      </w:r>
      <w:r>
        <w:t xml:space="preserve"> NK and memory B cells. </w:t>
      </w:r>
      <w:r>
        <w:rPr>
          <w:b/>
          <w:bCs/>
        </w:rPr>
        <w:t>c</w:t>
      </w:r>
      <w:r>
        <w:t>, Shared differentially expressed genes compared severe COVID-19 and severe treated COVID-19 groups in infants (this study) and adults (Sinha et al. 2022).</w:t>
      </w:r>
    </w:p>
    <w:p w14:paraId="13199883" w14:textId="77777777" w:rsidR="00752B6E" w:rsidRPr="00D20F38" w:rsidRDefault="00752B6E" w:rsidP="00752B6E">
      <w:pPr>
        <w:jc w:val="both"/>
      </w:pPr>
    </w:p>
    <w:p w14:paraId="57FC881F" w14:textId="77777777" w:rsidR="00752B6E" w:rsidRDefault="00752B6E" w:rsidP="00752B6E">
      <w:pPr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0DFEDF63" w14:textId="77777777" w:rsidR="00752B6E" w:rsidRDefault="00752B6E" w:rsidP="00752B6E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br w:type="page"/>
      </w:r>
    </w:p>
    <w:p w14:paraId="05CC8F71" w14:textId="77777777" w:rsidR="00752B6E" w:rsidRPr="00814941" w:rsidRDefault="00752B6E" w:rsidP="00752B6E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814941">
        <w:rPr>
          <w:rFonts w:ascii="Arial" w:hAnsi="Arial" w:cs="Arial"/>
          <w:b/>
          <w:bCs/>
          <w:sz w:val="22"/>
          <w:szCs w:val="22"/>
        </w:rPr>
        <w:lastRenderedPageBreak/>
        <w:t>SUPPLEMENTARY TABLE LEGENDS</w:t>
      </w:r>
    </w:p>
    <w:p w14:paraId="13A7978D" w14:textId="77777777" w:rsidR="00752B6E" w:rsidRDefault="00752B6E" w:rsidP="00752B6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814941">
        <w:rPr>
          <w:rFonts w:ascii="Arial" w:hAnsi="Arial" w:cs="Arial"/>
          <w:b/>
          <w:bCs/>
          <w:sz w:val="22"/>
          <w:szCs w:val="22"/>
        </w:rPr>
        <w:t>Table S1.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814941">
        <w:rPr>
          <w:rFonts w:ascii="Arial" w:hAnsi="Arial" w:cs="Arial"/>
          <w:sz w:val="22"/>
          <w:szCs w:val="22"/>
        </w:rPr>
        <w:t>Detailed metadata on SARS-CoV-2 and RSV infected patients and healthy controls.</w:t>
      </w:r>
    </w:p>
    <w:p w14:paraId="1F6DCA3A" w14:textId="77777777" w:rsidR="00752B6E" w:rsidRDefault="00752B6E" w:rsidP="00752B6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814941">
        <w:rPr>
          <w:rFonts w:ascii="Arial" w:hAnsi="Arial" w:cs="Arial"/>
          <w:b/>
          <w:bCs/>
          <w:sz w:val="22"/>
          <w:szCs w:val="22"/>
        </w:rPr>
        <w:t xml:space="preserve">Table S2. </w:t>
      </w:r>
      <w:r>
        <w:rPr>
          <w:rFonts w:ascii="Arial" w:hAnsi="Arial" w:cs="Arial"/>
          <w:sz w:val="22"/>
          <w:szCs w:val="22"/>
        </w:rPr>
        <w:t>Detailed data on per sample cell numbers for QC steps and final annotations for both scRNA-seq and snATAC-seq. All pairwise and healthy control comparisons among scRNA-seq frequencies for all annotated subsets are also included.</w:t>
      </w:r>
    </w:p>
    <w:p w14:paraId="51F3C9EB" w14:textId="77777777" w:rsidR="00752B6E" w:rsidRDefault="00752B6E" w:rsidP="00752B6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814941">
        <w:rPr>
          <w:rFonts w:ascii="Arial" w:hAnsi="Arial" w:cs="Arial"/>
          <w:b/>
          <w:bCs/>
          <w:sz w:val="22"/>
          <w:szCs w:val="22"/>
        </w:rPr>
        <w:t>Table S3.</w:t>
      </w:r>
      <w:r>
        <w:rPr>
          <w:rFonts w:ascii="Arial" w:hAnsi="Arial" w:cs="Arial"/>
          <w:sz w:val="22"/>
          <w:szCs w:val="22"/>
        </w:rPr>
        <w:t xml:space="preserve"> Cytokine concentrations for all 92 analytes obtained from Olink cytokine inflammation panel.</w:t>
      </w:r>
    </w:p>
    <w:p w14:paraId="109614B7" w14:textId="77777777" w:rsidR="00752B6E" w:rsidRDefault="00752B6E" w:rsidP="00752B6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Table S4. </w:t>
      </w:r>
      <w:r>
        <w:rPr>
          <w:rFonts w:ascii="Arial" w:hAnsi="Arial" w:cs="Arial"/>
          <w:sz w:val="22"/>
          <w:szCs w:val="22"/>
        </w:rPr>
        <w:t>Genes and peaks used for various scores described in the manuscript.</w:t>
      </w:r>
    </w:p>
    <w:p w14:paraId="68A569E0" w14:textId="77777777" w:rsidR="00752B6E" w:rsidRDefault="00752B6E" w:rsidP="00752B6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Table S5.</w:t>
      </w:r>
      <w:r>
        <w:rPr>
          <w:rFonts w:ascii="Arial" w:hAnsi="Arial" w:cs="Arial"/>
          <w:sz w:val="22"/>
          <w:szCs w:val="22"/>
        </w:rPr>
        <w:t xml:space="preserve"> Differentially expressed genes for all subsets and comparisons reporting differences.</w:t>
      </w:r>
    </w:p>
    <w:p w14:paraId="2CDB9576" w14:textId="77777777" w:rsidR="00752B6E" w:rsidRDefault="00752B6E" w:rsidP="00752B6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Table S6.</w:t>
      </w:r>
      <w:r>
        <w:rPr>
          <w:rFonts w:ascii="Arial" w:hAnsi="Arial" w:cs="Arial"/>
          <w:sz w:val="22"/>
          <w:szCs w:val="22"/>
        </w:rPr>
        <w:t xml:space="preserve"> Differentially accessible peaks for all subsets and comparisons reporting differences.</w:t>
      </w:r>
    </w:p>
    <w:p w14:paraId="7F019699" w14:textId="77777777" w:rsidR="00752B6E" w:rsidRDefault="00752B6E" w:rsidP="00752B6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Table S7</w:t>
      </w:r>
      <w:r w:rsidRPr="00814941">
        <w:rPr>
          <w:rFonts w:ascii="Arial" w:hAnsi="Arial" w:cs="Arial"/>
          <w:b/>
          <w:bCs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All DORCs identified using a threshold of 8 peaks for all subsets identifying DORCs.</w:t>
      </w:r>
    </w:p>
    <w:p w14:paraId="7AFB5767" w14:textId="77777777" w:rsidR="00752B6E" w:rsidRPr="00814941" w:rsidRDefault="00752B6E" w:rsidP="00752B6E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Table S8.</w:t>
      </w:r>
      <w:r w:rsidRPr="00814941">
        <w:rPr>
          <w:rFonts w:ascii="Arial" w:hAnsi="Arial" w:cs="Arial"/>
          <w:sz w:val="22"/>
          <w:szCs w:val="22"/>
        </w:rPr>
        <w:t xml:space="preserve"> Pairwise </w:t>
      </w:r>
      <w:r>
        <w:rPr>
          <w:rFonts w:ascii="Arial" w:hAnsi="Arial" w:cs="Arial"/>
          <w:sz w:val="22"/>
          <w:szCs w:val="22"/>
        </w:rPr>
        <w:t>c</w:t>
      </w:r>
      <w:r w:rsidRPr="00814941">
        <w:rPr>
          <w:rFonts w:ascii="Arial" w:hAnsi="Arial" w:cs="Arial"/>
          <w:sz w:val="22"/>
          <w:szCs w:val="22"/>
        </w:rPr>
        <w:t xml:space="preserve">omparisons </w:t>
      </w:r>
      <w:r>
        <w:rPr>
          <w:rFonts w:ascii="Arial" w:hAnsi="Arial" w:cs="Arial"/>
          <w:sz w:val="22"/>
          <w:szCs w:val="22"/>
        </w:rPr>
        <w:t>for COVID-19 (moderate and severe), RSV (mild, moderate and severe) and healthy controls for</w:t>
      </w:r>
      <w:r w:rsidRPr="00814941">
        <w:rPr>
          <w:rFonts w:ascii="Arial" w:hAnsi="Arial" w:cs="Arial"/>
          <w:sz w:val="22"/>
          <w:szCs w:val="22"/>
        </w:rPr>
        <w:t xml:space="preserve"> chromVAR deviation scores.</w:t>
      </w:r>
    </w:p>
    <w:p w14:paraId="4A9568B2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B6E"/>
    <w:rsid w:val="000D2B52"/>
    <w:rsid w:val="003C2EF4"/>
    <w:rsid w:val="00752B6E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1B3FC4"/>
  <w15:chartTrackingRefBased/>
  <w15:docId w15:val="{D9F644E6-5BC3-4ED1-9F7C-500543529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2B6E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2B6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2B6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2B6E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2B6E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2B6E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2B6E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2B6E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2B6E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2B6E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2B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2B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2B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2B6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2B6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2B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2B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2B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2B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2B6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2B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2B6E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2B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2B6E"/>
    <w:pPr>
      <w:spacing w:before="160" w:after="160" w:line="259" w:lineRule="auto"/>
      <w:jc w:val="center"/>
    </w:pPr>
    <w:rPr>
      <w:i/>
      <w:iCs/>
      <w:color w:val="404040" w:themeColor="text1" w:themeTint="BF"/>
      <w:sz w:val="22"/>
      <w:szCs w:val="22"/>
    </w:rPr>
  </w:style>
  <w:style w:type="character" w:customStyle="1" w:styleId="QuoteChar">
    <w:name w:val="Quote Char"/>
    <w:basedOn w:val="DefaultParagraphFont"/>
    <w:link w:val="Quote"/>
    <w:uiPriority w:val="29"/>
    <w:rsid w:val="00752B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2B6E"/>
    <w:pPr>
      <w:spacing w:after="160" w:line="259" w:lineRule="auto"/>
      <w:ind w:left="720"/>
      <w:contextualSpacing/>
    </w:pPr>
    <w:rPr>
      <w:sz w:val="22"/>
      <w:szCs w:val="22"/>
    </w:rPr>
  </w:style>
  <w:style w:type="character" w:styleId="IntenseEmphasis">
    <w:name w:val="Intense Emphasis"/>
    <w:basedOn w:val="DefaultParagraphFont"/>
    <w:uiPriority w:val="21"/>
    <w:qFormat/>
    <w:rsid w:val="00752B6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2B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2B6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2B6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"/><Relationship Id="rId13" Type="http://schemas.openxmlformats.org/officeDocument/2006/relationships/image" Target="media/image10.tiff"/><Relationship Id="rId3" Type="http://schemas.openxmlformats.org/officeDocument/2006/relationships/webSettings" Target="webSettings.xml"/><Relationship Id="rId7" Type="http://schemas.openxmlformats.org/officeDocument/2006/relationships/image" Target="media/image4.tif"/><Relationship Id="rId12" Type="http://schemas.openxmlformats.org/officeDocument/2006/relationships/image" Target="media/image9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11" Type="http://schemas.openxmlformats.org/officeDocument/2006/relationships/image" Target="media/image8.tif"/><Relationship Id="rId5" Type="http://schemas.openxmlformats.org/officeDocument/2006/relationships/image" Target="media/image2.tiff"/><Relationship Id="rId15" Type="http://schemas.openxmlformats.org/officeDocument/2006/relationships/theme" Target="theme/theme1.xml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18</Pages>
  <Words>2180</Words>
  <Characters>12428</Characters>
  <Application>Microsoft Office Word</Application>
  <DocSecurity>0</DocSecurity>
  <Lines>103</Lines>
  <Paragraphs>29</Paragraphs>
  <ScaleCrop>false</ScaleCrop>
  <Company>Springer Nature</Company>
  <LinksUpToDate>false</LinksUpToDate>
  <CharactersWithSpaces>14579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2025-01-13T04:58:00Z</dcterms:created>
  <dcterms:modified xsi:type="dcterms:W3CDTF">2025-01-13T04:59:00Z</dcterms:modified>
</cp:coreProperties>
</file>