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3103" w14:textId="56176A44" w:rsidR="002E1298" w:rsidRPr="00DD0493" w:rsidRDefault="002E1298" w:rsidP="002E1298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0493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material</w:t>
      </w:r>
    </w:p>
    <w:p w14:paraId="4F3E240B" w14:textId="77777777" w:rsidR="002E1298" w:rsidRPr="00DD0493" w:rsidRDefault="002E1298" w:rsidP="002E1298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F99FAD" w14:textId="77777777" w:rsidR="002E1298" w:rsidRPr="00DD0493" w:rsidRDefault="002E1298" w:rsidP="002E129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049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C6F75FC" wp14:editId="2B0DF8A0">
            <wp:extent cx="6106160" cy="3436620"/>
            <wp:effectExtent l="0" t="0" r="0" b="0"/>
            <wp:docPr id="1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06160" cy="34366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DD0493">
        <w:rPr>
          <w:rFonts w:ascii="Times New Roman" w:eastAsia="Times New Roman" w:hAnsi="Times New Roman" w:cs="Times New Roman"/>
          <w:sz w:val="20"/>
          <w:szCs w:val="20"/>
        </w:rPr>
        <w:t>Supplementary Figure 1. Trend of COVID-19 symptoms-related web queries from 2017 to 2021 (Google Trends). The relative search volumes shown are cumulative monthly.</w:t>
      </w:r>
    </w:p>
    <w:p w14:paraId="69F8834E" w14:textId="77777777" w:rsidR="00BA250C" w:rsidRDefault="002E1298"/>
    <w:sectPr w:rsidR="00BA250C" w:rsidSect="006F6B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A5D"/>
    <w:rsid w:val="002E1298"/>
    <w:rsid w:val="00442A5D"/>
    <w:rsid w:val="00474073"/>
    <w:rsid w:val="004E7E94"/>
    <w:rsid w:val="006F6BA7"/>
    <w:rsid w:val="00821ED0"/>
    <w:rsid w:val="00A81487"/>
    <w:rsid w:val="00D6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0F19B"/>
  <w15:chartTrackingRefBased/>
  <w15:docId w15:val="{D4730B54-488E-420B-BB06-9B492D84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E1298"/>
    <w:rPr>
      <w:rFonts w:ascii="Calibri" w:eastAsia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Rovetta</dc:creator>
  <cp:keywords/>
  <dc:description/>
  <cp:lastModifiedBy>Alessandro Rovetta</cp:lastModifiedBy>
  <cp:revision>2</cp:revision>
  <dcterms:created xsi:type="dcterms:W3CDTF">2021-05-31T06:26:00Z</dcterms:created>
  <dcterms:modified xsi:type="dcterms:W3CDTF">2021-05-31T06:27:00Z</dcterms:modified>
</cp:coreProperties>
</file>