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24A68D" w14:textId="77777777" w:rsidR="004764DB" w:rsidRPr="00341365" w:rsidRDefault="004764DB" w:rsidP="004764DB">
      <w:pPr>
        <w:rPr>
          <w:rFonts w:ascii="Arial" w:eastAsia="Times New Roman" w:hAnsi="Arial" w:cs="Arial"/>
          <w:b/>
          <w:bCs/>
          <w:color w:val="000000"/>
          <w:kern w:val="0"/>
          <w:sz w:val="22"/>
        </w:rPr>
      </w:pPr>
      <w:bookmarkStart w:id="0" w:name="_Hlk175843660"/>
      <w:r w:rsidRPr="00341365">
        <w:rPr>
          <w:rFonts w:ascii="Arial" w:eastAsia="Times New Roman" w:hAnsi="Arial" w:cs="Arial"/>
          <w:b/>
          <w:bCs/>
          <w:color w:val="000000"/>
          <w:kern w:val="0"/>
          <w:sz w:val="22"/>
        </w:rPr>
        <w:t>A physics informed neural network approach to quantify antigen presentation activities at single cell level using omics data</w:t>
      </w:r>
    </w:p>
    <w:p w14:paraId="3F1668AF" w14:textId="77777777" w:rsidR="004764DB" w:rsidRDefault="004764DB" w:rsidP="004764DB">
      <w:pPr>
        <w:rPr>
          <w:rFonts w:ascii="Arial" w:eastAsia="Times New Roman" w:hAnsi="Arial" w:cs="Arial"/>
          <w:b/>
          <w:bCs/>
          <w:color w:val="000000"/>
          <w:kern w:val="0"/>
          <w:sz w:val="22"/>
        </w:rPr>
      </w:pPr>
    </w:p>
    <w:p w14:paraId="59BAC5E8" w14:textId="627981E5" w:rsidR="004764DB" w:rsidRPr="00F40817" w:rsidRDefault="004764DB" w:rsidP="004764DB">
      <w:pPr>
        <w:rPr>
          <w:rFonts w:ascii="Arial" w:eastAsia="Times New Roman" w:hAnsi="Arial" w:cs="Arial"/>
          <w:b/>
          <w:bCs/>
          <w:color w:val="000000"/>
          <w:kern w:val="0"/>
          <w:sz w:val="22"/>
        </w:rPr>
      </w:pPr>
      <w:r>
        <w:rPr>
          <w:rFonts w:ascii="Arial" w:eastAsia="Times New Roman" w:hAnsi="Arial" w:cs="Arial"/>
          <w:b/>
          <w:bCs/>
          <w:color w:val="000000"/>
          <w:kern w:val="0"/>
          <w:sz w:val="22"/>
        </w:rPr>
        <w:t>Jia Wang</w:t>
      </w:r>
      <w:r>
        <w:rPr>
          <w:rFonts w:ascii="Arial" w:eastAsia="Times New Roman" w:hAnsi="Arial" w:cs="Arial"/>
          <w:b/>
          <w:bCs/>
          <w:color w:val="000000"/>
          <w:kern w:val="0"/>
          <w:sz w:val="22"/>
          <w:vertAlign w:val="superscript"/>
        </w:rPr>
        <w:t>1,2</w:t>
      </w:r>
      <w:r>
        <w:rPr>
          <w:rFonts w:ascii="Arial" w:eastAsia="Times New Roman" w:hAnsi="Arial" w:cs="Arial"/>
          <w:b/>
          <w:bCs/>
          <w:color w:val="000000"/>
          <w:kern w:val="0"/>
          <w:sz w:val="22"/>
        </w:rPr>
        <w:t>, Pengtao Dang</w:t>
      </w:r>
      <w:r>
        <w:rPr>
          <w:rFonts w:ascii="Arial" w:eastAsia="Times New Roman" w:hAnsi="Arial" w:cs="Arial"/>
          <w:b/>
          <w:bCs/>
          <w:color w:val="000000"/>
          <w:kern w:val="0"/>
          <w:sz w:val="22"/>
          <w:vertAlign w:val="superscript"/>
        </w:rPr>
        <w:t>2</w:t>
      </w:r>
      <w:r>
        <w:rPr>
          <w:rFonts w:ascii="Arial" w:eastAsia="Times New Roman" w:hAnsi="Arial" w:cs="Arial"/>
          <w:b/>
          <w:bCs/>
          <w:color w:val="000000"/>
          <w:kern w:val="0"/>
          <w:sz w:val="22"/>
        </w:rPr>
        <w:t>, Yuhui Wei</w:t>
      </w:r>
      <w:r>
        <w:rPr>
          <w:rFonts w:ascii="Arial" w:eastAsia="Times New Roman" w:hAnsi="Arial" w:cs="Arial"/>
          <w:b/>
          <w:bCs/>
          <w:color w:val="000000"/>
          <w:kern w:val="0"/>
          <w:sz w:val="22"/>
          <w:vertAlign w:val="superscript"/>
        </w:rPr>
        <w:t>2</w:t>
      </w:r>
      <w:r>
        <w:rPr>
          <w:rFonts w:ascii="Arial" w:eastAsia="Times New Roman" w:hAnsi="Arial" w:cs="Arial"/>
          <w:b/>
          <w:bCs/>
          <w:color w:val="000000"/>
          <w:kern w:val="0"/>
          <w:sz w:val="22"/>
        </w:rPr>
        <w:t xml:space="preserve">, </w:t>
      </w:r>
      <w:r w:rsidR="00550B1B">
        <w:rPr>
          <w:rFonts w:ascii="Arial" w:eastAsia="Times New Roman" w:hAnsi="Arial" w:cs="Arial"/>
          <w:b/>
          <w:bCs/>
          <w:color w:val="000000"/>
          <w:kern w:val="0"/>
          <w:sz w:val="22"/>
        </w:rPr>
        <w:t>Xiao Wang</w:t>
      </w:r>
      <w:r w:rsidR="00550B1B">
        <w:rPr>
          <w:rFonts w:ascii="Arial" w:eastAsia="Times New Roman" w:hAnsi="Arial" w:cs="Arial"/>
          <w:b/>
          <w:bCs/>
          <w:color w:val="000000"/>
          <w:kern w:val="0"/>
          <w:sz w:val="22"/>
          <w:vertAlign w:val="superscript"/>
        </w:rPr>
        <w:t>1,2</w:t>
      </w:r>
      <w:r w:rsidR="00550B1B">
        <w:rPr>
          <w:rFonts w:ascii="Arial" w:eastAsia="Times New Roman" w:hAnsi="Arial" w:cs="Arial"/>
          <w:b/>
          <w:bCs/>
          <w:color w:val="000000"/>
          <w:kern w:val="0"/>
          <w:sz w:val="22"/>
        </w:rPr>
        <w:t xml:space="preserve">, </w:t>
      </w:r>
      <w:r w:rsidRPr="00A056E1">
        <w:rPr>
          <w:rFonts w:ascii="Arial" w:eastAsia="Times New Roman" w:hAnsi="Arial" w:cs="Arial"/>
          <w:b/>
          <w:bCs/>
          <w:color w:val="000000"/>
          <w:kern w:val="0"/>
          <w:sz w:val="22"/>
        </w:rPr>
        <w:t>Julie A. Brothwell</w:t>
      </w:r>
      <w:r>
        <w:rPr>
          <w:rFonts w:ascii="Arial" w:eastAsia="Times New Roman" w:hAnsi="Arial" w:cs="Arial"/>
          <w:b/>
          <w:bCs/>
          <w:color w:val="000000"/>
          <w:kern w:val="0"/>
          <w:sz w:val="22"/>
          <w:vertAlign w:val="superscript"/>
        </w:rPr>
        <w:t>3</w:t>
      </w:r>
      <w:r>
        <w:rPr>
          <w:rFonts w:ascii="Arial" w:eastAsia="Times New Roman" w:hAnsi="Arial" w:cs="Arial"/>
          <w:b/>
          <w:bCs/>
          <w:color w:val="000000"/>
          <w:kern w:val="0"/>
          <w:sz w:val="22"/>
        </w:rPr>
        <w:t>, Yifan Sun</w:t>
      </w:r>
      <w:r>
        <w:rPr>
          <w:rFonts w:ascii="Arial" w:eastAsia="Times New Roman" w:hAnsi="Arial" w:cs="Arial"/>
          <w:b/>
          <w:bCs/>
          <w:color w:val="000000"/>
          <w:kern w:val="0"/>
          <w:sz w:val="22"/>
          <w:vertAlign w:val="superscript"/>
        </w:rPr>
        <w:t>4</w:t>
      </w:r>
      <w:r>
        <w:rPr>
          <w:rFonts w:ascii="Arial" w:eastAsia="Times New Roman" w:hAnsi="Arial" w:cs="Arial"/>
          <w:b/>
          <w:bCs/>
          <w:color w:val="000000"/>
          <w:kern w:val="0"/>
          <w:sz w:val="22"/>
        </w:rPr>
        <w:t>, Haiqi Zhu</w:t>
      </w:r>
      <w:r>
        <w:rPr>
          <w:rFonts w:ascii="Arial" w:eastAsia="Times New Roman" w:hAnsi="Arial" w:cs="Arial"/>
          <w:b/>
          <w:bCs/>
          <w:color w:val="000000"/>
          <w:kern w:val="0"/>
          <w:sz w:val="22"/>
          <w:vertAlign w:val="superscript"/>
        </w:rPr>
        <w:t>1,2</w:t>
      </w:r>
      <w:r>
        <w:rPr>
          <w:rFonts w:ascii="Arial" w:eastAsia="Times New Roman" w:hAnsi="Arial" w:cs="Arial"/>
          <w:b/>
          <w:bCs/>
          <w:color w:val="000000"/>
          <w:kern w:val="0"/>
          <w:sz w:val="22"/>
        </w:rPr>
        <w:t>, Kaman So</w:t>
      </w:r>
      <w:r>
        <w:rPr>
          <w:rFonts w:ascii="Arial" w:eastAsia="Times New Roman" w:hAnsi="Arial" w:cs="Arial"/>
          <w:b/>
          <w:bCs/>
          <w:color w:val="000000"/>
          <w:kern w:val="0"/>
          <w:sz w:val="22"/>
          <w:vertAlign w:val="superscript"/>
        </w:rPr>
        <w:t>5</w:t>
      </w:r>
      <w:r>
        <w:rPr>
          <w:rFonts w:ascii="Arial" w:eastAsia="Times New Roman" w:hAnsi="Arial" w:cs="Arial"/>
          <w:b/>
          <w:bCs/>
          <w:color w:val="000000"/>
          <w:kern w:val="0"/>
          <w:sz w:val="22"/>
        </w:rPr>
        <w:t>, Jing Liu</w:t>
      </w:r>
      <w:r>
        <w:rPr>
          <w:rFonts w:ascii="Arial" w:eastAsia="Times New Roman" w:hAnsi="Arial" w:cs="Arial"/>
          <w:b/>
          <w:bCs/>
          <w:color w:val="000000"/>
          <w:kern w:val="0"/>
          <w:sz w:val="22"/>
          <w:vertAlign w:val="superscript"/>
        </w:rPr>
        <w:t>6</w:t>
      </w:r>
      <w:r>
        <w:rPr>
          <w:rFonts w:ascii="Arial" w:eastAsia="Times New Roman" w:hAnsi="Arial" w:cs="Arial"/>
          <w:b/>
          <w:bCs/>
          <w:color w:val="000000"/>
          <w:kern w:val="0"/>
          <w:sz w:val="22"/>
        </w:rPr>
        <w:t>, Yijie Wang</w:t>
      </w:r>
      <w:r>
        <w:rPr>
          <w:rFonts w:ascii="Arial" w:eastAsia="Times New Roman" w:hAnsi="Arial" w:cs="Arial"/>
          <w:b/>
          <w:bCs/>
          <w:color w:val="000000"/>
          <w:kern w:val="0"/>
          <w:sz w:val="22"/>
          <w:vertAlign w:val="superscript"/>
        </w:rPr>
        <w:t>1</w:t>
      </w:r>
      <w:r>
        <w:rPr>
          <w:rFonts w:ascii="Arial" w:eastAsia="Times New Roman" w:hAnsi="Arial" w:cs="Arial"/>
          <w:b/>
          <w:bCs/>
          <w:color w:val="000000"/>
          <w:kern w:val="0"/>
          <w:sz w:val="22"/>
        </w:rPr>
        <w:t>, Xiongbin Lu</w:t>
      </w:r>
      <w:r>
        <w:rPr>
          <w:rFonts w:ascii="Arial" w:eastAsia="Times New Roman" w:hAnsi="Arial" w:cs="Arial"/>
          <w:b/>
          <w:bCs/>
          <w:color w:val="000000"/>
          <w:kern w:val="0"/>
          <w:sz w:val="22"/>
          <w:vertAlign w:val="superscript"/>
        </w:rPr>
        <w:t>7</w:t>
      </w:r>
      <w:r>
        <w:rPr>
          <w:rFonts w:ascii="Arial" w:eastAsia="Times New Roman" w:hAnsi="Arial" w:cs="Arial"/>
          <w:b/>
          <w:bCs/>
          <w:color w:val="000000"/>
          <w:kern w:val="0"/>
          <w:sz w:val="22"/>
        </w:rPr>
        <w:t xml:space="preserve">, </w:t>
      </w:r>
      <w:r w:rsidRPr="00A056E1">
        <w:rPr>
          <w:rFonts w:ascii="Arial" w:eastAsia="Times New Roman" w:hAnsi="Arial" w:cs="Arial"/>
          <w:b/>
          <w:bCs/>
          <w:color w:val="000000"/>
          <w:kern w:val="0"/>
          <w:sz w:val="22"/>
        </w:rPr>
        <w:t>Stanley M. Spinola</w:t>
      </w:r>
      <w:r>
        <w:rPr>
          <w:rFonts w:ascii="Arial" w:eastAsia="Times New Roman" w:hAnsi="Arial" w:cs="Arial"/>
          <w:b/>
          <w:bCs/>
          <w:color w:val="000000"/>
          <w:kern w:val="0"/>
          <w:sz w:val="22"/>
          <w:vertAlign w:val="superscript"/>
        </w:rPr>
        <w:t>3</w:t>
      </w:r>
      <w:r>
        <w:rPr>
          <w:rFonts w:ascii="Arial" w:eastAsia="Times New Roman" w:hAnsi="Arial" w:cs="Arial"/>
          <w:b/>
          <w:bCs/>
          <w:color w:val="000000"/>
          <w:kern w:val="0"/>
          <w:sz w:val="22"/>
        </w:rPr>
        <w:t>, Xinna Zhang</w:t>
      </w:r>
      <w:r>
        <w:rPr>
          <w:rFonts w:ascii="Arial" w:eastAsia="Times New Roman" w:hAnsi="Arial" w:cs="Arial"/>
          <w:b/>
          <w:bCs/>
          <w:color w:val="000000"/>
          <w:kern w:val="0"/>
          <w:sz w:val="22"/>
          <w:vertAlign w:val="superscript"/>
        </w:rPr>
        <w:t>4*</w:t>
      </w:r>
      <w:r>
        <w:rPr>
          <w:rFonts w:ascii="Arial" w:eastAsia="Times New Roman" w:hAnsi="Arial" w:cs="Arial"/>
          <w:b/>
          <w:bCs/>
          <w:color w:val="000000"/>
          <w:kern w:val="0"/>
          <w:sz w:val="22"/>
        </w:rPr>
        <w:t>, Sha Cao</w:t>
      </w:r>
      <w:r>
        <w:rPr>
          <w:rFonts w:ascii="Arial" w:eastAsia="Times New Roman" w:hAnsi="Arial" w:cs="Arial"/>
          <w:b/>
          <w:bCs/>
          <w:color w:val="000000"/>
          <w:kern w:val="0"/>
          <w:sz w:val="22"/>
          <w:vertAlign w:val="superscript"/>
        </w:rPr>
        <w:t>2*</w:t>
      </w:r>
      <w:r>
        <w:rPr>
          <w:rFonts w:ascii="Arial" w:eastAsia="Times New Roman" w:hAnsi="Arial" w:cs="Arial"/>
          <w:b/>
          <w:bCs/>
          <w:color w:val="000000"/>
          <w:kern w:val="0"/>
          <w:sz w:val="22"/>
        </w:rPr>
        <w:t>, Chi Zhang</w:t>
      </w:r>
      <w:r>
        <w:rPr>
          <w:rFonts w:ascii="Arial" w:eastAsia="Times New Roman" w:hAnsi="Arial" w:cs="Arial"/>
          <w:b/>
          <w:bCs/>
          <w:color w:val="000000"/>
          <w:kern w:val="0"/>
          <w:sz w:val="22"/>
          <w:vertAlign w:val="superscript"/>
        </w:rPr>
        <w:t>2*</w:t>
      </w:r>
    </w:p>
    <w:p w14:paraId="6D47484B" w14:textId="77777777" w:rsidR="004764DB" w:rsidRDefault="004764DB" w:rsidP="004764DB">
      <w:pPr>
        <w:rPr>
          <w:rFonts w:ascii="Arial" w:eastAsia="Times New Roman" w:hAnsi="Arial" w:cs="Arial"/>
          <w:color w:val="000000"/>
          <w:kern w:val="0"/>
          <w:sz w:val="22"/>
          <w:vertAlign w:val="superscript"/>
        </w:rPr>
      </w:pPr>
    </w:p>
    <w:p w14:paraId="62AD5E7A" w14:textId="77777777" w:rsidR="004764DB" w:rsidRPr="00917254" w:rsidRDefault="004764DB" w:rsidP="004764DB">
      <w:pPr>
        <w:rPr>
          <w:rFonts w:ascii="Arial" w:hAnsi="Arial" w:cs="Arial"/>
          <w:color w:val="0D0D0D"/>
          <w:sz w:val="22"/>
          <w:shd w:val="clear" w:color="auto" w:fill="FFFFFF"/>
        </w:rPr>
      </w:pPr>
      <w:r w:rsidRPr="00917254">
        <w:rPr>
          <w:rFonts w:ascii="Arial" w:eastAsia="Times New Roman" w:hAnsi="Arial" w:cs="Arial"/>
          <w:color w:val="000000"/>
          <w:kern w:val="0"/>
          <w:sz w:val="22"/>
          <w:vertAlign w:val="superscript"/>
        </w:rPr>
        <w:t>1</w:t>
      </w:r>
      <w:r w:rsidRPr="00917254">
        <w:rPr>
          <w:rFonts w:ascii="Arial" w:hAnsi="Arial" w:cs="Arial"/>
          <w:color w:val="0D0D0D"/>
          <w:sz w:val="22"/>
          <w:shd w:val="clear" w:color="auto" w:fill="FFFFFF"/>
        </w:rPr>
        <w:t>Department of Computer Science, Indiana University, Bloomington, IN 47408, USA.</w:t>
      </w:r>
    </w:p>
    <w:p w14:paraId="300E6AA1" w14:textId="77777777" w:rsidR="004764DB" w:rsidRPr="00917254" w:rsidRDefault="004764DB" w:rsidP="004764DB">
      <w:pPr>
        <w:rPr>
          <w:rFonts w:ascii="Arial" w:hAnsi="Arial" w:cs="Arial"/>
          <w:color w:val="0D0D0D"/>
          <w:sz w:val="22"/>
          <w:shd w:val="clear" w:color="auto" w:fill="FFFFFF"/>
        </w:rPr>
      </w:pPr>
      <w:r w:rsidRPr="00917254">
        <w:rPr>
          <w:rFonts w:ascii="Arial" w:hAnsi="Arial" w:cs="Arial"/>
          <w:color w:val="0D0D0D"/>
          <w:sz w:val="22"/>
          <w:shd w:val="clear" w:color="auto" w:fill="FFFFFF"/>
          <w:vertAlign w:val="superscript"/>
        </w:rPr>
        <w:t>2</w:t>
      </w:r>
      <w:r w:rsidRPr="00917254">
        <w:rPr>
          <w:rFonts w:ascii="Arial" w:hAnsi="Arial" w:cs="Arial"/>
          <w:color w:val="0D0D0D"/>
          <w:sz w:val="22"/>
          <w:shd w:val="clear" w:color="auto" w:fill="FFFFFF"/>
        </w:rPr>
        <w:t>Department of Biomedical Engineering, Center for Biomedical Data Sciences, and Brenden-Colson Center for Pancreatic Care, Oregon Health &amp; Science University, Portland, OR 97201, USA.</w:t>
      </w:r>
    </w:p>
    <w:p w14:paraId="341D6314" w14:textId="77777777" w:rsidR="004764DB" w:rsidRDefault="004764DB" w:rsidP="004764DB">
      <w:pPr>
        <w:rPr>
          <w:rFonts w:ascii="Arial" w:hAnsi="Arial" w:cs="Arial"/>
          <w:color w:val="0D0D0D"/>
          <w:sz w:val="22"/>
          <w:shd w:val="clear" w:color="auto" w:fill="FFFFFF"/>
        </w:rPr>
      </w:pPr>
      <w:r>
        <w:rPr>
          <w:rFonts w:ascii="Arial" w:hAnsi="Arial" w:cs="Arial"/>
          <w:color w:val="0D0D0D"/>
          <w:sz w:val="22"/>
          <w:shd w:val="clear" w:color="auto" w:fill="FFFFFF"/>
          <w:vertAlign w:val="superscript"/>
        </w:rPr>
        <w:t>3</w:t>
      </w:r>
      <w:r w:rsidRPr="00917254">
        <w:rPr>
          <w:rFonts w:ascii="Arial" w:hAnsi="Arial" w:cs="Arial"/>
          <w:color w:val="0D0D0D"/>
          <w:sz w:val="22"/>
          <w:shd w:val="clear" w:color="auto" w:fill="FFFFFF"/>
        </w:rPr>
        <w:t>Department of Microbiology and Immunology, Indiana University School of Medicine, Indianapolis, Indiana 46202, USA.</w:t>
      </w:r>
    </w:p>
    <w:p w14:paraId="666EBFC5" w14:textId="77777777" w:rsidR="004764DB" w:rsidRDefault="004764DB" w:rsidP="004764DB">
      <w:pPr>
        <w:rPr>
          <w:rFonts w:ascii="Arial" w:hAnsi="Arial" w:cs="Arial"/>
          <w:color w:val="0D0D0D"/>
          <w:sz w:val="22"/>
          <w:shd w:val="clear" w:color="auto" w:fill="FFFFFF"/>
        </w:rPr>
      </w:pPr>
      <w:r>
        <w:rPr>
          <w:rFonts w:ascii="Arial" w:hAnsi="Arial" w:cs="Arial"/>
          <w:color w:val="0D0D0D"/>
          <w:sz w:val="22"/>
          <w:shd w:val="clear" w:color="auto" w:fill="FFFFFF"/>
          <w:vertAlign w:val="superscript"/>
        </w:rPr>
        <w:t>4</w:t>
      </w:r>
      <w:r w:rsidRPr="00917254">
        <w:rPr>
          <w:rFonts w:ascii="Arial" w:hAnsi="Arial" w:cs="Arial"/>
          <w:color w:val="0D0D0D"/>
          <w:sz w:val="22"/>
          <w:shd w:val="clear" w:color="auto" w:fill="FFFFFF"/>
        </w:rPr>
        <w:t xml:space="preserve">Department of Medical and Molecular Genetics, </w:t>
      </w:r>
      <w:r>
        <w:rPr>
          <w:rFonts w:ascii="Arial" w:hAnsi="Arial" w:cs="Arial"/>
          <w:color w:val="0D0D0D"/>
          <w:sz w:val="22"/>
          <w:shd w:val="clear" w:color="auto" w:fill="FFFFFF"/>
          <w:vertAlign w:val="superscript"/>
        </w:rPr>
        <w:t>5</w:t>
      </w:r>
      <w:r w:rsidRPr="00917254">
        <w:rPr>
          <w:rFonts w:ascii="Arial" w:hAnsi="Arial" w:cs="Arial"/>
          <w:color w:val="0D0D0D"/>
          <w:sz w:val="22"/>
          <w:shd w:val="clear" w:color="auto" w:fill="FFFFFF"/>
        </w:rPr>
        <w:t xml:space="preserve">Department of Biostatistics, </w:t>
      </w:r>
    </w:p>
    <w:p w14:paraId="41BFC9AC" w14:textId="77777777" w:rsidR="004764DB" w:rsidRPr="00917254" w:rsidRDefault="004764DB" w:rsidP="004764DB">
      <w:pPr>
        <w:rPr>
          <w:rFonts w:ascii="Arial" w:hAnsi="Arial" w:cs="Arial"/>
          <w:color w:val="0D0D0D"/>
          <w:sz w:val="22"/>
          <w:shd w:val="clear" w:color="auto" w:fill="FFFFFF"/>
        </w:rPr>
      </w:pPr>
      <w:r>
        <w:rPr>
          <w:rFonts w:ascii="Arial" w:hAnsi="Arial" w:cs="Arial"/>
          <w:color w:val="0D0D0D"/>
          <w:sz w:val="22"/>
          <w:shd w:val="clear" w:color="auto" w:fill="FFFFFF"/>
          <w:vertAlign w:val="superscript"/>
        </w:rPr>
        <w:t>6</w:t>
      </w:r>
      <w:r w:rsidRPr="00917254">
        <w:rPr>
          <w:rFonts w:ascii="Arial" w:hAnsi="Arial" w:cs="Arial"/>
          <w:color w:val="0D0D0D"/>
          <w:sz w:val="22"/>
          <w:shd w:val="clear" w:color="auto" w:fill="FFFFFF"/>
        </w:rPr>
        <w:t xml:space="preserve">Department of </w:t>
      </w:r>
      <w:r>
        <w:rPr>
          <w:rFonts w:ascii="Arial" w:hAnsi="Arial" w:cs="Arial"/>
          <w:color w:val="0D0D0D"/>
          <w:sz w:val="22"/>
          <w:shd w:val="clear" w:color="auto" w:fill="FFFFFF"/>
        </w:rPr>
        <w:t>Physics and Astronomy, Purdue University, West Lafayette, IN 47907, USA.</w:t>
      </w:r>
    </w:p>
    <w:p w14:paraId="75A8B4E8" w14:textId="77777777" w:rsidR="004764DB" w:rsidRPr="00917254" w:rsidRDefault="004764DB" w:rsidP="004764DB">
      <w:pPr>
        <w:rPr>
          <w:rFonts w:ascii="Arial" w:hAnsi="Arial" w:cs="Arial"/>
          <w:color w:val="0D0D0D"/>
          <w:sz w:val="22"/>
          <w:shd w:val="clear" w:color="auto" w:fill="FFFFFF"/>
        </w:rPr>
      </w:pPr>
      <w:r>
        <w:rPr>
          <w:rFonts w:ascii="Arial" w:eastAsia="Times New Roman" w:hAnsi="Arial" w:cs="Arial"/>
          <w:color w:val="000000"/>
          <w:kern w:val="0"/>
          <w:sz w:val="22"/>
          <w:vertAlign w:val="superscript"/>
        </w:rPr>
        <w:t>7</w:t>
      </w:r>
      <w:r w:rsidRPr="00917254">
        <w:rPr>
          <w:rFonts w:ascii="Arial" w:hAnsi="Arial" w:cs="Arial"/>
          <w:color w:val="0D0D0D"/>
          <w:sz w:val="22"/>
          <w:shd w:val="clear" w:color="auto" w:fill="FFFFFF"/>
        </w:rPr>
        <w:t xml:space="preserve">Department of </w:t>
      </w:r>
      <w:r>
        <w:rPr>
          <w:rFonts w:ascii="Arial" w:hAnsi="Arial" w:cs="Arial"/>
          <w:color w:val="0D0D0D"/>
          <w:sz w:val="22"/>
          <w:shd w:val="clear" w:color="auto" w:fill="FFFFFF"/>
        </w:rPr>
        <w:t>Hepatobiliary and Pancreatic Surgery, The First Affiliated Hospital, Zhejiang University School of Medicine, Hangzhou 310003, Zhejiang, China</w:t>
      </w:r>
    </w:p>
    <w:p w14:paraId="643117EC" w14:textId="77777777" w:rsidR="004764DB" w:rsidRDefault="004764DB" w:rsidP="004764DB">
      <w:pPr>
        <w:rPr>
          <w:rFonts w:ascii="Arial" w:hAnsi="Arial" w:cs="Arial"/>
          <w:color w:val="0D0D0D"/>
          <w:sz w:val="22"/>
          <w:shd w:val="clear" w:color="auto" w:fill="FFFFFF"/>
        </w:rPr>
      </w:pPr>
    </w:p>
    <w:p w14:paraId="4A6FAB73" w14:textId="77777777" w:rsidR="004764DB" w:rsidRDefault="004764DB" w:rsidP="004764DB">
      <w:pPr>
        <w:rPr>
          <w:rFonts w:ascii="Arial" w:hAnsi="Arial" w:cs="Arial"/>
          <w:color w:val="0D0D0D"/>
          <w:sz w:val="22"/>
          <w:shd w:val="clear" w:color="auto" w:fill="FFFFFF"/>
        </w:rPr>
      </w:pPr>
      <w:r>
        <w:rPr>
          <w:rFonts w:ascii="Arial" w:hAnsi="Arial" w:cs="Arial"/>
          <w:color w:val="0D0D0D"/>
          <w:sz w:val="22"/>
          <w:shd w:val="clear" w:color="auto" w:fill="FFFFFF"/>
        </w:rPr>
        <w:t xml:space="preserve">*Corresponding Authors: Xinna Zhang: </w:t>
      </w:r>
      <w:hyperlink r:id="rId8" w:history="1">
        <w:r w:rsidRPr="00195207">
          <w:rPr>
            <w:rStyle w:val="Hyperlink"/>
            <w:rFonts w:ascii="Arial" w:hAnsi="Arial" w:cs="Arial"/>
            <w:sz w:val="22"/>
            <w:shd w:val="clear" w:color="auto" w:fill="FFFFFF"/>
          </w:rPr>
          <w:t>xz48@iu.edu</w:t>
        </w:r>
      </w:hyperlink>
      <w:r>
        <w:rPr>
          <w:rFonts w:ascii="Arial" w:hAnsi="Arial" w:cs="Arial"/>
          <w:color w:val="0D0D0D"/>
          <w:sz w:val="22"/>
          <w:shd w:val="clear" w:color="auto" w:fill="FFFFFF"/>
        </w:rPr>
        <w:t xml:space="preserve">; Sha Cao: </w:t>
      </w:r>
      <w:hyperlink r:id="rId9" w:history="1">
        <w:r w:rsidRPr="00195207">
          <w:rPr>
            <w:rStyle w:val="Hyperlink"/>
            <w:rFonts w:ascii="Arial" w:hAnsi="Arial" w:cs="Arial"/>
            <w:sz w:val="22"/>
            <w:shd w:val="clear" w:color="auto" w:fill="FFFFFF"/>
          </w:rPr>
          <w:t>caosh@ohsu.edu</w:t>
        </w:r>
      </w:hyperlink>
      <w:r>
        <w:rPr>
          <w:rFonts w:ascii="Arial" w:hAnsi="Arial" w:cs="Arial"/>
          <w:color w:val="0D0D0D"/>
          <w:sz w:val="22"/>
          <w:shd w:val="clear" w:color="auto" w:fill="FFFFFF"/>
        </w:rPr>
        <w:t xml:space="preserve">; Chi Zhang: </w:t>
      </w:r>
      <w:hyperlink r:id="rId10" w:history="1">
        <w:r w:rsidRPr="00195207">
          <w:rPr>
            <w:rStyle w:val="Hyperlink"/>
            <w:rFonts w:ascii="Arial" w:hAnsi="Arial" w:cs="Arial"/>
            <w:sz w:val="22"/>
            <w:shd w:val="clear" w:color="auto" w:fill="FFFFFF"/>
          </w:rPr>
          <w:t>zhangchi@ohsu.edu</w:t>
        </w:r>
      </w:hyperlink>
    </w:p>
    <w:bookmarkEnd w:id="0"/>
    <w:p w14:paraId="51F897D7" w14:textId="77777777" w:rsidR="0089411E" w:rsidRPr="004764DB" w:rsidRDefault="0089411E" w:rsidP="0089411E">
      <w:pPr>
        <w:rPr>
          <w:rFonts w:ascii="Arial" w:eastAsia="Times New Roman" w:hAnsi="Arial" w:cs="Arial"/>
          <w:b/>
          <w:bCs/>
          <w:color w:val="000000"/>
          <w:kern w:val="0"/>
          <w:sz w:val="22"/>
        </w:rPr>
      </w:pPr>
    </w:p>
    <w:p w14:paraId="1EB3BEC5" w14:textId="77777777" w:rsidR="0089411E" w:rsidRPr="004764DB" w:rsidRDefault="0089411E" w:rsidP="0089411E">
      <w:pPr>
        <w:rPr>
          <w:rFonts w:ascii="Arial" w:eastAsia="Times New Roman" w:hAnsi="Arial" w:cs="Arial"/>
          <w:b/>
          <w:bCs/>
          <w:color w:val="000000"/>
          <w:kern w:val="0"/>
          <w:sz w:val="22"/>
        </w:rPr>
      </w:pPr>
    </w:p>
    <w:p w14:paraId="1BBCE572" w14:textId="77777777" w:rsidR="0028415B" w:rsidRPr="004764DB" w:rsidRDefault="0028415B" w:rsidP="0028415B">
      <w:pPr>
        <w:rPr>
          <w:rFonts w:ascii="Arial" w:hAnsi="Arial" w:cs="Arial"/>
          <w:b/>
          <w:bCs/>
          <w:color w:val="000000" w:themeColor="text1"/>
          <w:sz w:val="22"/>
        </w:rPr>
      </w:pPr>
      <w:r w:rsidRPr="004764DB">
        <w:rPr>
          <w:rFonts w:ascii="Arial" w:hAnsi="Arial" w:cs="Arial"/>
          <w:b/>
          <w:bCs/>
          <w:color w:val="000000" w:themeColor="text1"/>
          <w:sz w:val="22"/>
        </w:rPr>
        <w:t>SUPPLEMENTARY METHODS</w:t>
      </w:r>
    </w:p>
    <w:p w14:paraId="75466D9C" w14:textId="19B74589" w:rsidR="00644CDC" w:rsidRPr="00206781" w:rsidRDefault="004764DB" w:rsidP="004764DB">
      <w:pPr>
        <w:rPr>
          <w:rFonts w:ascii="Arial" w:hAnsi="Arial" w:cs="Arial"/>
          <w:b/>
          <w:bCs/>
          <w:sz w:val="22"/>
        </w:rPr>
      </w:pPr>
      <w:r w:rsidRPr="00206781">
        <w:rPr>
          <w:rFonts w:ascii="Arial" w:hAnsi="Arial" w:cs="Arial"/>
          <w:b/>
          <w:bCs/>
          <w:color w:val="000000" w:themeColor="text1"/>
          <w:sz w:val="22"/>
        </w:rPr>
        <w:t xml:space="preserve">Overall design of </w:t>
      </w:r>
      <w:r w:rsidR="00644CDC" w:rsidRPr="00206781">
        <w:rPr>
          <w:rFonts w:ascii="Arial" w:hAnsi="Arial" w:cs="Arial"/>
          <w:b/>
          <w:bCs/>
          <w:sz w:val="22"/>
        </w:rPr>
        <w:t xml:space="preserve">the </w:t>
      </w:r>
      <w:bookmarkStart w:id="1" w:name="_Hlk166366455"/>
      <w:r w:rsidR="00644CDC" w:rsidRPr="00206781">
        <w:rPr>
          <w:rFonts w:ascii="Arial" w:hAnsi="Arial" w:cs="Arial"/>
          <w:b/>
          <w:bCs/>
          <w:sz w:val="22"/>
        </w:rPr>
        <w:t>Pustule Infection data se</w:t>
      </w:r>
      <w:bookmarkEnd w:id="1"/>
      <w:r w:rsidRPr="00206781">
        <w:rPr>
          <w:rFonts w:ascii="Arial" w:hAnsi="Arial" w:cs="Arial"/>
          <w:b/>
          <w:bCs/>
          <w:sz w:val="22"/>
        </w:rPr>
        <w:t>t (scRNA-seq and SRT data) generated in this study.</w:t>
      </w:r>
    </w:p>
    <w:p w14:paraId="30F59D94" w14:textId="4C1B0354" w:rsidR="00644CDC" w:rsidRDefault="00644CDC" w:rsidP="00644CDC">
      <w:pPr>
        <w:rPr>
          <w:rFonts w:ascii="Arial" w:hAnsi="Arial" w:cs="Arial"/>
          <w:sz w:val="22"/>
        </w:rPr>
      </w:pPr>
      <w:r w:rsidRPr="004764DB">
        <w:rPr>
          <w:rFonts w:ascii="Arial" w:hAnsi="Arial" w:cs="Arial"/>
          <w:sz w:val="22"/>
        </w:rPr>
        <w:t>To identify the cellular source and location of differentially expressed host transcripts during the pustular stage of H. ducreyi infection,</w:t>
      </w:r>
      <w:r w:rsidR="00F0098C" w:rsidRPr="004764DB">
        <w:rPr>
          <w:rFonts w:ascii="Arial" w:hAnsi="Arial" w:cs="Arial"/>
          <w:sz w:val="22"/>
        </w:rPr>
        <w:t xml:space="preserve"> </w:t>
      </w:r>
      <w:r w:rsidRPr="004764DB">
        <w:rPr>
          <w:rFonts w:ascii="Arial" w:hAnsi="Arial" w:cs="Arial"/>
          <w:sz w:val="22"/>
        </w:rPr>
        <w:t xml:space="preserve">six volunteers (four men, two women; four white, two Asian; mean age ± SD: 32.0 ± 8.2 years) </w:t>
      </w:r>
      <w:r w:rsidR="00F0098C" w:rsidRPr="004764DB">
        <w:rPr>
          <w:rFonts w:ascii="Arial" w:hAnsi="Arial" w:cs="Arial"/>
          <w:sz w:val="22"/>
        </w:rPr>
        <w:t xml:space="preserve">were inoculated </w:t>
      </w:r>
      <w:r w:rsidRPr="004764DB">
        <w:rPr>
          <w:rFonts w:ascii="Arial" w:hAnsi="Arial" w:cs="Arial"/>
          <w:sz w:val="22"/>
        </w:rPr>
        <w:t>with estimated doses ranging from 41 to 85 CFU of strain 35000HP at three skin sites, along with a buffer control at one additional site on the deltoid. Biopsies were not performed if the infection resolved on its own. In cases where multiple pustules developed on a volunteer, the largest pustule and the corresponding wound were biopsied using a 6 mm punch.</w:t>
      </w:r>
      <w:r w:rsidR="004764DB">
        <w:rPr>
          <w:rFonts w:ascii="Arial" w:hAnsi="Arial" w:cs="Arial"/>
          <w:sz w:val="22"/>
        </w:rPr>
        <w:t xml:space="preserve"> Four</w:t>
      </w:r>
      <w:r w:rsidRPr="004764DB">
        <w:rPr>
          <w:rFonts w:ascii="Arial" w:hAnsi="Arial" w:cs="Arial"/>
          <w:sz w:val="22"/>
        </w:rPr>
        <w:t xml:space="preserve"> of the volunteers developed pustules, and biopsies were taken 7 to 8 days post-infection. At the bedside, the biopsies were halved with a razor blade, and each portion was processed for single-cell RNA sequencing (scRNA-seq) and spatial transcriptomics. All five volunteers provided samples for the single-cell analysis. </w:t>
      </w:r>
    </w:p>
    <w:p w14:paraId="1FDE838D" w14:textId="77777777" w:rsidR="004764DB" w:rsidRDefault="004764DB" w:rsidP="004764DB">
      <w:pPr>
        <w:widowControl/>
        <w:contextualSpacing/>
        <w:jc w:val="left"/>
        <w:rPr>
          <w:rFonts w:ascii="Arial" w:eastAsia="DengXian" w:hAnsi="Arial" w:cs="Arial"/>
          <w:b/>
          <w:bCs/>
          <w:color w:val="000000"/>
          <w:sz w:val="22"/>
          <w:shd w:val="clear" w:color="auto" w:fill="FFFFFF"/>
        </w:rPr>
      </w:pPr>
    </w:p>
    <w:p w14:paraId="3669846D" w14:textId="77777777" w:rsidR="004764DB" w:rsidRPr="004764DB" w:rsidRDefault="004764DB" w:rsidP="004764DB">
      <w:pPr>
        <w:widowControl/>
        <w:contextualSpacing/>
        <w:jc w:val="left"/>
        <w:rPr>
          <w:rFonts w:ascii="Arial" w:eastAsia="DengXian" w:hAnsi="Arial" w:cs="Arial"/>
          <w:i/>
          <w:iCs/>
          <w:color w:val="000000"/>
          <w:sz w:val="22"/>
          <w:shd w:val="clear" w:color="auto" w:fill="FFFFFF"/>
        </w:rPr>
      </w:pPr>
      <w:r w:rsidRPr="004764DB">
        <w:rPr>
          <w:rFonts w:ascii="Arial" w:hAnsi="Arial" w:cs="Arial"/>
          <w:i/>
          <w:iCs/>
          <w:sz w:val="22"/>
        </w:rPr>
        <w:t>Sample and experimental information of the H. ducreyi Infection data set.</w:t>
      </w:r>
    </w:p>
    <w:p w14:paraId="090A1906" w14:textId="59B612A5" w:rsidR="004764DB" w:rsidRPr="004764DB" w:rsidRDefault="004764DB" w:rsidP="004764DB">
      <w:pPr>
        <w:ind w:firstLine="420"/>
        <w:contextualSpacing/>
        <w:rPr>
          <w:rFonts w:ascii="Arial" w:hAnsi="Arial" w:cs="Arial"/>
          <w:sz w:val="22"/>
        </w:rPr>
      </w:pPr>
      <w:r w:rsidRPr="004764DB">
        <w:rPr>
          <w:rFonts w:ascii="Arial" w:hAnsi="Arial" w:cs="Arial"/>
          <w:sz w:val="22"/>
        </w:rPr>
        <w:t xml:space="preserve">Four healthy volunteers were recruited in this human challenge study using the </w:t>
      </w:r>
      <w:r w:rsidRPr="004764DB">
        <w:rPr>
          <w:rFonts w:ascii="Arial" w:hAnsi="Arial" w:cs="Arial"/>
          <w:i/>
          <w:iCs/>
          <w:sz w:val="22"/>
        </w:rPr>
        <w:t>H. ducreyi</w:t>
      </w:r>
      <w:r w:rsidRPr="004764DB">
        <w:rPr>
          <w:rFonts w:ascii="Arial" w:hAnsi="Arial" w:cs="Arial"/>
          <w:sz w:val="22"/>
        </w:rPr>
        <w:t xml:space="preserve"> strain 35000HP. This is approved by the Institutional Review Board of Indiana University-Purdue University Indianapolis </w:t>
      </w:r>
      <w:r w:rsidRPr="004764DB">
        <w:rPr>
          <w:rFonts w:ascii="Arial" w:hAnsi="Arial" w:cs="Arial"/>
          <w:sz w:val="22"/>
        </w:rPr>
        <w:fldChar w:fldCharType="begin"/>
      </w:r>
      <w:r w:rsidRPr="004764DB">
        <w:rPr>
          <w:rFonts w:ascii="Arial" w:hAnsi="Arial" w:cs="Arial"/>
          <w:sz w:val="22"/>
        </w:rPr>
        <w:instrText xml:space="preserve"> ADDIN EN.CITE &lt;EndNote&gt;&lt;Cite&gt;&lt;Author&gt;Al-Tawfiq&lt;/Author&gt;&lt;Year&gt;1998&lt;/Year&gt;&lt;RecNum&gt;3053&lt;/RecNum&gt;&lt;DisplayText&gt;&lt;style face="superscript"&gt;1&lt;/style&gt;&lt;/DisplayText&gt;&lt;record&gt;&lt;rec-number&gt;3053&lt;/rec-number&gt;&lt;foreign-keys&gt;&lt;key app="EN" db-id="2ea0e0arad95rcer22mpde50dp2pvdev2wte" timestamp="0"&gt;3053&lt;/key&gt;&lt;/foreign-keys&gt;&lt;ref-type name="Journal Article"&gt;17&lt;/ref-type&gt;&lt;contributors&gt;&lt;authors&gt;&lt;author&gt;Al-Tawfiq,J.A.&lt;/author&gt;&lt;author&gt;Thornton,A.C.&lt;/author&gt;&lt;author&gt;Katz,B.P.&lt;/author&gt;&lt;author&gt;Fortney,K.R.&lt;/author&gt;&lt;author&gt;Todd,K.D.&lt;/author&gt;&lt;author&gt;Hood,A.F.&lt;/author&gt;&lt;author&gt;Spinola,S.M.&lt;/author&gt;&lt;/authors&gt;&lt;/contributors&gt;&lt;titles&gt;&lt;title&gt;&lt;style face="normal" font="default" size="100%"&gt;Standardization of the experimental model of &lt;/style&gt;&lt;style face="italic" font="default" size="100%"&gt;Haemophilus ducreyi &lt;/style&gt;&lt;style face="normal" font="default" size="100%"&gt;infection in human subjects&lt;/style&gt;&lt;/title&gt;&lt;secondary-title&gt;J. Infect. Dis.&lt;/secondary-title&gt;&lt;/titles&gt;&lt;pages&gt;1684-1687&lt;/pages&gt;&lt;volume&gt;178&lt;/volume&gt;&lt;keywords&gt;&lt;keyword&gt;Haemophilus&lt;/keyword&gt;&lt;keyword&gt;Haemophilus Ducreyi&lt;/keyword&gt;&lt;keyword&gt;Infection&lt;/keyword&gt;&lt;keyword&gt;Human&lt;/keyword&gt;&lt;/keywords&gt;&lt;dates&gt;&lt;year&gt;1998&lt;/year&gt;&lt;/dates&gt;&lt;label&gt;3324&lt;/label&gt;&lt;urls&gt;&lt;/urls&gt;&lt;/record&gt;&lt;/Cite&gt;&lt;/EndNote&gt;</w:instrText>
      </w:r>
      <w:r w:rsidRPr="004764DB">
        <w:rPr>
          <w:rFonts w:ascii="Arial" w:hAnsi="Arial" w:cs="Arial"/>
          <w:sz w:val="22"/>
        </w:rPr>
        <w:fldChar w:fldCharType="separate"/>
      </w:r>
      <w:r w:rsidRPr="004764DB">
        <w:rPr>
          <w:rFonts w:ascii="Arial" w:hAnsi="Arial" w:cs="Arial"/>
          <w:noProof/>
          <w:sz w:val="22"/>
          <w:vertAlign w:val="superscript"/>
        </w:rPr>
        <w:t>1</w:t>
      </w:r>
      <w:r w:rsidRPr="004764DB">
        <w:rPr>
          <w:rFonts w:ascii="Arial" w:hAnsi="Arial" w:cs="Arial"/>
          <w:sz w:val="22"/>
        </w:rPr>
        <w:fldChar w:fldCharType="end"/>
      </w:r>
      <w:r w:rsidRPr="004764DB">
        <w:rPr>
          <w:rFonts w:ascii="Arial" w:hAnsi="Arial" w:cs="Arial"/>
          <w:sz w:val="22"/>
        </w:rPr>
        <w:t xml:space="preserve">. The inoculum preparation followed a protocol authorized by the U.S. Food and Drug Administration under BB-IND #13064. Each volunteer was inoculated at three upper arm sites with live 35000HP and at one </w:t>
      </w:r>
      <w:r w:rsidRPr="004764DB">
        <w:rPr>
          <w:rFonts w:ascii="Arial" w:hAnsi="Arial" w:cs="Arial"/>
          <w:sz w:val="22"/>
        </w:rPr>
        <w:lastRenderedPageBreak/>
        <w:t>control site with PBS, using puncture wounds created by an allergy testing device. The inoculation sites were arranged 3 cm apart vertically. Clinical endpoints included the formation of a painful pustule, resolution of infection at all sites, or a maximum observation period of 14 days. The procedures for bacterial preparation, inoculation, biopsy collection, and clinical monitoring adhered to previously established protocols and are described in detail in the Supplementary Methods.</w:t>
      </w:r>
      <w:bookmarkStart w:id="2" w:name="_Hlk166366551"/>
    </w:p>
    <w:p w14:paraId="636EC355" w14:textId="77777777" w:rsidR="004764DB" w:rsidRPr="004764DB" w:rsidRDefault="004764DB" w:rsidP="004764DB">
      <w:pPr>
        <w:ind w:firstLine="420"/>
        <w:contextualSpacing/>
        <w:rPr>
          <w:rFonts w:ascii="Arial" w:hAnsi="Arial" w:cs="Arial"/>
          <w:sz w:val="22"/>
        </w:rPr>
      </w:pPr>
    </w:p>
    <w:p w14:paraId="2B489103" w14:textId="77777777" w:rsidR="004764DB" w:rsidRPr="004764DB" w:rsidRDefault="004764DB" w:rsidP="004764DB">
      <w:pPr>
        <w:contextualSpacing/>
        <w:rPr>
          <w:rFonts w:ascii="Arial" w:hAnsi="Arial" w:cs="Arial"/>
          <w:i/>
          <w:iCs/>
          <w:sz w:val="22"/>
        </w:rPr>
      </w:pPr>
      <w:r w:rsidRPr="004764DB">
        <w:rPr>
          <w:rFonts w:ascii="Arial" w:hAnsi="Arial" w:cs="Arial"/>
          <w:i/>
          <w:iCs/>
          <w:sz w:val="22"/>
        </w:rPr>
        <w:t xml:space="preserve">Single Cell RNA-sequencing and Analysis. </w:t>
      </w:r>
    </w:p>
    <w:p w14:paraId="19EFE09B" w14:textId="511884AA" w:rsidR="004764DB" w:rsidRPr="004764DB" w:rsidRDefault="004764DB" w:rsidP="004764DB">
      <w:pPr>
        <w:ind w:firstLine="420"/>
        <w:contextualSpacing/>
        <w:rPr>
          <w:rFonts w:ascii="Arial" w:hAnsi="Arial" w:cs="Arial"/>
          <w:sz w:val="22"/>
        </w:rPr>
      </w:pPr>
      <w:r w:rsidRPr="004764DB">
        <w:rPr>
          <w:rFonts w:ascii="Arial" w:hAnsi="Arial" w:cs="Arial"/>
          <w:sz w:val="22"/>
        </w:rPr>
        <w:t xml:space="preserve">The single-cell RNA sequencing workflow began with cell capture and library preparation using the 10X Genomics Next GEM single-cell reagent kit. Gel beads containing barcoded oligonucleotides and reverse transcription reagents were employed to generate cDNA libraries, which were subsequently assessed for quality using a Bioanalyzer. Sequencing was carried out on an Illumina NovaSeq 6000, producing paired end reads (100 bp) that included unique molecular identifiers (UMIs), cell barcodes, and transcript sequences. </w:t>
      </w:r>
    </w:p>
    <w:p w14:paraId="22885CD9" w14:textId="5C6A084D" w:rsidR="004764DB" w:rsidRPr="004764DB" w:rsidRDefault="004764DB" w:rsidP="004764DB">
      <w:pPr>
        <w:ind w:firstLine="420"/>
        <w:contextualSpacing/>
        <w:rPr>
          <w:rFonts w:ascii="Arial" w:hAnsi="Arial" w:cs="Arial"/>
          <w:sz w:val="22"/>
        </w:rPr>
      </w:pPr>
      <w:r w:rsidRPr="004764DB">
        <w:rPr>
          <w:rFonts w:ascii="Arial" w:hAnsi="Arial" w:cs="Arial"/>
          <w:sz w:val="22"/>
        </w:rPr>
        <w:t>Data processing was performed with CellRanger 5.0.1 (10xgenomics.com/), aligning sequencing reads to the hg19 human reference genome using the STAR aligner. UMI-based quantification was used to derive gene expression levels, while quality control steps removed low-quality cells. Doublets were identified and excluded with scDblFinder</w:t>
      </w:r>
      <w:r w:rsidRPr="004764DB">
        <w:rPr>
          <w:rFonts w:ascii="Arial" w:hAnsi="Arial" w:cs="Arial"/>
          <w:sz w:val="22"/>
        </w:rPr>
        <w:fldChar w:fldCharType="begin"/>
      </w:r>
      <w:r w:rsidRPr="004764DB">
        <w:rPr>
          <w:rFonts w:ascii="Arial" w:hAnsi="Arial" w:cs="Arial"/>
          <w:sz w:val="22"/>
        </w:rPr>
        <w:instrText xml:space="preserve"> ADDIN EN.CITE &lt;EndNote&gt;&lt;Cite&gt;&lt;Author&gt;Germain&lt;/Author&gt;&lt;Year&gt;2021&lt;/Year&gt;&lt;RecNum&gt;59&lt;/RecNum&gt;&lt;DisplayText&gt;&lt;style face="superscript"&gt;2&lt;/style&gt;&lt;/DisplayText&gt;&lt;record&gt;&lt;rec-number&gt;59&lt;/rec-number&gt;&lt;foreign-keys&gt;&lt;key app="EN" db-id="z0vxvp2x3d9x5se9x5txe0x1vpzp5z20w5tz" timestamp="1726236506"&gt;59&lt;/key&gt;&lt;/foreign-keys&gt;&lt;ref-type name="Journal Article"&gt;17&lt;/ref-type&gt;&lt;contributors&gt;&lt;authors&gt;&lt;author&gt;Germain, Pierre-Luc&lt;/author&gt;&lt;author&gt;Lun, Aaron&lt;/author&gt;&lt;author&gt;Meixide, Carlos Garcia&lt;/author&gt;&lt;author&gt;Macnair, Will&lt;/author&gt;&lt;author&gt;Robinson, Mark D&lt;/author&gt;&lt;/authors&gt;&lt;/contributors&gt;&lt;titles&gt;&lt;title&gt;Doublet identification in single-cell sequencing data using scDblFinder&lt;/title&gt;&lt;secondary-title&gt;F1000Research&lt;/secondary-title&gt;&lt;/titles&gt;&lt;periodical&gt;&lt;full-title&gt;F1000Research&lt;/full-title&gt;&lt;/periodical&gt;&lt;volume&gt;10&lt;/volume&gt;&lt;dates&gt;&lt;year&gt;2021&lt;/year&gt;&lt;/dates&gt;&lt;urls&gt;&lt;/urls&gt;&lt;/record&gt;&lt;/Cite&gt;&lt;/EndNote&gt;</w:instrText>
      </w:r>
      <w:r w:rsidRPr="004764DB">
        <w:rPr>
          <w:rFonts w:ascii="Arial" w:hAnsi="Arial" w:cs="Arial"/>
          <w:sz w:val="22"/>
        </w:rPr>
        <w:fldChar w:fldCharType="separate"/>
      </w:r>
      <w:r w:rsidRPr="004764DB">
        <w:rPr>
          <w:rFonts w:ascii="Arial" w:hAnsi="Arial" w:cs="Arial"/>
          <w:noProof/>
          <w:sz w:val="22"/>
          <w:vertAlign w:val="superscript"/>
        </w:rPr>
        <w:t>2</w:t>
      </w:r>
      <w:r w:rsidRPr="004764DB">
        <w:rPr>
          <w:rFonts w:ascii="Arial" w:hAnsi="Arial" w:cs="Arial"/>
          <w:sz w:val="22"/>
        </w:rPr>
        <w:fldChar w:fldCharType="end"/>
      </w:r>
      <w:r w:rsidRPr="004764DB">
        <w:rPr>
          <w:rFonts w:ascii="Arial" w:hAnsi="Arial" w:cs="Arial"/>
          <w:sz w:val="22"/>
        </w:rPr>
        <w:t>, and batch effects were addressed using Harmony</w:t>
      </w:r>
      <w:r w:rsidRPr="004764DB">
        <w:rPr>
          <w:rFonts w:ascii="Arial" w:hAnsi="Arial" w:cs="Arial"/>
          <w:sz w:val="22"/>
        </w:rPr>
        <w:fldChar w:fldCharType="begin"/>
      </w:r>
      <w:r w:rsidRPr="004764DB">
        <w:rPr>
          <w:rFonts w:ascii="Arial" w:hAnsi="Arial" w:cs="Arial"/>
          <w:sz w:val="22"/>
        </w:rPr>
        <w:instrText xml:space="preserve"> ADDIN EN.CITE &lt;EndNote&gt;&lt;Cite&gt;&lt;Author&gt;Korsunsky&lt;/Author&gt;&lt;Year&gt;2019&lt;/Year&gt;&lt;RecNum&gt;60&lt;/RecNum&gt;&lt;DisplayText&gt;&lt;style face="superscript"&gt;3&lt;/style&gt;&lt;/DisplayText&gt;&lt;record&gt;&lt;rec-number&gt;60&lt;/rec-number&gt;&lt;foreign-keys&gt;&lt;key app="EN" db-id="z0vxvp2x3d9x5se9x5txe0x1vpzp5z20w5tz" timestamp="1726236581"&gt;60&lt;/key&gt;&lt;/foreign-keys&gt;&lt;ref-type name="Journal Article"&gt;17&lt;/ref-type&gt;&lt;contributors&gt;&lt;authors&gt;&lt;author&gt;Korsunsky, Ilya&lt;/author&gt;&lt;author&gt;Millard, Nghia&lt;/author&gt;&lt;author&gt;Fan, Jean&lt;/author&gt;&lt;author&gt;Slowikowski, Kamil&lt;/author&gt;&lt;author&gt;Zhang, Fan&lt;/author&gt;&lt;author&gt;Wei, Kevin&lt;/author&gt;&lt;author&gt;Baglaenko, Yuriy&lt;/author&gt;&lt;author&gt;Brenner, Michael&lt;/author&gt;&lt;author&gt;Loh, Po-ru&lt;/author&gt;&lt;author&gt;Raychaudhuri, Soumya&lt;/author&gt;&lt;/authors&gt;&lt;/contributors&gt;&lt;titles&gt;&lt;title&gt;Fast, sensitive and accurate integration of single-cell data with Harmony&lt;/title&gt;&lt;secondary-title&gt;Nature methods&lt;/secondary-title&gt;&lt;/titles&gt;&lt;periodical&gt;&lt;full-title&gt;Nature methods&lt;/full-title&gt;&lt;/periodical&gt;&lt;pages&gt;1289-1296&lt;/pages&gt;&lt;volume&gt;16&lt;/volume&gt;&lt;number&gt;12&lt;/number&gt;&lt;dates&gt;&lt;year&gt;2019&lt;/year&gt;&lt;/dates&gt;&lt;isbn&gt;1548-7091&lt;/isbn&gt;&lt;urls&gt;&lt;/urls&gt;&lt;/record&gt;&lt;/Cite&gt;&lt;/EndNote&gt;</w:instrText>
      </w:r>
      <w:r w:rsidRPr="004764DB">
        <w:rPr>
          <w:rFonts w:ascii="Arial" w:hAnsi="Arial" w:cs="Arial"/>
          <w:sz w:val="22"/>
        </w:rPr>
        <w:fldChar w:fldCharType="separate"/>
      </w:r>
      <w:r w:rsidRPr="004764DB">
        <w:rPr>
          <w:rFonts w:ascii="Arial" w:hAnsi="Arial" w:cs="Arial"/>
          <w:noProof/>
          <w:sz w:val="22"/>
          <w:vertAlign w:val="superscript"/>
        </w:rPr>
        <w:t>3</w:t>
      </w:r>
      <w:r w:rsidRPr="004764DB">
        <w:rPr>
          <w:rFonts w:ascii="Arial" w:hAnsi="Arial" w:cs="Arial"/>
          <w:sz w:val="22"/>
        </w:rPr>
        <w:fldChar w:fldCharType="end"/>
      </w:r>
      <w:r w:rsidRPr="004764DB">
        <w:rPr>
          <w:rFonts w:ascii="Arial" w:hAnsi="Arial" w:cs="Arial"/>
          <w:sz w:val="22"/>
        </w:rPr>
        <w:t>. Subsequent data analysis, including dimensionality reduction, visualization, clustering, and cell-type identification, was carried out using Seurat v5. Cell-type annotations were assigned by comparing cluster-specific marker genes with known canonical signatures, resulting in the identification of 13 distinct cell populations across 82,972 cells.</w:t>
      </w:r>
    </w:p>
    <w:p w14:paraId="645EAFB2" w14:textId="77777777" w:rsidR="004764DB" w:rsidRPr="004764DB" w:rsidRDefault="004764DB" w:rsidP="004764DB">
      <w:pPr>
        <w:ind w:firstLine="420"/>
        <w:contextualSpacing/>
        <w:rPr>
          <w:rFonts w:ascii="Arial" w:hAnsi="Arial" w:cs="Arial"/>
          <w:b/>
          <w:bCs/>
          <w:sz w:val="22"/>
        </w:rPr>
      </w:pPr>
    </w:p>
    <w:p w14:paraId="1F8728B7" w14:textId="77777777" w:rsidR="004764DB" w:rsidRPr="004764DB" w:rsidRDefault="004764DB" w:rsidP="004764DB">
      <w:pPr>
        <w:contextualSpacing/>
        <w:rPr>
          <w:rFonts w:ascii="Arial" w:hAnsi="Arial" w:cs="Arial"/>
          <w:i/>
          <w:iCs/>
          <w:sz w:val="22"/>
        </w:rPr>
      </w:pPr>
      <w:r w:rsidRPr="004764DB">
        <w:rPr>
          <w:rFonts w:ascii="Arial" w:hAnsi="Arial" w:cs="Arial"/>
          <w:i/>
          <w:iCs/>
          <w:sz w:val="22"/>
        </w:rPr>
        <w:t xml:space="preserve">Spatial transcriptomics sequencing and Analysis. </w:t>
      </w:r>
    </w:p>
    <w:p w14:paraId="4E4FB0C0" w14:textId="27F88317" w:rsidR="004764DB" w:rsidRPr="004764DB" w:rsidRDefault="004764DB" w:rsidP="004764DB">
      <w:pPr>
        <w:ind w:firstLine="420"/>
        <w:contextualSpacing/>
        <w:rPr>
          <w:rFonts w:ascii="Arial" w:hAnsi="Arial" w:cs="Arial"/>
          <w:sz w:val="22"/>
        </w:rPr>
      </w:pPr>
      <w:r w:rsidRPr="004764DB">
        <w:rPr>
          <w:rFonts w:ascii="Arial" w:hAnsi="Arial" w:cs="Arial"/>
          <w:sz w:val="22"/>
        </w:rPr>
        <w:t>The spatial transcriptomics was conducted using the 10X Genomics Visium platform with the fresh-frozen tissue protocol. Visium spatial 3' gene expression libraries were constructed following the guidelines provided in the Visium Spatial Gene Expression Reagent Kits User Guide. Sequencing libraries were prepared and sequenced on an Illumina NovaSeq 6000 system. The raw sequencing data underwent preprocessing and quality control using SpaceRanger v1.1. Spot-level normalization was performed using the log-normalization method implemented in Seurat. The relative abundance of specific cell types, such as T cells, cytotoxic cells, and antigen-presenting cells (APCs), was estimated by calculating the average expression of cell type-specific marker genes.</w:t>
      </w:r>
      <w:bookmarkEnd w:id="2"/>
    </w:p>
    <w:p w14:paraId="12B457AC" w14:textId="77777777" w:rsidR="00644CDC" w:rsidRPr="004764DB" w:rsidRDefault="00644CDC" w:rsidP="000B3ED0">
      <w:pPr>
        <w:rPr>
          <w:rFonts w:ascii="Arial" w:hAnsi="Arial" w:cs="Arial"/>
          <w:sz w:val="22"/>
        </w:rPr>
      </w:pPr>
    </w:p>
    <w:p w14:paraId="33B56A89" w14:textId="07CEE0C5" w:rsidR="00644CDC" w:rsidRPr="004764DB" w:rsidRDefault="004764DB" w:rsidP="000B3ED0">
      <w:pPr>
        <w:rPr>
          <w:rFonts w:ascii="Arial" w:hAnsi="Arial" w:cs="Arial"/>
          <w:b/>
          <w:bCs/>
          <w:color w:val="000000" w:themeColor="text1"/>
          <w:sz w:val="22"/>
        </w:rPr>
      </w:pPr>
      <w:r w:rsidRPr="004764DB">
        <w:rPr>
          <w:rFonts w:ascii="Arial" w:hAnsi="Arial" w:cs="Arial"/>
          <w:b/>
          <w:bCs/>
          <w:color w:val="000000" w:themeColor="text1"/>
          <w:sz w:val="22"/>
        </w:rPr>
        <w:t xml:space="preserve">Details of the </w:t>
      </w:r>
      <w:r>
        <w:rPr>
          <w:rFonts w:ascii="Arial" w:hAnsi="Arial" w:cs="Arial"/>
          <w:b/>
          <w:bCs/>
          <w:color w:val="000000" w:themeColor="text1"/>
          <w:sz w:val="22"/>
        </w:rPr>
        <w:t xml:space="preserve">public </w:t>
      </w:r>
      <w:r w:rsidRPr="004764DB">
        <w:rPr>
          <w:rFonts w:ascii="Arial" w:hAnsi="Arial" w:cs="Arial"/>
          <w:b/>
          <w:bCs/>
          <w:color w:val="000000" w:themeColor="text1"/>
          <w:sz w:val="22"/>
        </w:rPr>
        <w:t>data used in this study</w:t>
      </w:r>
    </w:p>
    <w:p w14:paraId="221157E0" w14:textId="690F2036" w:rsidR="000B3ED0" w:rsidRPr="004764DB" w:rsidRDefault="000B3ED0" w:rsidP="000B3ED0">
      <w:pPr>
        <w:rPr>
          <w:rFonts w:ascii="Arial" w:hAnsi="Arial" w:cs="Arial"/>
          <w:i/>
          <w:iCs/>
          <w:sz w:val="22"/>
        </w:rPr>
      </w:pPr>
      <w:r w:rsidRPr="004764DB">
        <w:rPr>
          <w:rFonts w:ascii="Arial" w:hAnsi="Arial" w:cs="Arial"/>
          <w:i/>
          <w:iCs/>
          <w:sz w:val="22"/>
        </w:rPr>
        <w:t>Public CITE-seq data processing and analysis.</w:t>
      </w:r>
    </w:p>
    <w:p w14:paraId="0E64E759" w14:textId="77777777" w:rsidR="000B3ED0" w:rsidRPr="004764DB" w:rsidRDefault="000B3ED0" w:rsidP="000B3ED0">
      <w:pPr>
        <w:rPr>
          <w:rFonts w:ascii="Arial" w:hAnsi="Arial" w:cs="Arial"/>
          <w:sz w:val="22"/>
        </w:rPr>
      </w:pPr>
      <w:r w:rsidRPr="004764DB">
        <w:rPr>
          <w:rFonts w:ascii="Arial" w:hAnsi="Arial" w:cs="Arial"/>
          <w:sz w:val="22"/>
        </w:rPr>
        <w:t>We collected three CITE-seq datasets from public domain. Basic QC for SC using the Seurat (version 3) to filter out cells with high expressions of MT-coding genes. After the pre-processing, we applied PSAA to gene expression matrix in each CITE-seq dataset, and then computed the Pearson correlation coefficients</w:t>
      </w:r>
      <w:r w:rsidRPr="004764DB">
        <w:rPr>
          <w:rFonts w:ascii="Arial" w:eastAsia="DengXian" w:hAnsi="Arial" w:cs="Arial"/>
          <w:sz w:val="22"/>
          <w:shd w:val="clear" w:color="auto" w:fill="FFFFFF"/>
        </w:rPr>
        <w:t xml:space="preserve"> </w:t>
      </w:r>
      <w:r w:rsidRPr="004764DB">
        <w:rPr>
          <w:rFonts w:ascii="Arial" w:hAnsi="Arial" w:cs="Arial"/>
          <w:sz w:val="22"/>
        </w:rPr>
        <w:t xml:space="preserve">between the cell-wise antigen presentation level we predicted and the cell surface protein level. In details, </w:t>
      </w:r>
      <w:r w:rsidRPr="004764DB">
        <w:rPr>
          <w:rFonts w:ascii="Arial" w:hAnsi="Arial" w:cs="Arial"/>
          <w:sz w:val="22"/>
        </w:rPr>
        <w:lastRenderedPageBreak/>
        <w:t>we used the mean antigen presentation level of crucial modules in MHC class I antigen presentation pathway: “</w:t>
      </w:r>
      <w:r w:rsidRPr="004764DB">
        <w:rPr>
          <w:rFonts w:ascii="Arial" w:hAnsi="Arial" w:cs="Arial"/>
          <w:color w:val="000000" w:themeColor="text1"/>
          <w:sz w:val="22"/>
          <w:shd w:val="clear" w:color="auto" w:fill="FFFFFF"/>
        </w:rPr>
        <w:t>Biosynthesis of MHC I” (Module 4), “</w:t>
      </w:r>
      <w:r w:rsidRPr="004764DB">
        <w:rPr>
          <w:rFonts w:ascii="Arial" w:eastAsia="DengXian" w:hAnsi="Arial" w:cs="Arial"/>
          <w:kern w:val="0"/>
          <w:sz w:val="22"/>
        </w:rPr>
        <w:t>Peptide loading complex” (</w:t>
      </w:r>
      <w:r w:rsidRPr="004764DB">
        <w:rPr>
          <w:rFonts w:ascii="Arial" w:hAnsi="Arial" w:cs="Arial"/>
          <w:color w:val="000000" w:themeColor="text1"/>
          <w:sz w:val="22"/>
          <w:shd w:val="clear" w:color="auto" w:fill="FFFFFF"/>
        </w:rPr>
        <w:t>Module 5</w:t>
      </w:r>
      <w:r w:rsidRPr="004764DB">
        <w:rPr>
          <w:rFonts w:ascii="Arial" w:eastAsia="DengXian" w:hAnsi="Arial" w:cs="Arial"/>
          <w:kern w:val="0"/>
          <w:sz w:val="22"/>
        </w:rPr>
        <w:t>) and “Transit from the endoplasmic reticulum (ER) to the Golgi”</w:t>
      </w:r>
      <w:r w:rsidRPr="004764DB">
        <w:rPr>
          <w:rFonts w:ascii="Arial" w:hAnsi="Arial" w:cs="Arial"/>
          <w:sz w:val="22"/>
        </w:rPr>
        <w:t xml:space="preserve"> </w:t>
      </w:r>
      <w:r w:rsidRPr="004764DB">
        <w:rPr>
          <w:rFonts w:ascii="Arial" w:hAnsi="Arial" w:cs="Arial"/>
          <w:color w:val="000000" w:themeColor="text1"/>
          <w:sz w:val="22"/>
          <w:shd w:val="clear" w:color="auto" w:fill="FFFFFF"/>
        </w:rPr>
        <w:t>(Module 6) to be the cell-wise antigen presentation level. And used “HLA-A” ADT counts as cell surface protein level.</w:t>
      </w:r>
    </w:p>
    <w:p w14:paraId="500BF2EF" w14:textId="77777777" w:rsidR="000B3ED0" w:rsidRPr="004764DB" w:rsidRDefault="000B3ED0" w:rsidP="000B3ED0">
      <w:pPr>
        <w:rPr>
          <w:rFonts w:ascii="Arial" w:hAnsi="Arial" w:cs="Arial"/>
          <w:sz w:val="22"/>
        </w:rPr>
      </w:pPr>
    </w:p>
    <w:p w14:paraId="75739E1A" w14:textId="77777777" w:rsidR="000B3ED0" w:rsidRPr="004764DB" w:rsidRDefault="000B3ED0" w:rsidP="000B3ED0">
      <w:pPr>
        <w:rPr>
          <w:rFonts w:ascii="Arial" w:hAnsi="Arial" w:cs="Arial"/>
          <w:sz w:val="22"/>
        </w:rPr>
      </w:pPr>
      <w:r w:rsidRPr="004764DB">
        <w:rPr>
          <w:rFonts w:ascii="Arial" w:hAnsi="Arial" w:cs="Arial"/>
          <w:i/>
          <w:iCs/>
          <w:sz w:val="22"/>
        </w:rPr>
        <w:t>GSE249542:</w:t>
      </w:r>
      <w:r w:rsidRPr="004764DB">
        <w:rPr>
          <w:rFonts w:ascii="Arial" w:hAnsi="Arial" w:cs="Arial"/>
          <w:sz w:val="22"/>
        </w:rPr>
        <w:t xml:space="preserve"> This dataset involves treating peripheral blood mononuclear cell (PBMC) samples from two different donors with ABBV-319, CD19 monoclonal antibody (mAb), or DMSO (as a control). Genomic materials were collected 24 hours post-treatment and profiled using CITE-seq (Cellular Indexing of Transcriptomes and Epitopes by Sequencing) to analyze changes in gene expression and cell lineage composition following treatment with ABBV-319.</w:t>
      </w:r>
    </w:p>
    <w:p w14:paraId="6F853F22" w14:textId="77777777" w:rsidR="000B3ED0" w:rsidRPr="004764DB" w:rsidRDefault="000B3ED0" w:rsidP="000B3ED0">
      <w:pPr>
        <w:rPr>
          <w:rFonts w:ascii="Arial" w:hAnsi="Arial" w:cs="Arial"/>
          <w:sz w:val="22"/>
        </w:rPr>
      </w:pPr>
      <w:r w:rsidRPr="004764DB">
        <w:rPr>
          <w:rFonts w:ascii="Arial" w:hAnsi="Arial" w:cs="Arial"/>
          <w:i/>
          <w:iCs/>
          <w:sz w:val="22"/>
        </w:rPr>
        <w:t>GSE200417:</w:t>
      </w:r>
      <w:r w:rsidRPr="004764DB">
        <w:rPr>
          <w:rFonts w:ascii="Arial" w:hAnsi="Arial" w:cs="Arial"/>
          <w:sz w:val="22"/>
        </w:rPr>
        <w:t xml:space="preserve"> This dataset explored the utility, pros and cons of DOGMA-seq compared to the bimodal cellular indexing of transcriptomes and epitopes by sequencing (CITE-seq) assay in activated and stimulated human peripheral blood T cells.</w:t>
      </w:r>
    </w:p>
    <w:p w14:paraId="65D3E692" w14:textId="77777777" w:rsidR="000B3ED0" w:rsidRPr="004764DB" w:rsidRDefault="000B3ED0" w:rsidP="000B3ED0">
      <w:pPr>
        <w:rPr>
          <w:rFonts w:ascii="Arial" w:hAnsi="Arial" w:cs="Arial"/>
          <w:sz w:val="22"/>
        </w:rPr>
      </w:pPr>
      <w:r w:rsidRPr="004764DB">
        <w:rPr>
          <w:rFonts w:ascii="Arial" w:hAnsi="Arial" w:cs="Arial"/>
          <w:i/>
          <w:iCs/>
          <w:sz w:val="22"/>
        </w:rPr>
        <w:t>SCP1064:</w:t>
      </w:r>
      <w:r w:rsidRPr="004764DB">
        <w:rPr>
          <w:rFonts w:ascii="Arial" w:eastAsia="DengXian" w:hAnsi="Arial" w:cs="Arial"/>
          <w:sz w:val="22"/>
          <w:shd w:val="clear" w:color="auto" w:fill="FFFFFF"/>
        </w:rPr>
        <w:t xml:space="preserve"> </w:t>
      </w:r>
      <w:r w:rsidRPr="004764DB">
        <w:rPr>
          <w:rFonts w:ascii="Arial" w:hAnsi="Arial" w:cs="Arial"/>
          <w:sz w:val="22"/>
        </w:rPr>
        <w:t xml:space="preserve">This dataset developed a new approach, Perturb-CITE-seq, for pooled CRISPR perturbation screens with multi-modal RNA and protein single-cell profiling readout and applied it to screen patient-derived autologous melanoma and tumor infiltrating lymphocyte (TIL) co-cultures. They profiled RNA and 20 surface proteins in over 218,000 cells under ~750 perturbations, chosen by their membership in an immune evasion program that is associated with immunotherapy resistance in patients. This dataset was downloaded from </w:t>
      </w:r>
      <w:hyperlink r:id="rId11" w:anchor="study-summary" w:history="1">
        <w:r w:rsidRPr="004764DB">
          <w:rPr>
            <w:rStyle w:val="Hyperlink"/>
            <w:rFonts w:ascii="Arial" w:hAnsi="Arial" w:cs="Arial"/>
            <w:sz w:val="22"/>
          </w:rPr>
          <w:t>https://singlecell.broadinstitute.org/single_cell/study/SCP1064/multi-modal-pooled-perturb-cite-seq-screens-in-patient-models-define-novel-mechanisms-of-cancer-immune-evasion#study-summary</w:t>
        </w:r>
      </w:hyperlink>
    </w:p>
    <w:p w14:paraId="0D416C8C" w14:textId="77777777" w:rsidR="000B3ED0" w:rsidRPr="004764DB" w:rsidRDefault="000B3ED0" w:rsidP="000B3ED0">
      <w:pPr>
        <w:rPr>
          <w:rFonts w:ascii="Arial" w:hAnsi="Arial" w:cs="Arial"/>
          <w:sz w:val="22"/>
        </w:rPr>
      </w:pPr>
    </w:p>
    <w:p w14:paraId="40B0C67D" w14:textId="0F45852B" w:rsidR="000B3ED0" w:rsidRPr="004764DB" w:rsidRDefault="000B3ED0" w:rsidP="000B3ED0">
      <w:pPr>
        <w:rPr>
          <w:rFonts w:ascii="Arial" w:hAnsi="Arial" w:cs="Arial"/>
          <w:i/>
          <w:iCs/>
          <w:sz w:val="22"/>
        </w:rPr>
      </w:pPr>
      <w:r w:rsidRPr="004764DB">
        <w:rPr>
          <w:rFonts w:ascii="Arial" w:hAnsi="Arial" w:cs="Arial"/>
          <w:i/>
          <w:iCs/>
          <w:sz w:val="22"/>
        </w:rPr>
        <w:t>Public bulk RNA-seq and proteomics data processing and analysis.</w:t>
      </w:r>
    </w:p>
    <w:p w14:paraId="58BB9083" w14:textId="77777777" w:rsidR="000B3ED0" w:rsidRPr="004764DB" w:rsidRDefault="000B3ED0" w:rsidP="000B3ED0">
      <w:pPr>
        <w:rPr>
          <w:rFonts w:ascii="Arial" w:hAnsi="Arial" w:cs="Arial"/>
          <w:sz w:val="22"/>
        </w:rPr>
      </w:pPr>
      <w:r w:rsidRPr="004764DB">
        <w:rPr>
          <w:rFonts w:ascii="Arial" w:hAnsi="Arial" w:cs="Arial"/>
          <w:sz w:val="22"/>
        </w:rPr>
        <w:t>We collected two bulk RNA-seq and proteomics data from public domain. na.omit() function in R was used to remove all NAs in the original data matrix. Then each sample was normalized using basic normalization function. We applied PSAA to gene expression matrix and protein expression matrix separately and got sample-wise antigen presentation level for each input. To test the consistency of our predictions, we computed the Pearson correlation coefficients between the two results.</w:t>
      </w:r>
    </w:p>
    <w:p w14:paraId="2EA3C908" w14:textId="77777777" w:rsidR="000B3ED0" w:rsidRPr="004764DB" w:rsidRDefault="000B3ED0" w:rsidP="000B3ED0">
      <w:pPr>
        <w:rPr>
          <w:rFonts w:ascii="Arial" w:hAnsi="Arial" w:cs="Arial"/>
          <w:sz w:val="22"/>
        </w:rPr>
      </w:pPr>
      <w:r w:rsidRPr="004764DB">
        <w:rPr>
          <w:rFonts w:ascii="Arial" w:hAnsi="Arial" w:cs="Arial"/>
          <w:i/>
          <w:iCs/>
          <w:sz w:val="22"/>
        </w:rPr>
        <w:t xml:space="preserve">CCLE: </w:t>
      </w:r>
      <w:r w:rsidRPr="004764DB">
        <w:rPr>
          <w:rFonts w:ascii="Arial" w:hAnsi="Arial" w:cs="Arial"/>
          <w:sz w:val="22"/>
        </w:rPr>
        <w:t xml:space="preserve">Cancer Cell Line Encyclopedia from the Broad Institute and Novartis, updated 2019. Data downloaded from </w:t>
      </w:r>
      <w:hyperlink r:id="rId12" w:history="1">
        <w:r w:rsidRPr="004764DB">
          <w:rPr>
            <w:rStyle w:val="Hyperlink"/>
            <w:rFonts w:ascii="Arial" w:hAnsi="Arial" w:cs="Arial"/>
            <w:sz w:val="22"/>
          </w:rPr>
          <w:t>https://www.cbioportal.org/study/summary?id=ccle_broad_2019</w:t>
        </w:r>
      </w:hyperlink>
    </w:p>
    <w:p w14:paraId="5C6410C5" w14:textId="77777777" w:rsidR="000B3ED0" w:rsidRPr="004764DB" w:rsidRDefault="000B3ED0" w:rsidP="000B3ED0">
      <w:pPr>
        <w:rPr>
          <w:rFonts w:ascii="Arial" w:hAnsi="Arial" w:cs="Arial"/>
          <w:sz w:val="22"/>
        </w:rPr>
      </w:pPr>
      <w:r w:rsidRPr="004764DB">
        <w:rPr>
          <w:rFonts w:ascii="Arial" w:hAnsi="Arial" w:cs="Arial"/>
          <w:i/>
          <w:iCs/>
          <w:sz w:val="22"/>
        </w:rPr>
        <w:t xml:space="preserve">TCGA: </w:t>
      </w:r>
      <w:r w:rsidRPr="004764DB">
        <w:rPr>
          <w:rFonts w:ascii="Arial" w:hAnsi="Arial" w:cs="Arial"/>
          <w:sz w:val="22"/>
        </w:rPr>
        <w:t xml:space="preserve">TCGA Ovarian Serous Cystadenocarcinoma. Data downloaded from </w:t>
      </w:r>
      <w:hyperlink r:id="rId13" w:history="1">
        <w:r w:rsidRPr="004764DB">
          <w:rPr>
            <w:rStyle w:val="Hyperlink"/>
            <w:rFonts w:ascii="Arial" w:hAnsi="Arial" w:cs="Arial"/>
            <w:sz w:val="22"/>
          </w:rPr>
          <w:t>https://www.cbioportal.org/study/summary?id=ov_tcga</w:t>
        </w:r>
      </w:hyperlink>
    </w:p>
    <w:p w14:paraId="206E1E43" w14:textId="77777777" w:rsidR="000B3ED0" w:rsidRPr="004764DB" w:rsidRDefault="000B3ED0" w:rsidP="000B3ED0">
      <w:pPr>
        <w:rPr>
          <w:rFonts w:ascii="Arial" w:hAnsi="Arial" w:cs="Arial"/>
          <w:sz w:val="22"/>
        </w:rPr>
      </w:pPr>
    </w:p>
    <w:p w14:paraId="3B8BB9B2" w14:textId="77777777" w:rsidR="000B3ED0" w:rsidRPr="004764DB" w:rsidRDefault="000B3ED0" w:rsidP="000B3ED0">
      <w:pPr>
        <w:rPr>
          <w:rFonts w:ascii="Arial" w:hAnsi="Arial" w:cs="Arial"/>
          <w:sz w:val="22"/>
        </w:rPr>
      </w:pPr>
    </w:p>
    <w:p w14:paraId="44A9410C" w14:textId="543530C9" w:rsidR="000B3ED0" w:rsidRPr="004764DB" w:rsidRDefault="000B3ED0" w:rsidP="000B3ED0">
      <w:pPr>
        <w:rPr>
          <w:rFonts w:ascii="Arial" w:hAnsi="Arial" w:cs="Arial"/>
          <w:i/>
          <w:iCs/>
          <w:sz w:val="22"/>
        </w:rPr>
      </w:pPr>
      <w:r w:rsidRPr="004764DB">
        <w:rPr>
          <w:rFonts w:ascii="Arial" w:hAnsi="Arial" w:cs="Arial"/>
          <w:i/>
          <w:iCs/>
          <w:sz w:val="22"/>
        </w:rPr>
        <w:t>Public spatial transcriptomics data and analysis.</w:t>
      </w:r>
    </w:p>
    <w:p w14:paraId="2C3131F7" w14:textId="77777777" w:rsidR="000B3ED0" w:rsidRPr="004764DB" w:rsidRDefault="000B3ED0" w:rsidP="000B3ED0">
      <w:pPr>
        <w:rPr>
          <w:rFonts w:ascii="Arial" w:hAnsi="Arial" w:cs="Arial"/>
          <w:sz w:val="22"/>
        </w:rPr>
      </w:pPr>
      <w:r w:rsidRPr="004764DB">
        <w:rPr>
          <w:rFonts w:ascii="Arial" w:hAnsi="Arial" w:cs="Arial"/>
          <w:sz w:val="22"/>
        </w:rPr>
        <w:t xml:space="preserve">We collected five spatial transcriptomics datasets from public domain. Three of them comes from 10x spatial official website and two of them comes from GSE206552. Basic QC and normalization were performed using the Seurat (version 3). We applied </w:t>
      </w:r>
      <w:r w:rsidRPr="004764DB">
        <w:rPr>
          <w:rFonts w:ascii="Arial" w:hAnsi="Arial" w:cs="Arial"/>
          <w:sz w:val="22"/>
        </w:rPr>
        <w:lastRenderedPageBreak/>
        <w:t xml:space="preserve">PSAA to the gene expression matrix of spatial transcriptomics dataset and got the sample-wise antigen presentation level. In this experiment, we used mean antigen presentation level we predicted of all the modules in the whole MHC class I pathway to be the sample-wise antigen presentation level. And we used mean gene expression level of CD8+ cytotoxic T-cell markers as t cell expression level. Finally, spatial segmentation method (Spatial segmentation and analysis in </w:t>
      </w:r>
      <w:r w:rsidRPr="004764DB">
        <w:rPr>
          <w:rFonts w:ascii="Arial" w:hAnsi="Arial" w:cs="Arial"/>
          <w:b/>
          <w:bCs/>
          <w:sz w:val="22"/>
        </w:rPr>
        <w:t>Methods</w:t>
      </w:r>
      <w:r w:rsidRPr="004764DB">
        <w:rPr>
          <w:rFonts w:ascii="Arial" w:hAnsi="Arial" w:cs="Arial"/>
          <w:sz w:val="22"/>
        </w:rPr>
        <w:t>) was applied to identify spatial regions of high-/low- MHC-I level and high-/low- CTL cell level.</w:t>
      </w:r>
    </w:p>
    <w:p w14:paraId="7656AAF1" w14:textId="77777777" w:rsidR="000B3ED0" w:rsidRPr="004764DB" w:rsidRDefault="000B3ED0" w:rsidP="000B3ED0">
      <w:pPr>
        <w:rPr>
          <w:rFonts w:ascii="Arial" w:hAnsi="Arial" w:cs="Arial"/>
          <w:sz w:val="22"/>
        </w:rPr>
      </w:pPr>
    </w:p>
    <w:p w14:paraId="75E8D410" w14:textId="77777777" w:rsidR="000B3ED0" w:rsidRPr="004764DB" w:rsidRDefault="000B3ED0" w:rsidP="000B3ED0">
      <w:pPr>
        <w:rPr>
          <w:rFonts w:ascii="Arial" w:hAnsi="Arial" w:cs="Arial"/>
          <w:sz w:val="22"/>
        </w:rPr>
      </w:pPr>
      <w:r w:rsidRPr="004764DB">
        <w:rPr>
          <w:rFonts w:ascii="Arial" w:hAnsi="Arial" w:cs="Arial"/>
          <w:i/>
          <w:iCs/>
          <w:sz w:val="22"/>
        </w:rPr>
        <w:t>Spatial skin melanoma data:</w:t>
      </w:r>
      <w:r w:rsidRPr="004764DB">
        <w:rPr>
          <w:rFonts w:ascii="Arial" w:hAnsi="Arial" w:cs="Arial"/>
          <w:sz w:val="22"/>
        </w:rPr>
        <w:t xml:space="preserve"> This dataset was downloaded from 10x spatial official website.</w:t>
      </w:r>
    </w:p>
    <w:p w14:paraId="001C550A" w14:textId="77777777" w:rsidR="000B3ED0" w:rsidRPr="004764DB" w:rsidRDefault="000B3ED0" w:rsidP="000B3ED0">
      <w:pPr>
        <w:rPr>
          <w:rFonts w:ascii="Arial" w:hAnsi="Arial" w:cs="Arial"/>
          <w:sz w:val="22"/>
        </w:rPr>
      </w:pPr>
      <w:r w:rsidRPr="004764DB">
        <w:rPr>
          <w:rFonts w:ascii="Arial" w:hAnsi="Arial" w:cs="Arial"/>
          <w:sz w:val="22"/>
        </w:rPr>
        <w:t>(</w:t>
      </w:r>
      <w:hyperlink r:id="rId14" w:history="1">
        <w:r w:rsidRPr="004764DB">
          <w:rPr>
            <w:rStyle w:val="Hyperlink"/>
            <w:rFonts w:ascii="Arial" w:hAnsi="Arial" w:cs="Arial"/>
            <w:sz w:val="22"/>
          </w:rPr>
          <w:t>https://www.10xgenomics.com/datasets/human-melanoma-if-stained-ffpe-2-standard</w:t>
        </w:r>
      </w:hyperlink>
      <w:r w:rsidRPr="004764DB">
        <w:rPr>
          <w:rFonts w:ascii="Arial" w:hAnsi="Arial" w:cs="Arial"/>
          <w:sz w:val="22"/>
        </w:rPr>
        <w:t>)</w:t>
      </w:r>
    </w:p>
    <w:p w14:paraId="59F71169" w14:textId="77777777" w:rsidR="000B3ED0" w:rsidRPr="004764DB" w:rsidRDefault="000B3ED0" w:rsidP="000B3ED0">
      <w:pPr>
        <w:rPr>
          <w:rFonts w:ascii="Arial" w:hAnsi="Arial" w:cs="Arial"/>
          <w:sz w:val="22"/>
        </w:rPr>
      </w:pPr>
      <w:r w:rsidRPr="004764DB">
        <w:rPr>
          <w:rFonts w:ascii="Arial" w:hAnsi="Arial" w:cs="Arial"/>
          <w:i/>
          <w:iCs/>
          <w:sz w:val="22"/>
        </w:rPr>
        <w:t>Spatial breast cancer data</w:t>
      </w:r>
      <w:r w:rsidRPr="004764DB">
        <w:rPr>
          <w:rFonts w:ascii="Arial" w:hAnsi="Arial" w:cs="Arial"/>
          <w:sz w:val="22"/>
        </w:rPr>
        <w:t>: This dataset was downloaded from 10x spatial official website. Block A section 1 was used in this paper. (</w:t>
      </w:r>
      <w:hyperlink r:id="rId15" w:history="1">
        <w:r w:rsidRPr="004764DB">
          <w:rPr>
            <w:rStyle w:val="Hyperlink"/>
            <w:rFonts w:ascii="Arial" w:hAnsi="Arial" w:cs="Arial"/>
            <w:sz w:val="22"/>
          </w:rPr>
          <w:t>https://support.10xgenomics.com/spatial-gene-expression/datasets</w:t>
        </w:r>
      </w:hyperlink>
      <w:r w:rsidRPr="004764DB">
        <w:rPr>
          <w:rFonts w:ascii="Arial" w:hAnsi="Arial" w:cs="Arial"/>
          <w:sz w:val="22"/>
        </w:rPr>
        <w:t xml:space="preserve">) </w:t>
      </w:r>
    </w:p>
    <w:p w14:paraId="7663CC7F" w14:textId="77777777" w:rsidR="000B3ED0" w:rsidRPr="004764DB" w:rsidRDefault="000B3ED0" w:rsidP="000B3ED0">
      <w:pPr>
        <w:pStyle w:val="Heading1"/>
        <w:spacing w:before="0" w:beforeAutospacing="0" w:after="0" w:afterAutospacing="0"/>
        <w:rPr>
          <w:rFonts w:ascii="Arial" w:hAnsi="Arial" w:cs="Arial"/>
          <w:color w:val="0A2347"/>
          <w:sz w:val="22"/>
          <w:szCs w:val="22"/>
        </w:rPr>
      </w:pPr>
      <w:r w:rsidRPr="004764DB">
        <w:rPr>
          <w:rFonts w:ascii="Arial" w:eastAsiaTheme="minorEastAsia" w:hAnsi="Arial" w:cs="Arial"/>
          <w:b w:val="0"/>
          <w:bCs w:val="0"/>
          <w:i/>
          <w:iCs/>
          <w:kern w:val="2"/>
          <w:sz w:val="22"/>
          <w:szCs w:val="22"/>
        </w:rPr>
        <w:t xml:space="preserve">Spatial prostate cancer data: </w:t>
      </w:r>
      <w:r w:rsidRPr="004764DB">
        <w:rPr>
          <w:rFonts w:ascii="Arial" w:eastAsiaTheme="minorEastAsia" w:hAnsi="Arial" w:cs="Arial"/>
          <w:b w:val="0"/>
          <w:bCs w:val="0"/>
          <w:kern w:val="2"/>
          <w:sz w:val="22"/>
          <w:szCs w:val="22"/>
        </w:rPr>
        <w:t>This dataset was downloaded from 10x spatial official website. Adjacent normal section with IF Staining (FFPE) was used in this paper.</w:t>
      </w:r>
    </w:p>
    <w:p w14:paraId="6DA92D2E" w14:textId="77777777" w:rsidR="000B3ED0" w:rsidRPr="004764DB" w:rsidRDefault="000B3ED0" w:rsidP="000B3ED0">
      <w:pPr>
        <w:rPr>
          <w:rFonts w:ascii="Arial" w:hAnsi="Arial" w:cs="Arial"/>
          <w:sz w:val="22"/>
        </w:rPr>
      </w:pPr>
      <w:r w:rsidRPr="004764DB">
        <w:rPr>
          <w:rFonts w:ascii="Arial" w:hAnsi="Arial" w:cs="Arial"/>
          <w:sz w:val="22"/>
        </w:rPr>
        <w:t>(</w:t>
      </w:r>
      <w:hyperlink r:id="rId16" w:history="1">
        <w:r w:rsidRPr="004764DB">
          <w:rPr>
            <w:rStyle w:val="Hyperlink"/>
            <w:rFonts w:ascii="Arial" w:hAnsi="Arial" w:cs="Arial"/>
            <w:sz w:val="22"/>
          </w:rPr>
          <w:t>https://www.10xgenomics.com/datasets/human-prostate-cancer-adjacent-normal-section-with-if-staining-ffpe-1-standard-1-3-0</w:t>
        </w:r>
      </w:hyperlink>
      <w:r w:rsidRPr="004764DB">
        <w:rPr>
          <w:rFonts w:ascii="Arial" w:hAnsi="Arial" w:cs="Arial"/>
          <w:sz w:val="22"/>
        </w:rPr>
        <w:t>)</w:t>
      </w:r>
    </w:p>
    <w:p w14:paraId="0E372018" w14:textId="77777777" w:rsidR="000B3ED0" w:rsidRPr="004764DB" w:rsidRDefault="000B3ED0" w:rsidP="000B3ED0">
      <w:pPr>
        <w:rPr>
          <w:rFonts w:ascii="Arial" w:hAnsi="Arial" w:cs="Arial"/>
          <w:sz w:val="22"/>
        </w:rPr>
      </w:pPr>
      <w:r w:rsidRPr="004764DB">
        <w:rPr>
          <w:rFonts w:ascii="Arial" w:hAnsi="Arial" w:cs="Arial"/>
          <w:i/>
          <w:iCs/>
          <w:sz w:val="22"/>
        </w:rPr>
        <w:t>GSE206552:</w:t>
      </w:r>
      <w:r w:rsidRPr="004764DB">
        <w:rPr>
          <w:rFonts w:ascii="Arial" w:hAnsi="Arial" w:cs="Arial"/>
          <w:color w:val="000000" w:themeColor="text1"/>
          <w:sz w:val="22"/>
        </w:rPr>
        <w:t xml:space="preserve"> </w:t>
      </w:r>
      <w:r w:rsidRPr="004764DB">
        <w:rPr>
          <w:rFonts w:ascii="Arial" w:hAnsi="Arial" w:cs="Arial"/>
          <w:sz w:val="22"/>
        </w:rPr>
        <w:t>Heterogeneity of senescent cancer cells have been dissected by Spatial Transcriptomic in human colorectal liver metastasis (CRLM) in this dataset. It collected comparative spatial gene expression profiling of senescent cancer cells subpopulations.</w:t>
      </w:r>
    </w:p>
    <w:p w14:paraId="73D6FF39" w14:textId="77777777" w:rsidR="000B3ED0" w:rsidRPr="004764DB" w:rsidRDefault="000B3ED0" w:rsidP="000B3ED0">
      <w:pPr>
        <w:rPr>
          <w:rFonts w:ascii="Arial" w:hAnsi="Arial" w:cs="Arial"/>
          <w:sz w:val="22"/>
        </w:rPr>
      </w:pPr>
    </w:p>
    <w:p w14:paraId="1A0A2AFD" w14:textId="77777777" w:rsidR="000B3ED0" w:rsidRPr="004764DB" w:rsidRDefault="000B3ED0" w:rsidP="000B3ED0">
      <w:pPr>
        <w:rPr>
          <w:rFonts w:ascii="Arial" w:hAnsi="Arial" w:cs="Arial"/>
          <w:sz w:val="22"/>
        </w:rPr>
      </w:pPr>
    </w:p>
    <w:p w14:paraId="4CD47C14" w14:textId="179D680A" w:rsidR="000B3ED0" w:rsidRPr="004764DB" w:rsidRDefault="000B3ED0" w:rsidP="000B3ED0">
      <w:pPr>
        <w:rPr>
          <w:rFonts w:ascii="Arial" w:hAnsi="Arial" w:cs="Arial"/>
          <w:i/>
          <w:iCs/>
          <w:sz w:val="22"/>
        </w:rPr>
      </w:pPr>
      <w:r w:rsidRPr="004764DB">
        <w:rPr>
          <w:rFonts w:ascii="Arial" w:hAnsi="Arial" w:cs="Arial"/>
          <w:i/>
          <w:iCs/>
          <w:sz w:val="22"/>
        </w:rPr>
        <w:t>Public immune response data.</w:t>
      </w:r>
    </w:p>
    <w:p w14:paraId="0EA8F13F" w14:textId="77777777" w:rsidR="000B3ED0" w:rsidRPr="004764DB" w:rsidRDefault="000B3ED0" w:rsidP="000B3ED0">
      <w:pPr>
        <w:rPr>
          <w:rFonts w:ascii="Arial" w:hAnsi="Arial" w:cs="Arial"/>
          <w:sz w:val="22"/>
        </w:rPr>
      </w:pPr>
      <w:r w:rsidRPr="004764DB">
        <w:rPr>
          <w:rFonts w:ascii="Arial" w:hAnsi="Arial" w:cs="Arial"/>
          <w:i/>
          <w:iCs/>
          <w:sz w:val="22"/>
        </w:rPr>
        <w:t xml:space="preserve">GSE91061: </w:t>
      </w:r>
      <w:r w:rsidRPr="004764DB">
        <w:rPr>
          <w:rFonts w:ascii="Arial" w:hAnsi="Arial" w:cs="Arial"/>
          <w:sz w:val="22"/>
        </w:rPr>
        <w:t>This dataset investigates the effects of immune checkpoint blockade (ICB) therapy on tumor characteristics in humans. It includes 109 RNA-Seq samples from 65 patients, with 58 taken during treatment and 51 before treatment. The dataset investigates the promise of ICB therapy in treating advanced cancers like melanoma and non-small cell lung cancer by activating the immune system.</w:t>
      </w:r>
    </w:p>
    <w:p w14:paraId="023BB989" w14:textId="77777777" w:rsidR="000B3ED0" w:rsidRPr="004764DB" w:rsidRDefault="000B3ED0" w:rsidP="000B3ED0">
      <w:pPr>
        <w:rPr>
          <w:rFonts w:ascii="Arial" w:hAnsi="Arial" w:cs="Arial"/>
          <w:sz w:val="22"/>
        </w:rPr>
      </w:pPr>
      <w:r w:rsidRPr="004764DB">
        <w:rPr>
          <w:rFonts w:ascii="Arial" w:hAnsi="Arial" w:cs="Arial"/>
          <w:i/>
          <w:iCs/>
          <w:sz w:val="22"/>
        </w:rPr>
        <w:t xml:space="preserve">GSE115821: </w:t>
      </w:r>
      <w:r w:rsidRPr="004764DB">
        <w:rPr>
          <w:rFonts w:ascii="Arial" w:hAnsi="Arial" w:cs="Arial"/>
          <w:sz w:val="22"/>
        </w:rPr>
        <w:t>This dataset investigates the effects of immune checkpoint blockade (ICB) therapy on metastatic melanoma in humans. There are 37 RNA-Seq samples, with 3 responses after treatment and 34 non-responses after treatment.</w:t>
      </w:r>
    </w:p>
    <w:p w14:paraId="4849605C" w14:textId="77777777" w:rsidR="000B3ED0" w:rsidRPr="004764DB" w:rsidRDefault="000B3ED0" w:rsidP="000B3ED0">
      <w:pPr>
        <w:rPr>
          <w:rFonts w:ascii="Arial" w:hAnsi="Arial" w:cs="Arial"/>
          <w:sz w:val="22"/>
        </w:rPr>
      </w:pPr>
      <w:r w:rsidRPr="004764DB">
        <w:rPr>
          <w:rFonts w:ascii="Arial" w:hAnsi="Arial" w:cs="Arial"/>
          <w:i/>
          <w:iCs/>
          <w:sz w:val="22"/>
        </w:rPr>
        <w:t xml:space="preserve">GSE126043: </w:t>
      </w:r>
      <w:r w:rsidRPr="004764DB">
        <w:rPr>
          <w:rFonts w:ascii="Arial" w:hAnsi="Arial" w:cs="Arial"/>
          <w:sz w:val="22"/>
        </w:rPr>
        <w:t>This dataset investigates the effects of immune checkpoint blockade (ICB) therapy on Non-Small Cell Lung Cancer (NSCLC) in humans. There are 18 RNA-Seq samples, with 12 responses after treatment and 6 non-responses after treatment.</w:t>
      </w:r>
    </w:p>
    <w:p w14:paraId="42028DFA" w14:textId="77777777" w:rsidR="000B3ED0" w:rsidRPr="004764DB" w:rsidRDefault="000B3ED0" w:rsidP="000B3ED0">
      <w:pPr>
        <w:rPr>
          <w:rFonts w:ascii="Arial" w:hAnsi="Arial" w:cs="Arial"/>
          <w:sz w:val="22"/>
        </w:rPr>
      </w:pPr>
      <w:r w:rsidRPr="004764DB">
        <w:rPr>
          <w:rFonts w:ascii="Arial" w:hAnsi="Arial" w:cs="Arial"/>
          <w:i/>
          <w:iCs/>
          <w:sz w:val="22"/>
        </w:rPr>
        <w:t>GSE162137:</w:t>
      </w:r>
      <w:r w:rsidRPr="004764DB">
        <w:rPr>
          <w:rFonts w:ascii="Arial" w:hAnsi="Arial" w:cs="Arial"/>
          <w:color w:val="0D0D0D"/>
          <w:sz w:val="22"/>
          <w:shd w:val="clear" w:color="auto" w:fill="FFFFFF"/>
        </w:rPr>
        <w:t xml:space="preserve"> </w:t>
      </w:r>
      <w:r w:rsidRPr="004764DB">
        <w:rPr>
          <w:rFonts w:ascii="Arial" w:hAnsi="Arial" w:cs="Arial"/>
          <w:sz w:val="22"/>
        </w:rPr>
        <w:t>This dataset examines the response to pembrolizumab therapy in cutaneous T cell lymphoma (CTCL). It includes data from 14 patients enrolled in a clinical trial, with a total of 70 tumor regions analyzed. It includes 64 RNA-Seq samples, with 37 having response and 27 without response.</w:t>
      </w:r>
    </w:p>
    <w:p w14:paraId="770D9785" w14:textId="77777777" w:rsidR="000B3ED0" w:rsidRPr="004764DB" w:rsidRDefault="000B3ED0" w:rsidP="000B3ED0">
      <w:pPr>
        <w:rPr>
          <w:rFonts w:ascii="Arial" w:hAnsi="Arial" w:cs="Arial"/>
          <w:color w:val="000000" w:themeColor="text1"/>
          <w:sz w:val="22"/>
        </w:rPr>
      </w:pPr>
    </w:p>
    <w:p w14:paraId="5F7AB224" w14:textId="77777777" w:rsidR="000B3ED0" w:rsidRPr="004764DB" w:rsidRDefault="000B3ED0" w:rsidP="000B3ED0">
      <w:pPr>
        <w:rPr>
          <w:rFonts w:ascii="Arial" w:hAnsi="Arial" w:cs="Arial"/>
          <w:color w:val="000000" w:themeColor="text1"/>
          <w:sz w:val="22"/>
        </w:rPr>
      </w:pPr>
    </w:p>
    <w:p w14:paraId="0170C94A" w14:textId="0CACF305" w:rsidR="000B3ED0" w:rsidRPr="004764DB" w:rsidRDefault="000B3ED0" w:rsidP="000B3ED0">
      <w:pPr>
        <w:rPr>
          <w:rFonts w:ascii="Arial" w:hAnsi="Arial" w:cs="Arial"/>
          <w:i/>
          <w:iCs/>
          <w:sz w:val="22"/>
        </w:rPr>
      </w:pPr>
      <w:r w:rsidRPr="004764DB">
        <w:rPr>
          <w:rFonts w:ascii="Arial" w:hAnsi="Arial" w:cs="Arial"/>
          <w:i/>
          <w:iCs/>
          <w:sz w:val="22"/>
        </w:rPr>
        <w:t>Public Alzheimer’s disease single cell RNA-seq data.</w:t>
      </w:r>
    </w:p>
    <w:p w14:paraId="5EE6BDD3" w14:textId="77777777" w:rsidR="000B3ED0" w:rsidRPr="004764DB" w:rsidRDefault="000B3ED0" w:rsidP="000B3ED0">
      <w:pPr>
        <w:rPr>
          <w:rFonts w:ascii="Arial" w:hAnsi="Arial" w:cs="Arial"/>
          <w:sz w:val="22"/>
        </w:rPr>
      </w:pPr>
      <w:r w:rsidRPr="004764DB">
        <w:rPr>
          <w:rFonts w:ascii="Arial" w:hAnsi="Arial" w:cs="Arial"/>
          <w:sz w:val="22"/>
        </w:rPr>
        <w:t xml:space="preserve">We collected Alzheimer’s disease single cell RNA-seq data from The Religious Orders </w:t>
      </w:r>
      <w:r w:rsidRPr="004764DB">
        <w:rPr>
          <w:rFonts w:ascii="Arial" w:hAnsi="Arial" w:cs="Arial"/>
          <w:sz w:val="22"/>
        </w:rPr>
        <w:lastRenderedPageBreak/>
        <w:t>Study and Memory and Aging Project (ROSMAP) Study (</w:t>
      </w:r>
      <w:hyperlink r:id="rId17" w:history="1">
        <w:r w:rsidRPr="004764DB">
          <w:rPr>
            <w:rStyle w:val="Hyperlink"/>
            <w:rFonts w:ascii="Arial" w:hAnsi="Arial" w:cs="Arial"/>
            <w:sz w:val="22"/>
          </w:rPr>
          <w:t>https://adknowledgeportal.synapse.org/Explore/Studies/DetailsPage/StudyDetails?Study=syn3219045</w:t>
        </w:r>
      </w:hyperlink>
      <w:r w:rsidRPr="004764DB">
        <w:rPr>
          <w:rFonts w:ascii="Arial" w:hAnsi="Arial" w:cs="Arial"/>
          <w:sz w:val="22"/>
        </w:rPr>
        <w:t>) and chose Single Nucleus RNAseq - DLPFC, Experiment 1 (N = 24). It includes 172,659 single cells from 24 individuals with seven cell types: microglia (Mic), astrocytes (Ast), endothelial cells (End), excitatory neurons (Exc), inhibitory neurons (Inh), oligodendrocytes (Oli) and oligodendrocyte precursor cells (OPC). Basic QC and normalization were performed using the Seurat (version 5). For better visualization, we randomly sampled 500 samples from each cell type and preformed PSAA to compare MHC class II antigen presentation level among cell types.</w:t>
      </w:r>
    </w:p>
    <w:p w14:paraId="550D37DB" w14:textId="77777777" w:rsidR="000B3ED0" w:rsidRPr="004764DB" w:rsidRDefault="000B3ED0" w:rsidP="000B3ED0">
      <w:pPr>
        <w:rPr>
          <w:rFonts w:ascii="Arial" w:hAnsi="Arial" w:cs="Arial"/>
          <w:sz w:val="22"/>
        </w:rPr>
      </w:pPr>
    </w:p>
    <w:p w14:paraId="3F2F734E" w14:textId="61F3C0CF" w:rsidR="00D23141" w:rsidRPr="004764DB" w:rsidRDefault="000B3ED0" w:rsidP="0028415B">
      <w:pPr>
        <w:rPr>
          <w:rFonts w:ascii="Arial" w:hAnsi="Arial" w:cs="Arial"/>
          <w:i/>
          <w:iCs/>
          <w:color w:val="000000" w:themeColor="text1"/>
          <w:sz w:val="22"/>
        </w:rPr>
      </w:pPr>
      <w:r w:rsidRPr="004764DB">
        <w:rPr>
          <w:rFonts w:ascii="Arial" w:hAnsi="Arial" w:cs="Arial"/>
          <w:i/>
          <w:iCs/>
          <w:color w:val="000000" w:themeColor="text1"/>
          <w:sz w:val="22"/>
        </w:rPr>
        <w:t>Gene markers</w:t>
      </w:r>
    </w:p>
    <w:p w14:paraId="141C8238" w14:textId="17CAFEB8" w:rsidR="000B3ED0" w:rsidRPr="004764DB" w:rsidRDefault="00D23141" w:rsidP="004764DB">
      <w:pPr>
        <w:ind w:firstLine="420"/>
        <w:rPr>
          <w:rFonts w:ascii="Arial" w:hAnsi="Arial" w:cs="Arial"/>
          <w:sz w:val="22"/>
        </w:rPr>
      </w:pPr>
      <w:r w:rsidRPr="004764DB">
        <w:rPr>
          <w:rFonts w:ascii="Arial" w:hAnsi="Arial" w:cs="Arial"/>
          <w:sz w:val="22"/>
        </w:rPr>
        <w:t>We used CD8+ cytotoxic T-cell markers and CD4+ T-cell markers to identify the T cell expression level in downstream functions on the Pustule infected skin tissue data and Spatial dissection. Gene markers we used in this paper were given in Table 1.</w:t>
      </w:r>
    </w:p>
    <w:p w14:paraId="7F9FCBF2" w14:textId="429EEBF2" w:rsidR="00D23141" w:rsidRPr="004764DB" w:rsidRDefault="00D23141" w:rsidP="00D23141">
      <w:pPr>
        <w:jc w:val="center"/>
        <w:rPr>
          <w:rFonts w:ascii="Arial" w:hAnsi="Arial" w:cs="Arial"/>
          <w:b/>
          <w:bCs/>
          <w:sz w:val="22"/>
        </w:rPr>
      </w:pPr>
      <w:r w:rsidRPr="004764DB">
        <w:rPr>
          <w:rFonts w:ascii="Arial" w:hAnsi="Arial" w:cs="Arial"/>
          <w:b/>
          <w:bCs/>
          <w:sz w:val="22"/>
        </w:rPr>
        <w:t xml:space="preserve">Table 1 in Supplementary Methods. Gene markers used in this paper </w:t>
      </w:r>
    </w:p>
    <w:tbl>
      <w:tblPr>
        <w:tblW w:w="0" w:type="auto"/>
        <w:jc w:val="center"/>
        <w:tblLayout w:type="fixed"/>
        <w:tblLook w:val="04A0" w:firstRow="1" w:lastRow="0" w:firstColumn="1" w:lastColumn="0" w:noHBand="0" w:noVBand="1"/>
      </w:tblPr>
      <w:tblGrid>
        <w:gridCol w:w="1680"/>
        <w:gridCol w:w="5714"/>
      </w:tblGrid>
      <w:tr w:rsidR="00D23141" w:rsidRPr="004764DB" w14:paraId="37A5B249" w14:textId="77777777" w:rsidTr="004764DB">
        <w:trPr>
          <w:trHeight w:val="286"/>
          <w:jc w:val="center"/>
        </w:trPr>
        <w:tc>
          <w:tcPr>
            <w:tcW w:w="1680" w:type="dxa"/>
            <w:tcBorders>
              <w:top w:val="single" w:sz="4" w:space="0" w:color="auto"/>
              <w:left w:val="nil"/>
              <w:bottom w:val="single" w:sz="4" w:space="0" w:color="auto"/>
              <w:right w:val="nil"/>
            </w:tcBorders>
            <w:shd w:val="clear" w:color="auto" w:fill="auto"/>
            <w:noWrap/>
            <w:vAlign w:val="center"/>
            <w:hideMark/>
          </w:tcPr>
          <w:p w14:paraId="306005BD" w14:textId="06B1D75C" w:rsidR="00D23141" w:rsidRPr="004764DB" w:rsidRDefault="00D23141" w:rsidP="00154DDE">
            <w:pPr>
              <w:widowControl/>
              <w:jc w:val="center"/>
              <w:rPr>
                <w:rFonts w:ascii="Arial" w:eastAsia="DengXian" w:hAnsi="Arial" w:cs="Arial"/>
                <w:b/>
                <w:bCs/>
                <w:kern w:val="0"/>
                <w:sz w:val="22"/>
              </w:rPr>
            </w:pPr>
            <w:r w:rsidRPr="004764DB">
              <w:rPr>
                <w:rFonts w:ascii="Arial" w:eastAsia="DengXian" w:hAnsi="Arial" w:cs="Arial"/>
                <w:b/>
                <w:bCs/>
                <w:kern w:val="0"/>
                <w:sz w:val="22"/>
              </w:rPr>
              <w:t>Cell type</w:t>
            </w:r>
          </w:p>
        </w:tc>
        <w:tc>
          <w:tcPr>
            <w:tcW w:w="5714" w:type="dxa"/>
            <w:tcBorders>
              <w:top w:val="single" w:sz="4" w:space="0" w:color="auto"/>
              <w:left w:val="nil"/>
              <w:bottom w:val="single" w:sz="4" w:space="0" w:color="auto"/>
              <w:right w:val="nil"/>
            </w:tcBorders>
            <w:shd w:val="clear" w:color="auto" w:fill="auto"/>
            <w:noWrap/>
            <w:vAlign w:val="center"/>
            <w:hideMark/>
          </w:tcPr>
          <w:p w14:paraId="6EC9030B" w14:textId="3858EED6" w:rsidR="00D23141" w:rsidRPr="004764DB" w:rsidRDefault="00D23141" w:rsidP="00154DDE">
            <w:pPr>
              <w:widowControl/>
              <w:jc w:val="center"/>
              <w:rPr>
                <w:rFonts w:ascii="Arial" w:eastAsia="DengXian" w:hAnsi="Arial" w:cs="Arial"/>
                <w:b/>
                <w:bCs/>
                <w:kern w:val="0"/>
                <w:sz w:val="22"/>
              </w:rPr>
            </w:pPr>
            <w:r w:rsidRPr="004764DB">
              <w:rPr>
                <w:rFonts w:ascii="Arial" w:eastAsia="DengXian" w:hAnsi="Arial" w:cs="Arial"/>
                <w:b/>
                <w:bCs/>
                <w:kern w:val="0"/>
                <w:sz w:val="22"/>
              </w:rPr>
              <w:t>Markers</w:t>
            </w:r>
          </w:p>
        </w:tc>
      </w:tr>
      <w:tr w:rsidR="00D23141" w:rsidRPr="004764DB" w14:paraId="12EB552E" w14:textId="77777777" w:rsidTr="004764DB">
        <w:trPr>
          <w:trHeight w:val="286"/>
          <w:jc w:val="center"/>
        </w:trPr>
        <w:tc>
          <w:tcPr>
            <w:tcW w:w="1680" w:type="dxa"/>
            <w:tcBorders>
              <w:top w:val="single" w:sz="4" w:space="0" w:color="auto"/>
              <w:left w:val="nil"/>
              <w:bottom w:val="single" w:sz="4" w:space="0" w:color="auto"/>
              <w:right w:val="nil"/>
            </w:tcBorders>
            <w:shd w:val="clear" w:color="auto" w:fill="auto"/>
            <w:noWrap/>
            <w:vAlign w:val="center"/>
            <w:hideMark/>
          </w:tcPr>
          <w:p w14:paraId="6AB55E1A" w14:textId="784FB10A" w:rsidR="00D23141" w:rsidRPr="004764DB" w:rsidRDefault="00D23141" w:rsidP="00154DDE">
            <w:pPr>
              <w:widowControl/>
              <w:jc w:val="center"/>
              <w:rPr>
                <w:rFonts w:ascii="Arial" w:eastAsia="DengXian" w:hAnsi="Arial" w:cs="Arial"/>
                <w:kern w:val="0"/>
                <w:sz w:val="22"/>
              </w:rPr>
            </w:pPr>
            <w:r w:rsidRPr="004764DB">
              <w:rPr>
                <w:rFonts w:ascii="Arial" w:eastAsia="DengXian" w:hAnsi="Arial" w:cs="Arial"/>
                <w:kern w:val="0"/>
                <w:sz w:val="22"/>
              </w:rPr>
              <w:t>CD4+ T cell</w:t>
            </w:r>
          </w:p>
        </w:tc>
        <w:tc>
          <w:tcPr>
            <w:tcW w:w="5714" w:type="dxa"/>
            <w:tcBorders>
              <w:top w:val="single" w:sz="4" w:space="0" w:color="auto"/>
              <w:left w:val="nil"/>
              <w:bottom w:val="single" w:sz="4" w:space="0" w:color="auto"/>
              <w:right w:val="nil"/>
            </w:tcBorders>
            <w:shd w:val="clear" w:color="auto" w:fill="auto"/>
            <w:noWrap/>
            <w:vAlign w:val="center"/>
            <w:hideMark/>
          </w:tcPr>
          <w:p w14:paraId="4AE80581" w14:textId="562EAD19" w:rsidR="00D23141" w:rsidRPr="004764DB" w:rsidRDefault="00D23141" w:rsidP="00D23141">
            <w:pPr>
              <w:widowControl/>
              <w:jc w:val="center"/>
              <w:rPr>
                <w:rFonts w:ascii="Arial" w:eastAsia="DengXian" w:hAnsi="Arial" w:cs="Arial"/>
                <w:kern w:val="0"/>
                <w:sz w:val="22"/>
              </w:rPr>
            </w:pPr>
            <w:r w:rsidRPr="004764DB">
              <w:rPr>
                <w:rFonts w:ascii="Arial" w:eastAsia="DengXian" w:hAnsi="Arial" w:cs="Arial"/>
                <w:kern w:val="0"/>
                <w:sz w:val="22"/>
              </w:rPr>
              <w:t>AIM2, ANKRD44, ARHGAP25, ARHGAP9, ARHGEF6, BTLA, CD28, CD40LG, CD48, CD5, DOCK10, GIMAP1, GIMAP5, GPR171, GPR174, IKZF1, IRF8, ITK, LTA, LY9, PARP15, PTPRC, RASSF5, RHOH, SAMD3, SCML4, SLAMF1, TAGAP, TESPA1, THEMIS, TMC8, TRAF3IP3, TRAT1, ZC3H12D, ZNF831</w:t>
            </w:r>
          </w:p>
        </w:tc>
      </w:tr>
      <w:tr w:rsidR="00D23141" w:rsidRPr="004764DB" w14:paraId="0D919E3F" w14:textId="77777777" w:rsidTr="004764DB">
        <w:trPr>
          <w:trHeight w:val="286"/>
          <w:jc w:val="center"/>
        </w:trPr>
        <w:tc>
          <w:tcPr>
            <w:tcW w:w="1680" w:type="dxa"/>
            <w:tcBorders>
              <w:top w:val="single" w:sz="4" w:space="0" w:color="auto"/>
              <w:left w:val="nil"/>
              <w:bottom w:val="single" w:sz="4" w:space="0" w:color="auto"/>
              <w:right w:val="nil"/>
            </w:tcBorders>
            <w:shd w:val="clear" w:color="auto" w:fill="auto"/>
            <w:noWrap/>
            <w:vAlign w:val="center"/>
          </w:tcPr>
          <w:p w14:paraId="65A344E1" w14:textId="1843995E" w:rsidR="00D23141" w:rsidRPr="004764DB" w:rsidRDefault="00D23141" w:rsidP="00154DDE">
            <w:pPr>
              <w:widowControl/>
              <w:jc w:val="center"/>
              <w:rPr>
                <w:rFonts w:ascii="Arial" w:eastAsia="DengXian" w:hAnsi="Arial" w:cs="Arial"/>
                <w:kern w:val="0"/>
                <w:sz w:val="22"/>
              </w:rPr>
            </w:pPr>
            <w:r w:rsidRPr="004764DB">
              <w:rPr>
                <w:rFonts w:ascii="Arial" w:eastAsia="DengXian" w:hAnsi="Arial" w:cs="Arial"/>
                <w:kern w:val="0"/>
                <w:sz w:val="22"/>
              </w:rPr>
              <w:t>CD8+ T cell</w:t>
            </w:r>
          </w:p>
        </w:tc>
        <w:tc>
          <w:tcPr>
            <w:tcW w:w="5714" w:type="dxa"/>
            <w:tcBorders>
              <w:top w:val="single" w:sz="4" w:space="0" w:color="auto"/>
              <w:left w:val="nil"/>
              <w:bottom w:val="single" w:sz="4" w:space="0" w:color="auto"/>
              <w:right w:val="nil"/>
            </w:tcBorders>
            <w:shd w:val="clear" w:color="auto" w:fill="auto"/>
            <w:noWrap/>
            <w:vAlign w:val="center"/>
          </w:tcPr>
          <w:p w14:paraId="439655E9" w14:textId="5417BC93" w:rsidR="00D23141" w:rsidRPr="004764DB" w:rsidRDefault="004642D1" w:rsidP="00154DDE">
            <w:pPr>
              <w:widowControl/>
              <w:jc w:val="center"/>
              <w:rPr>
                <w:rFonts w:ascii="Arial" w:eastAsia="DengXian" w:hAnsi="Arial" w:cs="Arial"/>
                <w:kern w:val="0"/>
                <w:sz w:val="22"/>
              </w:rPr>
            </w:pPr>
            <w:r w:rsidRPr="004764DB">
              <w:rPr>
                <w:rFonts w:ascii="Arial" w:eastAsia="DengXian" w:hAnsi="Arial" w:cs="Arial"/>
                <w:kern w:val="0"/>
                <w:sz w:val="22"/>
              </w:rPr>
              <w:t>CCL5, CD3D, CD7, CD8A, CST7, CTSW, GZMA, GZMB, GZMH, GZMM, NKG7, PRF1</w:t>
            </w:r>
          </w:p>
        </w:tc>
      </w:tr>
    </w:tbl>
    <w:p w14:paraId="23935D8E" w14:textId="77777777" w:rsidR="00D23141" w:rsidRPr="004764DB" w:rsidRDefault="00D23141" w:rsidP="0028415B">
      <w:pPr>
        <w:rPr>
          <w:rFonts w:ascii="Arial" w:hAnsi="Arial" w:cs="Arial"/>
          <w:b/>
          <w:bCs/>
          <w:color w:val="000000" w:themeColor="text1"/>
          <w:sz w:val="22"/>
        </w:rPr>
      </w:pPr>
    </w:p>
    <w:p w14:paraId="4E274E01" w14:textId="77777777" w:rsidR="004764DB" w:rsidRPr="00206781" w:rsidRDefault="0028415B" w:rsidP="004764DB">
      <w:pPr>
        <w:rPr>
          <w:rFonts w:ascii="Arial" w:hAnsi="Arial" w:cs="Arial"/>
          <w:b/>
          <w:bCs/>
          <w:color w:val="000000" w:themeColor="text1"/>
          <w:sz w:val="22"/>
        </w:rPr>
      </w:pPr>
      <w:r w:rsidRPr="00206781">
        <w:rPr>
          <w:rFonts w:ascii="Arial" w:hAnsi="Arial" w:cs="Arial"/>
          <w:b/>
          <w:bCs/>
          <w:color w:val="000000" w:themeColor="text1"/>
          <w:sz w:val="22"/>
        </w:rPr>
        <w:t xml:space="preserve">Collection and </w:t>
      </w:r>
      <w:r w:rsidR="00374EC0" w:rsidRPr="00206781">
        <w:rPr>
          <w:rFonts w:ascii="Arial" w:hAnsi="Arial" w:cs="Arial"/>
          <w:b/>
          <w:bCs/>
          <w:color w:val="000000" w:themeColor="text1"/>
          <w:sz w:val="22"/>
        </w:rPr>
        <w:t xml:space="preserve">reconstruction </w:t>
      </w:r>
      <w:r w:rsidRPr="00206781">
        <w:rPr>
          <w:rFonts w:ascii="Arial" w:hAnsi="Arial" w:cs="Arial"/>
          <w:b/>
          <w:bCs/>
          <w:color w:val="000000" w:themeColor="text1"/>
          <w:sz w:val="22"/>
        </w:rPr>
        <w:t xml:space="preserve">of MHC </w:t>
      </w:r>
      <w:r w:rsidR="00374EC0" w:rsidRPr="00206781">
        <w:rPr>
          <w:rFonts w:ascii="Arial" w:hAnsi="Arial" w:cs="Arial"/>
          <w:b/>
          <w:bCs/>
          <w:color w:val="000000" w:themeColor="text1"/>
          <w:sz w:val="22"/>
        </w:rPr>
        <w:t xml:space="preserve">Class </w:t>
      </w:r>
      <w:r w:rsidRPr="00206781">
        <w:rPr>
          <w:rFonts w:ascii="Arial" w:hAnsi="Arial" w:cs="Arial"/>
          <w:b/>
          <w:bCs/>
          <w:color w:val="000000" w:themeColor="text1"/>
          <w:sz w:val="22"/>
        </w:rPr>
        <w:t xml:space="preserve">I and MHC </w:t>
      </w:r>
      <w:r w:rsidR="00374EC0" w:rsidRPr="00206781">
        <w:rPr>
          <w:rFonts w:ascii="Arial" w:hAnsi="Arial" w:cs="Arial"/>
          <w:b/>
          <w:bCs/>
          <w:color w:val="000000" w:themeColor="text1"/>
          <w:sz w:val="22"/>
        </w:rPr>
        <w:t xml:space="preserve">Class </w:t>
      </w:r>
      <w:r w:rsidRPr="00206781">
        <w:rPr>
          <w:rFonts w:ascii="Arial" w:hAnsi="Arial" w:cs="Arial"/>
          <w:b/>
          <w:bCs/>
          <w:color w:val="000000" w:themeColor="text1"/>
          <w:sz w:val="22"/>
        </w:rPr>
        <w:t>II antigen presentation pathway</w:t>
      </w:r>
    </w:p>
    <w:p w14:paraId="0AE42A9D" w14:textId="77777777" w:rsidR="00691622" w:rsidRDefault="0028415B" w:rsidP="00691622">
      <w:pPr>
        <w:ind w:firstLine="420"/>
        <w:rPr>
          <w:rFonts w:ascii="Arial" w:hAnsi="Arial" w:cs="Arial"/>
          <w:color w:val="000000" w:themeColor="text1"/>
          <w:sz w:val="22"/>
          <w:shd w:val="clear" w:color="auto" w:fill="FFFFFF"/>
        </w:rPr>
      </w:pPr>
      <w:r w:rsidRPr="004764DB">
        <w:rPr>
          <w:rFonts w:ascii="Arial" w:hAnsi="Arial" w:cs="Arial"/>
          <w:color w:val="000000" w:themeColor="text1"/>
          <w:sz w:val="22"/>
          <w:shd w:val="clear" w:color="auto" w:fill="FFFFFF"/>
        </w:rPr>
        <w:t xml:space="preserve">Antigen processing is a fundamental mechanism within the immune system, wherein intact antigens undergo degradation, and resulting peptide fragments are loaded onto major histocompatibility complex (MHC) molecules and then presented on the cell surface, facilitating recognition by T cells. Due to the different molecule </w:t>
      </w:r>
      <w:r w:rsidR="004764DB" w:rsidRPr="004764DB">
        <w:rPr>
          <w:rFonts w:ascii="Arial" w:hAnsi="Arial" w:cs="Arial"/>
          <w:color w:val="000000" w:themeColor="text1"/>
          <w:sz w:val="22"/>
          <w:shd w:val="clear" w:color="auto" w:fill="FFFFFF"/>
        </w:rPr>
        <w:t>structures</w:t>
      </w:r>
      <w:r w:rsidRPr="004764DB">
        <w:rPr>
          <w:rFonts w:ascii="Arial" w:hAnsi="Arial" w:cs="Arial"/>
          <w:color w:val="000000" w:themeColor="text1"/>
          <w:sz w:val="22"/>
          <w:shd w:val="clear" w:color="auto" w:fill="FFFFFF"/>
        </w:rPr>
        <w:t xml:space="preserve">, there are two kinds of MHC-MHC class I (recognized by CD8+) and MHC class II (recognized by CD4+). They can carry antigens from different recourses (MHC I mainly bind exogenous antigens while MHC II mainly bind endogenous antigens) and present them on the cell surface in totally different pathways. Although databases including the Kyoto Encyclopedia of Genes and Genomes (KEGG), Reactome and GO provide well-constructed antigen presentation pathway, we optimize the MHC class I and MHC class II antigen presentation pathways for systems biology-based antigen presentation level analysis because of the following reasons: (1) some databases construct antigen presentation pathway only using genes encoding MHC molecules and genes regulating peptides binding to MHC, but neglect other important modules in antigen presentation pathways, like proteasomal degradation of cytosolic proteins, Peptides being further trimmed in ER, MHC-I-peptide complexes transferring through Golgi to cell surface and recycling. (2) Others construct </w:t>
      </w:r>
      <w:r w:rsidR="004764DB" w:rsidRPr="004764DB">
        <w:rPr>
          <w:rFonts w:ascii="Arial" w:hAnsi="Arial" w:cs="Arial"/>
          <w:color w:val="000000" w:themeColor="text1"/>
          <w:sz w:val="22"/>
          <w:shd w:val="clear" w:color="auto" w:fill="FFFFFF"/>
        </w:rPr>
        <w:t>networks</w:t>
      </w:r>
      <w:r w:rsidRPr="004764DB">
        <w:rPr>
          <w:rFonts w:ascii="Arial" w:hAnsi="Arial" w:cs="Arial"/>
          <w:color w:val="000000" w:themeColor="text1"/>
          <w:sz w:val="22"/>
          <w:shd w:val="clear" w:color="auto" w:fill="FFFFFF"/>
        </w:rPr>
        <w:t xml:space="preserve"> in high complexity </w:t>
      </w:r>
      <w:r w:rsidRPr="004764DB">
        <w:rPr>
          <w:rFonts w:ascii="Arial" w:hAnsi="Arial" w:cs="Arial"/>
          <w:color w:val="000000" w:themeColor="text1"/>
          <w:sz w:val="22"/>
          <w:shd w:val="clear" w:color="auto" w:fill="FFFFFF"/>
        </w:rPr>
        <w:lastRenderedPageBreak/>
        <w:t xml:space="preserve">with repeated genes in different modules, which is unfeasible for flux computation. In SAA, </w:t>
      </w:r>
      <w:r w:rsidR="004764DB" w:rsidRPr="004764DB">
        <w:rPr>
          <w:rFonts w:ascii="Arial" w:hAnsi="Arial" w:cs="Arial"/>
          <w:color w:val="000000" w:themeColor="text1"/>
          <w:sz w:val="22"/>
          <w:shd w:val="clear" w:color="auto" w:fill="FFFFFF"/>
        </w:rPr>
        <w:t>we</w:t>
      </w:r>
      <w:r w:rsidRPr="004764DB">
        <w:rPr>
          <w:rFonts w:ascii="Arial" w:hAnsi="Arial" w:cs="Arial"/>
          <w:color w:val="000000" w:themeColor="text1"/>
          <w:sz w:val="22"/>
          <w:shd w:val="clear" w:color="auto" w:fill="FFFFFF"/>
        </w:rPr>
        <w:t xml:space="preserve"> manually collected, curated, and reconstructed the biological processes that are involved in the MHC class I and II antigen presentation pathway via integrating pathway annotations in GO, KEGG and Reactome databases and an extensive literature set.</w:t>
      </w:r>
    </w:p>
    <w:p w14:paraId="2AD493ED" w14:textId="77777777" w:rsidR="00691622" w:rsidRDefault="0028415B" w:rsidP="00691622">
      <w:pPr>
        <w:ind w:firstLine="420"/>
        <w:rPr>
          <w:rFonts w:ascii="Arial" w:hAnsi="Arial" w:cs="Arial"/>
          <w:color w:val="000000" w:themeColor="text1"/>
          <w:sz w:val="22"/>
          <w:shd w:val="clear" w:color="auto" w:fill="FFFFFF"/>
        </w:rPr>
      </w:pPr>
      <w:r w:rsidRPr="004764DB">
        <w:rPr>
          <w:rFonts w:ascii="Arial" w:hAnsi="Arial" w:cs="Arial"/>
          <w:color w:val="000000" w:themeColor="text1"/>
          <w:sz w:val="22"/>
          <w:shd w:val="clear" w:color="auto" w:fill="FFFFFF"/>
        </w:rPr>
        <w:t>The MHC class I antigen presentation pathway encompasses a series of intricate biological processes. These include ubiquitination, proteasomal degradation, the action of the transporter associated with antigen processing (TAP), chaperone-assisted assembly of the MHC class I complex, transit from the endoplasmic reticulum (ER) to the Golgi apparatus, and subsequent exocytosis from the Golgi to the cell membrane. Additionally, auxiliary pathways such as de-ubiquitination, verification of MHC class I complex integrity, and salvage through endocytosis are also added as branches in this pathway. The final MHC class I antigen presentation pathway covers 284 genes of 8 modules.</w:t>
      </w:r>
    </w:p>
    <w:p w14:paraId="73817775" w14:textId="77777777" w:rsidR="00691622" w:rsidRDefault="0028415B" w:rsidP="00691622">
      <w:pPr>
        <w:ind w:firstLine="420"/>
        <w:rPr>
          <w:rFonts w:ascii="Arial" w:hAnsi="Arial" w:cs="Arial"/>
          <w:color w:val="000000" w:themeColor="text1"/>
          <w:sz w:val="22"/>
          <w:shd w:val="clear" w:color="auto" w:fill="FFFFFF"/>
        </w:rPr>
      </w:pPr>
      <w:r w:rsidRPr="004764DB">
        <w:rPr>
          <w:rFonts w:ascii="Arial" w:hAnsi="Arial" w:cs="Arial"/>
          <w:color w:val="000000" w:themeColor="text1"/>
          <w:sz w:val="22"/>
          <w:shd w:val="clear" w:color="auto" w:fill="FFFFFF"/>
        </w:rPr>
        <w:t>The MHC class II antigen presentation pathway involves modules like uptake of extracellular proteins into cell, processing of internalized proteins in endosomal/lysosomal, biosynthesis of MHC2 in ER, transport of MHC2 from ER to Golgi, transport of MHC2 from Golgi to Endosomes, association of MHC2 with antigen, expression of Peptide MHC2 Complex to cell surface. The final MHC class II antigen presentation pathway covers 124 genes of 7 modules.</w:t>
      </w:r>
    </w:p>
    <w:p w14:paraId="4A1C91E4" w14:textId="6B0D2CED" w:rsidR="00582272" w:rsidRPr="00691622" w:rsidRDefault="0028415B" w:rsidP="00691622">
      <w:pPr>
        <w:ind w:firstLine="420"/>
        <w:rPr>
          <w:rFonts w:ascii="Arial" w:hAnsi="Arial" w:cs="Arial"/>
          <w:i/>
          <w:iCs/>
          <w:color w:val="000000" w:themeColor="text1"/>
          <w:sz w:val="22"/>
        </w:rPr>
      </w:pPr>
      <w:r w:rsidRPr="004764DB">
        <w:rPr>
          <w:rFonts w:ascii="Arial" w:hAnsi="Arial" w:cs="Arial"/>
          <w:color w:val="000000" w:themeColor="text1"/>
          <w:sz w:val="22"/>
          <w:shd w:val="clear" w:color="auto" w:fill="FFFFFF"/>
        </w:rPr>
        <w:t xml:space="preserve">Complete list of genes and modules of the MHC class I and MHC class II antigen presentation pathways is given in Table </w:t>
      </w:r>
      <w:r w:rsidR="00D23141" w:rsidRPr="004764DB">
        <w:rPr>
          <w:rFonts w:ascii="Arial" w:hAnsi="Arial" w:cs="Arial"/>
          <w:color w:val="000000" w:themeColor="text1"/>
          <w:sz w:val="22"/>
          <w:shd w:val="clear" w:color="auto" w:fill="FFFFFF"/>
        </w:rPr>
        <w:t>2</w:t>
      </w:r>
      <w:r w:rsidRPr="004764DB">
        <w:rPr>
          <w:rFonts w:ascii="Arial" w:hAnsi="Arial" w:cs="Arial"/>
          <w:color w:val="000000" w:themeColor="text1"/>
          <w:sz w:val="22"/>
          <w:shd w:val="clear" w:color="auto" w:fill="FFFFFF"/>
        </w:rPr>
        <w:t xml:space="preserve"> and Table </w:t>
      </w:r>
      <w:r w:rsidR="00D23141" w:rsidRPr="004764DB">
        <w:rPr>
          <w:rFonts w:ascii="Arial" w:hAnsi="Arial" w:cs="Arial"/>
          <w:color w:val="000000" w:themeColor="text1"/>
          <w:sz w:val="22"/>
          <w:shd w:val="clear" w:color="auto" w:fill="FFFFFF"/>
        </w:rPr>
        <w:t>3</w:t>
      </w:r>
      <w:r w:rsidR="00C500C4" w:rsidRPr="004764DB">
        <w:rPr>
          <w:rFonts w:ascii="Arial" w:eastAsia="Times New Roman" w:hAnsi="Arial" w:cs="Arial"/>
          <w:color w:val="000000" w:themeColor="text1"/>
          <w:kern w:val="0"/>
          <w:sz w:val="22"/>
          <w:shd w:val="clear" w:color="auto" w:fill="FFFFFF"/>
        </w:rPr>
        <w:t>.</w:t>
      </w:r>
    </w:p>
    <w:p w14:paraId="5BBBA24F" w14:textId="77777777" w:rsidR="0028415B" w:rsidRPr="004764DB" w:rsidRDefault="0028415B" w:rsidP="0028415B">
      <w:pPr>
        <w:rPr>
          <w:rFonts w:ascii="Arial" w:hAnsi="Arial" w:cs="Arial"/>
          <w:sz w:val="22"/>
        </w:rPr>
      </w:pPr>
    </w:p>
    <w:p w14:paraId="484E90AF" w14:textId="6283592B" w:rsidR="0028415B" w:rsidRPr="004764DB" w:rsidRDefault="0028415B" w:rsidP="0028415B">
      <w:pPr>
        <w:jc w:val="center"/>
        <w:rPr>
          <w:rFonts w:ascii="Arial" w:hAnsi="Arial" w:cs="Arial"/>
          <w:sz w:val="22"/>
        </w:rPr>
      </w:pPr>
      <w:r w:rsidRPr="004764DB">
        <w:rPr>
          <w:rFonts w:ascii="Arial" w:hAnsi="Arial" w:cs="Arial"/>
          <w:b/>
          <w:bCs/>
          <w:sz w:val="22"/>
        </w:rPr>
        <w:t xml:space="preserve">Table </w:t>
      </w:r>
      <w:r w:rsidR="00D23141" w:rsidRPr="004764DB">
        <w:rPr>
          <w:rFonts w:ascii="Arial" w:hAnsi="Arial" w:cs="Arial"/>
          <w:b/>
          <w:bCs/>
          <w:sz w:val="22"/>
        </w:rPr>
        <w:t>2</w:t>
      </w:r>
      <w:r w:rsidRPr="004764DB">
        <w:rPr>
          <w:rFonts w:ascii="Arial" w:hAnsi="Arial" w:cs="Arial"/>
          <w:b/>
          <w:bCs/>
          <w:sz w:val="22"/>
        </w:rPr>
        <w:t xml:space="preserve"> in Supplementary Methods. Statistics of MHC class I antigen presentation pathways</w:t>
      </w:r>
    </w:p>
    <w:tbl>
      <w:tblPr>
        <w:tblW w:w="0" w:type="auto"/>
        <w:jc w:val="center"/>
        <w:tblLayout w:type="fixed"/>
        <w:tblLook w:val="04A0" w:firstRow="1" w:lastRow="0" w:firstColumn="1" w:lastColumn="0" w:noHBand="0" w:noVBand="1"/>
      </w:tblPr>
      <w:tblGrid>
        <w:gridCol w:w="540"/>
        <w:gridCol w:w="5400"/>
        <w:gridCol w:w="1080"/>
      </w:tblGrid>
      <w:tr w:rsidR="0028415B" w:rsidRPr="004764DB" w14:paraId="67F5EB9E" w14:textId="77777777" w:rsidTr="00154DDE">
        <w:trPr>
          <w:trHeight w:val="285"/>
          <w:jc w:val="center"/>
        </w:trPr>
        <w:tc>
          <w:tcPr>
            <w:tcW w:w="540" w:type="dxa"/>
            <w:tcBorders>
              <w:top w:val="single" w:sz="4" w:space="0" w:color="auto"/>
              <w:left w:val="nil"/>
              <w:bottom w:val="single" w:sz="4" w:space="0" w:color="auto"/>
              <w:right w:val="nil"/>
            </w:tcBorders>
            <w:shd w:val="clear" w:color="auto" w:fill="auto"/>
            <w:noWrap/>
            <w:vAlign w:val="center"/>
            <w:hideMark/>
          </w:tcPr>
          <w:p w14:paraId="09115734" w14:textId="77777777" w:rsidR="0028415B" w:rsidRPr="004764DB" w:rsidRDefault="0028415B" w:rsidP="00154DDE">
            <w:pPr>
              <w:widowControl/>
              <w:jc w:val="center"/>
              <w:rPr>
                <w:rFonts w:ascii="Arial" w:eastAsia="DengXian" w:hAnsi="Arial" w:cs="Arial"/>
                <w:b/>
                <w:bCs/>
                <w:kern w:val="0"/>
                <w:sz w:val="22"/>
              </w:rPr>
            </w:pPr>
            <w:r w:rsidRPr="004764DB">
              <w:rPr>
                <w:rFonts w:ascii="Arial" w:eastAsia="DengXian" w:hAnsi="Arial" w:cs="Arial"/>
                <w:b/>
                <w:bCs/>
                <w:kern w:val="0"/>
                <w:sz w:val="22"/>
              </w:rPr>
              <w:t>ID</w:t>
            </w:r>
          </w:p>
        </w:tc>
        <w:tc>
          <w:tcPr>
            <w:tcW w:w="5400" w:type="dxa"/>
            <w:tcBorders>
              <w:top w:val="single" w:sz="4" w:space="0" w:color="auto"/>
              <w:left w:val="nil"/>
              <w:bottom w:val="single" w:sz="4" w:space="0" w:color="auto"/>
              <w:right w:val="nil"/>
            </w:tcBorders>
            <w:shd w:val="clear" w:color="auto" w:fill="auto"/>
            <w:noWrap/>
            <w:vAlign w:val="center"/>
            <w:hideMark/>
          </w:tcPr>
          <w:p w14:paraId="794B2042" w14:textId="77777777" w:rsidR="0028415B" w:rsidRPr="004764DB" w:rsidRDefault="0028415B" w:rsidP="00154DDE">
            <w:pPr>
              <w:widowControl/>
              <w:jc w:val="center"/>
              <w:rPr>
                <w:rFonts w:ascii="Arial" w:eastAsia="DengXian" w:hAnsi="Arial" w:cs="Arial"/>
                <w:b/>
                <w:bCs/>
                <w:kern w:val="0"/>
                <w:sz w:val="22"/>
              </w:rPr>
            </w:pPr>
            <w:r w:rsidRPr="004764DB">
              <w:rPr>
                <w:rFonts w:ascii="Arial" w:eastAsia="DengXian" w:hAnsi="Arial" w:cs="Arial"/>
                <w:b/>
                <w:bCs/>
                <w:kern w:val="0"/>
                <w:sz w:val="22"/>
              </w:rPr>
              <w:t>Module Name</w:t>
            </w:r>
          </w:p>
        </w:tc>
        <w:tc>
          <w:tcPr>
            <w:tcW w:w="1080" w:type="dxa"/>
            <w:tcBorders>
              <w:top w:val="single" w:sz="4" w:space="0" w:color="auto"/>
              <w:left w:val="nil"/>
              <w:bottom w:val="single" w:sz="4" w:space="0" w:color="auto"/>
              <w:right w:val="nil"/>
            </w:tcBorders>
            <w:shd w:val="clear" w:color="auto" w:fill="auto"/>
            <w:noWrap/>
            <w:vAlign w:val="center"/>
            <w:hideMark/>
          </w:tcPr>
          <w:p w14:paraId="522170EC" w14:textId="77777777" w:rsidR="0028415B" w:rsidRPr="004764DB" w:rsidRDefault="0028415B" w:rsidP="00154DDE">
            <w:pPr>
              <w:widowControl/>
              <w:jc w:val="center"/>
              <w:rPr>
                <w:rFonts w:ascii="Arial" w:eastAsia="DengXian" w:hAnsi="Arial" w:cs="Arial"/>
                <w:b/>
                <w:bCs/>
                <w:kern w:val="0"/>
                <w:sz w:val="22"/>
              </w:rPr>
            </w:pPr>
            <w:r w:rsidRPr="004764DB">
              <w:rPr>
                <w:rFonts w:ascii="Arial" w:eastAsia="DengXian" w:hAnsi="Arial" w:cs="Arial"/>
                <w:b/>
                <w:bCs/>
                <w:kern w:val="0"/>
                <w:sz w:val="22"/>
              </w:rPr>
              <w:t>#Genes</w:t>
            </w:r>
          </w:p>
        </w:tc>
      </w:tr>
      <w:tr w:rsidR="0028415B" w:rsidRPr="004764DB" w14:paraId="5A0FF0A2" w14:textId="77777777" w:rsidTr="00154DDE">
        <w:trPr>
          <w:trHeight w:val="285"/>
          <w:jc w:val="center"/>
        </w:trPr>
        <w:tc>
          <w:tcPr>
            <w:tcW w:w="540" w:type="dxa"/>
            <w:tcBorders>
              <w:top w:val="single" w:sz="4" w:space="0" w:color="auto"/>
              <w:left w:val="nil"/>
              <w:bottom w:val="nil"/>
              <w:right w:val="nil"/>
            </w:tcBorders>
            <w:shd w:val="clear" w:color="auto" w:fill="auto"/>
            <w:noWrap/>
            <w:vAlign w:val="center"/>
            <w:hideMark/>
          </w:tcPr>
          <w:p w14:paraId="605CFD17"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1</w:t>
            </w:r>
          </w:p>
        </w:tc>
        <w:tc>
          <w:tcPr>
            <w:tcW w:w="5400" w:type="dxa"/>
            <w:tcBorders>
              <w:top w:val="single" w:sz="4" w:space="0" w:color="auto"/>
              <w:left w:val="nil"/>
              <w:bottom w:val="nil"/>
              <w:right w:val="nil"/>
            </w:tcBorders>
            <w:shd w:val="clear" w:color="auto" w:fill="auto"/>
            <w:noWrap/>
            <w:vAlign w:val="center"/>
            <w:hideMark/>
          </w:tcPr>
          <w:p w14:paraId="6A663C63"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E1/E2/E3</w:t>
            </w:r>
          </w:p>
        </w:tc>
        <w:tc>
          <w:tcPr>
            <w:tcW w:w="1080" w:type="dxa"/>
            <w:tcBorders>
              <w:top w:val="single" w:sz="4" w:space="0" w:color="auto"/>
              <w:left w:val="nil"/>
              <w:bottom w:val="nil"/>
              <w:right w:val="nil"/>
            </w:tcBorders>
            <w:shd w:val="clear" w:color="auto" w:fill="auto"/>
            <w:noWrap/>
            <w:vAlign w:val="center"/>
            <w:hideMark/>
          </w:tcPr>
          <w:p w14:paraId="6F27846B"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93</w:t>
            </w:r>
          </w:p>
        </w:tc>
      </w:tr>
      <w:tr w:rsidR="0028415B" w:rsidRPr="004764DB" w14:paraId="41153929" w14:textId="77777777" w:rsidTr="00154DDE">
        <w:trPr>
          <w:trHeight w:val="285"/>
          <w:jc w:val="center"/>
        </w:trPr>
        <w:tc>
          <w:tcPr>
            <w:tcW w:w="540" w:type="dxa"/>
            <w:tcBorders>
              <w:top w:val="nil"/>
              <w:left w:val="nil"/>
              <w:bottom w:val="nil"/>
              <w:right w:val="nil"/>
            </w:tcBorders>
            <w:shd w:val="clear" w:color="auto" w:fill="auto"/>
            <w:noWrap/>
            <w:vAlign w:val="center"/>
            <w:hideMark/>
          </w:tcPr>
          <w:p w14:paraId="308F691E"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2</w:t>
            </w:r>
          </w:p>
        </w:tc>
        <w:tc>
          <w:tcPr>
            <w:tcW w:w="5400" w:type="dxa"/>
            <w:tcBorders>
              <w:top w:val="nil"/>
              <w:left w:val="nil"/>
              <w:bottom w:val="nil"/>
              <w:right w:val="nil"/>
            </w:tcBorders>
            <w:shd w:val="clear" w:color="auto" w:fill="auto"/>
            <w:noWrap/>
            <w:vAlign w:val="center"/>
            <w:hideMark/>
          </w:tcPr>
          <w:p w14:paraId="08C07DD1"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Deubiquitination</w:t>
            </w:r>
          </w:p>
        </w:tc>
        <w:tc>
          <w:tcPr>
            <w:tcW w:w="1080" w:type="dxa"/>
            <w:tcBorders>
              <w:top w:val="nil"/>
              <w:left w:val="nil"/>
              <w:bottom w:val="nil"/>
              <w:right w:val="nil"/>
            </w:tcBorders>
            <w:shd w:val="clear" w:color="auto" w:fill="auto"/>
            <w:noWrap/>
            <w:vAlign w:val="center"/>
            <w:hideMark/>
          </w:tcPr>
          <w:p w14:paraId="5BA76D34"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20</w:t>
            </w:r>
          </w:p>
        </w:tc>
      </w:tr>
      <w:tr w:rsidR="0028415B" w:rsidRPr="004764DB" w14:paraId="570E9FDB" w14:textId="77777777" w:rsidTr="00154DDE">
        <w:trPr>
          <w:trHeight w:val="285"/>
          <w:jc w:val="center"/>
        </w:trPr>
        <w:tc>
          <w:tcPr>
            <w:tcW w:w="540" w:type="dxa"/>
            <w:tcBorders>
              <w:top w:val="nil"/>
              <w:left w:val="nil"/>
              <w:bottom w:val="nil"/>
              <w:right w:val="nil"/>
            </w:tcBorders>
            <w:shd w:val="clear" w:color="auto" w:fill="auto"/>
            <w:noWrap/>
            <w:vAlign w:val="center"/>
            <w:hideMark/>
          </w:tcPr>
          <w:p w14:paraId="663EA87E"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3</w:t>
            </w:r>
          </w:p>
        </w:tc>
        <w:tc>
          <w:tcPr>
            <w:tcW w:w="5400" w:type="dxa"/>
            <w:tcBorders>
              <w:top w:val="nil"/>
              <w:left w:val="nil"/>
              <w:bottom w:val="nil"/>
              <w:right w:val="nil"/>
            </w:tcBorders>
            <w:shd w:val="clear" w:color="auto" w:fill="auto"/>
            <w:noWrap/>
            <w:vAlign w:val="center"/>
            <w:hideMark/>
          </w:tcPr>
          <w:p w14:paraId="0CD2D85F"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26S Proteasome</w:t>
            </w:r>
          </w:p>
        </w:tc>
        <w:tc>
          <w:tcPr>
            <w:tcW w:w="1080" w:type="dxa"/>
            <w:tcBorders>
              <w:top w:val="nil"/>
              <w:left w:val="nil"/>
              <w:bottom w:val="nil"/>
              <w:right w:val="nil"/>
            </w:tcBorders>
            <w:shd w:val="clear" w:color="auto" w:fill="auto"/>
            <w:noWrap/>
            <w:vAlign w:val="center"/>
            <w:hideMark/>
          </w:tcPr>
          <w:p w14:paraId="0FC36BE3"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43</w:t>
            </w:r>
          </w:p>
        </w:tc>
      </w:tr>
      <w:tr w:rsidR="0028415B" w:rsidRPr="004764DB" w14:paraId="155C9D5D" w14:textId="77777777" w:rsidTr="00154DDE">
        <w:trPr>
          <w:trHeight w:val="285"/>
          <w:jc w:val="center"/>
        </w:trPr>
        <w:tc>
          <w:tcPr>
            <w:tcW w:w="540" w:type="dxa"/>
            <w:tcBorders>
              <w:top w:val="nil"/>
              <w:left w:val="nil"/>
              <w:bottom w:val="nil"/>
              <w:right w:val="nil"/>
            </w:tcBorders>
            <w:shd w:val="clear" w:color="auto" w:fill="auto"/>
            <w:noWrap/>
            <w:vAlign w:val="center"/>
            <w:hideMark/>
          </w:tcPr>
          <w:p w14:paraId="67177DD5"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4</w:t>
            </w:r>
          </w:p>
        </w:tc>
        <w:tc>
          <w:tcPr>
            <w:tcW w:w="5400" w:type="dxa"/>
            <w:tcBorders>
              <w:top w:val="nil"/>
              <w:left w:val="nil"/>
              <w:bottom w:val="nil"/>
              <w:right w:val="nil"/>
            </w:tcBorders>
            <w:shd w:val="clear" w:color="auto" w:fill="auto"/>
            <w:noWrap/>
            <w:vAlign w:val="center"/>
            <w:hideMark/>
          </w:tcPr>
          <w:p w14:paraId="0B433617" w14:textId="77777777" w:rsidR="0028415B" w:rsidRPr="004764DB" w:rsidRDefault="0028415B" w:rsidP="00154DDE">
            <w:pPr>
              <w:widowControl/>
              <w:jc w:val="center"/>
              <w:rPr>
                <w:rFonts w:ascii="Arial" w:eastAsia="DengXian" w:hAnsi="Arial" w:cs="Arial"/>
                <w:kern w:val="0"/>
                <w:sz w:val="22"/>
              </w:rPr>
            </w:pPr>
            <w:r w:rsidRPr="004764DB">
              <w:rPr>
                <w:rFonts w:ascii="Arial" w:hAnsi="Arial" w:cs="Arial"/>
                <w:color w:val="000000" w:themeColor="text1"/>
                <w:sz w:val="22"/>
                <w:shd w:val="clear" w:color="auto" w:fill="FFFFFF"/>
              </w:rPr>
              <w:t>Biosynthesis of MHC I</w:t>
            </w:r>
          </w:p>
        </w:tc>
        <w:tc>
          <w:tcPr>
            <w:tcW w:w="1080" w:type="dxa"/>
            <w:tcBorders>
              <w:top w:val="nil"/>
              <w:left w:val="nil"/>
              <w:bottom w:val="nil"/>
              <w:right w:val="nil"/>
            </w:tcBorders>
            <w:shd w:val="clear" w:color="auto" w:fill="auto"/>
            <w:noWrap/>
            <w:vAlign w:val="center"/>
            <w:hideMark/>
          </w:tcPr>
          <w:p w14:paraId="2C7EBE70"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8</w:t>
            </w:r>
          </w:p>
        </w:tc>
      </w:tr>
      <w:tr w:rsidR="0028415B" w:rsidRPr="004764DB" w14:paraId="798ADBEE" w14:textId="77777777" w:rsidTr="00154DDE">
        <w:trPr>
          <w:trHeight w:val="285"/>
          <w:jc w:val="center"/>
        </w:trPr>
        <w:tc>
          <w:tcPr>
            <w:tcW w:w="540" w:type="dxa"/>
            <w:tcBorders>
              <w:top w:val="nil"/>
              <w:left w:val="nil"/>
              <w:bottom w:val="nil"/>
              <w:right w:val="nil"/>
            </w:tcBorders>
            <w:shd w:val="clear" w:color="auto" w:fill="auto"/>
            <w:noWrap/>
            <w:vAlign w:val="center"/>
            <w:hideMark/>
          </w:tcPr>
          <w:p w14:paraId="1D0DC7FD"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5</w:t>
            </w:r>
          </w:p>
        </w:tc>
        <w:tc>
          <w:tcPr>
            <w:tcW w:w="5400" w:type="dxa"/>
            <w:tcBorders>
              <w:top w:val="nil"/>
              <w:left w:val="nil"/>
              <w:bottom w:val="nil"/>
              <w:right w:val="nil"/>
            </w:tcBorders>
            <w:shd w:val="clear" w:color="auto" w:fill="auto"/>
            <w:noWrap/>
            <w:vAlign w:val="center"/>
            <w:hideMark/>
          </w:tcPr>
          <w:p w14:paraId="34BDE82A"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Peptide loading complex (PLC)</w:t>
            </w:r>
          </w:p>
        </w:tc>
        <w:tc>
          <w:tcPr>
            <w:tcW w:w="1080" w:type="dxa"/>
            <w:tcBorders>
              <w:top w:val="nil"/>
              <w:left w:val="nil"/>
              <w:bottom w:val="nil"/>
              <w:right w:val="nil"/>
            </w:tcBorders>
            <w:shd w:val="clear" w:color="auto" w:fill="auto"/>
            <w:noWrap/>
            <w:vAlign w:val="center"/>
            <w:hideMark/>
          </w:tcPr>
          <w:p w14:paraId="74805006"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13</w:t>
            </w:r>
          </w:p>
        </w:tc>
      </w:tr>
      <w:tr w:rsidR="0028415B" w:rsidRPr="004764DB" w14:paraId="3BA65357" w14:textId="77777777" w:rsidTr="00154DDE">
        <w:trPr>
          <w:trHeight w:val="285"/>
          <w:jc w:val="center"/>
        </w:trPr>
        <w:tc>
          <w:tcPr>
            <w:tcW w:w="540" w:type="dxa"/>
            <w:tcBorders>
              <w:top w:val="nil"/>
              <w:left w:val="nil"/>
              <w:bottom w:val="nil"/>
              <w:right w:val="nil"/>
            </w:tcBorders>
            <w:shd w:val="clear" w:color="auto" w:fill="auto"/>
            <w:noWrap/>
            <w:vAlign w:val="center"/>
            <w:hideMark/>
          </w:tcPr>
          <w:p w14:paraId="5F242CED"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6</w:t>
            </w:r>
          </w:p>
        </w:tc>
        <w:tc>
          <w:tcPr>
            <w:tcW w:w="5400" w:type="dxa"/>
            <w:tcBorders>
              <w:top w:val="nil"/>
              <w:left w:val="nil"/>
              <w:bottom w:val="nil"/>
              <w:right w:val="nil"/>
            </w:tcBorders>
            <w:shd w:val="clear" w:color="auto" w:fill="auto"/>
            <w:noWrap/>
            <w:vAlign w:val="center"/>
            <w:hideMark/>
          </w:tcPr>
          <w:p w14:paraId="09DC567E"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Transit from the endoplasmic reticulum (ER) to the Golgi</w:t>
            </w:r>
          </w:p>
        </w:tc>
        <w:tc>
          <w:tcPr>
            <w:tcW w:w="1080" w:type="dxa"/>
            <w:tcBorders>
              <w:top w:val="nil"/>
              <w:left w:val="nil"/>
              <w:bottom w:val="nil"/>
              <w:right w:val="nil"/>
            </w:tcBorders>
            <w:shd w:val="clear" w:color="auto" w:fill="auto"/>
            <w:noWrap/>
            <w:vAlign w:val="center"/>
            <w:hideMark/>
          </w:tcPr>
          <w:p w14:paraId="64EEE3CE"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65</w:t>
            </w:r>
          </w:p>
        </w:tc>
      </w:tr>
      <w:tr w:rsidR="0028415B" w:rsidRPr="004764DB" w14:paraId="07632974" w14:textId="77777777" w:rsidTr="00154DDE">
        <w:trPr>
          <w:trHeight w:val="285"/>
          <w:jc w:val="center"/>
        </w:trPr>
        <w:tc>
          <w:tcPr>
            <w:tcW w:w="540" w:type="dxa"/>
            <w:tcBorders>
              <w:top w:val="nil"/>
              <w:left w:val="nil"/>
              <w:bottom w:val="nil"/>
              <w:right w:val="nil"/>
            </w:tcBorders>
            <w:shd w:val="clear" w:color="auto" w:fill="auto"/>
            <w:noWrap/>
            <w:vAlign w:val="center"/>
            <w:hideMark/>
          </w:tcPr>
          <w:p w14:paraId="76D813F5"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7</w:t>
            </w:r>
          </w:p>
        </w:tc>
        <w:tc>
          <w:tcPr>
            <w:tcW w:w="5400" w:type="dxa"/>
            <w:tcBorders>
              <w:top w:val="nil"/>
              <w:left w:val="nil"/>
              <w:bottom w:val="nil"/>
              <w:right w:val="nil"/>
            </w:tcBorders>
            <w:shd w:val="clear" w:color="auto" w:fill="auto"/>
            <w:noWrap/>
            <w:vAlign w:val="center"/>
            <w:hideMark/>
          </w:tcPr>
          <w:p w14:paraId="5A8298A9"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Exocytosis from the Golgi to the cell membrane</w:t>
            </w:r>
          </w:p>
        </w:tc>
        <w:tc>
          <w:tcPr>
            <w:tcW w:w="1080" w:type="dxa"/>
            <w:tcBorders>
              <w:top w:val="nil"/>
              <w:left w:val="nil"/>
              <w:bottom w:val="nil"/>
              <w:right w:val="nil"/>
            </w:tcBorders>
            <w:shd w:val="clear" w:color="auto" w:fill="auto"/>
            <w:noWrap/>
            <w:vAlign w:val="center"/>
            <w:hideMark/>
          </w:tcPr>
          <w:p w14:paraId="5F277292"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41</w:t>
            </w:r>
          </w:p>
        </w:tc>
      </w:tr>
      <w:tr w:rsidR="0028415B" w:rsidRPr="004764DB" w14:paraId="450F59E5" w14:textId="77777777" w:rsidTr="00154DDE">
        <w:trPr>
          <w:trHeight w:val="285"/>
          <w:jc w:val="center"/>
        </w:trPr>
        <w:tc>
          <w:tcPr>
            <w:tcW w:w="540" w:type="dxa"/>
            <w:tcBorders>
              <w:top w:val="nil"/>
              <w:left w:val="nil"/>
              <w:bottom w:val="single" w:sz="4" w:space="0" w:color="auto"/>
              <w:right w:val="nil"/>
            </w:tcBorders>
            <w:shd w:val="clear" w:color="auto" w:fill="auto"/>
            <w:noWrap/>
            <w:vAlign w:val="center"/>
          </w:tcPr>
          <w:p w14:paraId="0239F586"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8</w:t>
            </w:r>
          </w:p>
        </w:tc>
        <w:tc>
          <w:tcPr>
            <w:tcW w:w="5400" w:type="dxa"/>
            <w:tcBorders>
              <w:top w:val="nil"/>
              <w:left w:val="nil"/>
              <w:bottom w:val="single" w:sz="4" w:space="0" w:color="auto"/>
              <w:right w:val="nil"/>
            </w:tcBorders>
            <w:shd w:val="clear" w:color="auto" w:fill="auto"/>
            <w:noWrap/>
            <w:vAlign w:val="center"/>
          </w:tcPr>
          <w:p w14:paraId="048CD9DE"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Recycling</w:t>
            </w:r>
          </w:p>
        </w:tc>
        <w:tc>
          <w:tcPr>
            <w:tcW w:w="1080" w:type="dxa"/>
            <w:tcBorders>
              <w:top w:val="nil"/>
              <w:left w:val="nil"/>
              <w:bottom w:val="single" w:sz="4" w:space="0" w:color="auto"/>
              <w:right w:val="nil"/>
            </w:tcBorders>
            <w:shd w:val="clear" w:color="auto" w:fill="auto"/>
            <w:noWrap/>
            <w:vAlign w:val="center"/>
          </w:tcPr>
          <w:p w14:paraId="2A8ED85E" w14:textId="77777777" w:rsidR="0028415B" w:rsidRPr="004764DB" w:rsidRDefault="0028415B" w:rsidP="00154DDE">
            <w:pPr>
              <w:widowControl/>
              <w:jc w:val="center"/>
              <w:rPr>
                <w:rFonts w:ascii="Arial" w:eastAsia="DengXian" w:hAnsi="Arial" w:cs="Arial"/>
                <w:sz w:val="22"/>
              </w:rPr>
            </w:pPr>
            <w:r w:rsidRPr="004764DB">
              <w:rPr>
                <w:rFonts w:ascii="Arial" w:eastAsia="DengXian" w:hAnsi="Arial" w:cs="Arial"/>
                <w:sz w:val="22"/>
              </w:rPr>
              <w:t>4</w:t>
            </w:r>
          </w:p>
        </w:tc>
      </w:tr>
    </w:tbl>
    <w:p w14:paraId="78F890E3" w14:textId="77777777" w:rsidR="0028415B" w:rsidRPr="004764DB" w:rsidRDefault="0028415B" w:rsidP="0028415B">
      <w:pPr>
        <w:rPr>
          <w:rFonts w:ascii="Arial" w:hAnsi="Arial" w:cs="Arial"/>
          <w:i/>
          <w:iCs/>
          <w:sz w:val="22"/>
        </w:rPr>
      </w:pPr>
    </w:p>
    <w:p w14:paraId="72DB477A" w14:textId="6400A63A" w:rsidR="0028415B" w:rsidRPr="004764DB" w:rsidRDefault="0028415B" w:rsidP="0028415B">
      <w:pPr>
        <w:jc w:val="center"/>
        <w:rPr>
          <w:rFonts w:ascii="Arial" w:hAnsi="Arial" w:cs="Arial"/>
          <w:sz w:val="22"/>
        </w:rPr>
      </w:pPr>
      <w:r w:rsidRPr="004764DB">
        <w:rPr>
          <w:rFonts w:ascii="Arial" w:hAnsi="Arial" w:cs="Arial"/>
          <w:b/>
          <w:bCs/>
          <w:sz w:val="22"/>
        </w:rPr>
        <w:t xml:space="preserve">Table </w:t>
      </w:r>
      <w:r w:rsidR="00D23141" w:rsidRPr="004764DB">
        <w:rPr>
          <w:rFonts w:ascii="Arial" w:hAnsi="Arial" w:cs="Arial"/>
          <w:b/>
          <w:bCs/>
          <w:sz w:val="22"/>
        </w:rPr>
        <w:t>3</w:t>
      </w:r>
      <w:r w:rsidRPr="004764DB">
        <w:rPr>
          <w:rFonts w:ascii="Arial" w:hAnsi="Arial" w:cs="Arial"/>
          <w:b/>
          <w:bCs/>
          <w:sz w:val="22"/>
        </w:rPr>
        <w:t xml:space="preserve"> in Supplementary Methods. Statistics of MHC class II antigen presentation pathways</w:t>
      </w:r>
    </w:p>
    <w:tbl>
      <w:tblPr>
        <w:tblW w:w="0" w:type="auto"/>
        <w:jc w:val="center"/>
        <w:tblLayout w:type="fixed"/>
        <w:tblLook w:val="04A0" w:firstRow="1" w:lastRow="0" w:firstColumn="1" w:lastColumn="0" w:noHBand="0" w:noVBand="1"/>
      </w:tblPr>
      <w:tblGrid>
        <w:gridCol w:w="630"/>
        <w:gridCol w:w="5310"/>
        <w:gridCol w:w="990"/>
      </w:tblGrid>
      <w:tr w:rsidR="0028415B" w:rsidRPr="004764DB" w14:paraId="7A53E473" w14:textId="77777777" w:rsidTr="00154DDE">
        <w:trPr>
          <w:trHeight w:val="285"/>
          <w:jc w:val="center"/>
        </w:trPr>
        <w:tc>
          <w:tcPr>
            <w:tcW w:w="630" w:type="dxa"/>
            <w:tcBorders>
              <w:top w:val="single" w:sz="4" w:space="0" w:color="auto"/>
              <w:left w:val="nil"/>
              <w:bottom w:val="single" w:sz="4" w:space="0" w:color="auto"/>
              <w:right w:val="nil"/>
            </w:tcBorders>
            <w:shd w:val="clear" w:color="auto" w:fill="auto"/>
            <w:noWrap/>
            <w:vAlign w:val="center"/>
            <w:hideMark/>
          </w:tcPr>
          <w:p w14:paraId="61520CA1" w14:textId="77777777" w:rsidR="0028415B" w:rsidRPr="004764DB" w:rsidRDefault="0028415B" w:rsidP="00154DDE">
            <w:pPr>
              <w:widowControl/>
              <w:jc w:val="center"/>
              <w:rPr>
                <w:rFonts w:ascii="Arial" w:eastAsia="DengXian" w:hAnsi="Arial" w:cs="Arial"/>
                <w:b/>
                <w:bCs/>
                <w:kern w:val="0"/>
                <w:sz w:val="22"/>
              </w:rPr>
            </w:pPr>
            <w:r w:rsidRPr="004764DB">
              <w:rPr>
                <w:rFonts w:ascii="Arial" w:eastAsia="DengXian" w:hAnsi="Arial" w:cs="Arial"/>
                <w:b/>
                <w:bCs/>
                <w:kern w:val="0"/>
                <w:sz w:val="22"/>
              </w:rPr>
              <w:t>ID</w:t>
            </w:r>
          </w:p>
        </w:tc>
        <w:tc>
          <w:tcPr>
            <w:tcW w:w="5310" w:type="dxa"/>
            <w:tcBorders>
              <w:top w:val="single" w:sz="4" w:space="0" w:color="auto"/>
              <w:left w:val="nil"/>
              <w:bottom w:val="single" w:sz="4" w:space="0" w:color="auto"/>
              <w:right w:val="nil"/>
            </w:tcBorders>
            <w:shd w:val="clear" w:color="auto" w:fill="auto"/>
            <w:noWrap/>
            <w:vAlign w:val="center"/>
            <w:hideMark/>
          </w:tcPr>
          <w:p w14:paraId="23BB5954" w14:textId="77777777" w:rsidR="0028415B" w:rsidRPr="004764DB" w:rsidRDefault="0028415B" w:rsidP="00154DDE">
            <w:pPr>
              <w:widowControl/>
              <w:jc w:val="center"/>
              <w:rPr>
                <w:rFonts w:ascii="Arial" w:eastAsia="DengXian" w:hAnsi="Arial" w:cs="Arial"/>
                <w:b/>
                <w:bCs/>
                <w:kern w:val="0"/>
                <w:sz w:val="22"/>
              </w:rPr>
            </w:pPr>
            <w:r w:rsidRPr="004764DB">
              <w:rPr>
                <w:rFonts w:ascii="Arial" w:eastAsia="DengXian" w:hAnsi="Arial" w:cs="Arial"/>
                <w:b/>
                <w:bCs/>
                <w:kern w:val="0"/>
                <w:sz w:val="22"/>
              </w:rPr>
              <w:t>Module Name</w:t>
            </w:r>
          </w:p>
        </w:tc>
        <w:tc>
          <w:tcPr>
            <w:tcW w:w="990" w:type="dxa"/>
            <w:tcBorders>
              <w:top w:val="single" w:sz="4" w:space="0" w:color="auto"/>
              <w:left w:val="nil"/>
              <w:bottom w:val="single" w:sz="4" w:space="0" w:color="auto"/>
              <w:right w:val="nil"/>
            </w:tcBorders>
            <w:shd w:val="clear" w:color="auto" w:fill="auto"/>
            <w:noWrap/>
            <w:vAlign w:val="center"/>
            <w:hideMark/>
          </w:tcPr>
          <w:p w14:paraId="655EA103" w14:textId="77777777" w:rsidR="0028415B" w:rsidRPr="004764DB" w:rsidRDefault="0028415B" w:rsidP="00154DDE">
            <w:pPr>
              <w:widowControl/>
              <w:jc w:val="center"/>
              <w:rPr>
                <w:rFonts w:ascii="Arial" w:eastAsia="DengXian" w:hAnsi="Arial" w:cs="Arial"/>
                <w:b/>
                <w:bCs/>
                <w:kern w:val="0"/>
                <w:sz w:val="22"/>
              </w:rPr>
            </w:pPr>
            <w:r w:rsidRPr="004764DB">
              <w:rPr>
                <w:rFonts w:ascii="Arial" w:eastAsia="DengXian" w:hAnsi="Arial" w:cs="Arial"/>
                <w:b/>
                <w:bCs/>
                <w:kern w:val="0"/>
                <w:sz w:val="22"/>
              </w:rPr>
              <w:t>#Genes</w:t>
            </w:r>
          </w:p>
        </w:tc>
      </w:tr>
      <w:tr w:rsidR="0028415B" w:rsidRPr="004764DB" w14:paraId="64279C7F" w14:textId="77777777" w:rsidTr="00154DDE">
        <w:trPr>
          <w:trHeight w:val="285"/>
          <w:jc w:val="center"/>
        </w:trPr>
        <w:tc>
          <w:tcPr>
            <w:tcW w:w="630" w:type="dxa"/>
            <w:tcBorders>
              <w:top w:val="single" w:sz="4" w:space="0" w:color="auto"/>
              <w:left w:val="nil"/>
              <w:bottom w:val="nil"/>
              <w:right w:val="nil"/>
            </w:tcBorders>
            <w:shd w:val="clear" w:color="auto" w:fill="auto"/>
            <w:noWrap/>
            <w:vAlign w:val="center"/>
            <w:hideMark/>
          </w:tcPr>
          <w:p w14:paraId="7F701359"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1</w:t>
            </w:r>
          </w:p>
        </w:tc>
        <w:tc>
          <w:tcPr>
            <w:tcW w:w="5310" w:type="dxa"/>
            <w:tcBorders>
              <w:top w:val="single" w:sz="4" w:space="0" w:color="auto"/>
              <w:left w:val="nil"/>
              <w:bottom w:val="nil"/>
              <w:right w:val="nil"/>
            </w:tcBorders>
            <w:shd w:val="clear" w:color="auto" w:fill="auto"/>
            <w:noWrap/>
            <w:vAlign w:val="center"/>
            <w:hideMark/>
          </w:tcPr>
          <w:p w14:paraId="09A33C0A"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Uptake of extracellular proteins into cell</w:t>
            </w:r>
          </w:p>
        </w:tc>
        <w:tc>
          <w:tcPr>
            <w:tcW w:w="990" w:type="dxa"/>
            <w:tcBorders>
              <w:top w:val="single" w:sz="4" w:space="0" w:color="auto"/>
              <w:left w:val="nil"/>
              <w:bottom w:val="nil"/>
              <w:right w:val="nil"/>
            </w:tcBorders>
            <w:shd w:val="clear" w:color="auto" w:fill="auto"/>
            <w:noWrap/>
            <w:vAlign w:val="center"/>
            <w:hideMark/>
          </w:tcPr>
          <w:p w14:paraId="5643051A"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8</w:t>
            </w:r>
          </w:p>
        </w:tc>
      </w:tr>
      <w:tr w:rsidR="0028415B" w:rsidRPr="004764DB" w14:paraId="0DB79A85" w14:textId="77777777" w:rsidTr="00154DDE">
        <w:trPr>
          <w:trHeight w:val="285"/>
          <w:jc w:val="center"/>
        </w:trPr>
        <w:tc>
          <w:tcPr>
            <w:tcW w:w="630" w:type="dxa"/>
            <w:tcBorders>
              <w:top w:val="nil"/>
              <w:left w:val="nil"/>
              <w:bottom w:val="nil"/>
              <w:right w:val="nil"/>
            </w:tcBorders>
            <w:shd w:val="clear" w:color="auto" w:fill="auto"/>
            <w:noWrap/>
            <w:vAlign w:val="center"/>
            <w:hideMark/>
          </w:tcPr>
          <w:p w14:paraId="5EAB9D1C"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2</w:t>
            </w:r>
          </w:p>
        </w:tc>
        <w:tc>
          <w:tcPr>
            <w:tcW w:w="5310" w:type="dxa"/>
            <w:tcBorders>
              <w:top w:val="nil"/>
              <w:left w:val="nil"/>
              <w:bottom w:val="nil"/>
              <w:right w:val="nil"/>
            </w:tcBorders>
            <w:shd w:val="clear" w:color="auto" w:fill="auto"/>
            <w:noWrap/>
            <w:vAlign w:val="center"/>
            <w:hideMark/>
          </w:tcPr>
          <w:p w14:paraId="78B7275D"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Processing of internalized proteins in endosomal/lysosomal</w:t>
            </w:r>
          </w:p>
        </w:tc>
        <w:tc>
          <w:tcPr>
            <w:tcW w:w="990" w:type="dxa"/>
            <w:tcBorders>
              <w:top w:val="nil"/>
              <w:left w:val="nil"/>
              <w:bottom w:val="nil"/>
              <w:right w:val="nil"/>
            </w:tcBorders>
            <w:shd w:val="clear" w:color="auto" w:fill="auto"/>
            <w:noWrap/>
            <w:vAlign w:val="center"/>
            <w:hideMark/>
          </w:tcPr>
          <w:p w14:paraId="256E2614"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18</w:t>
            </w:r>
          </w:p>
        </w:tc>
      </w:tr>
      <w:tr w:rsidR="0028415B" w:rsidRPr="004764DB" w14:paraId="56D242C0" w14:textId="77777777" w:rsidTr="00154DDE">
        <w:trPr>
          <w:trHeight w:val="285"/>
          <w:jc w:val="center"/>
        </w:trPr>
        <w:tc>
          <w:tcPr>
            <w:tcW w:w="630" w:type="dxa"/>
            <w:tcBorders>
              <w:top w:val="nil"/>
              <w:left w:val="nil"/>
              <w:bottom w:val="nil"/>
              <w:right w:val="nil"/>
            </w:tcBorders>
            <w:shd w:val="clear" w:color="auto" w:fill="auto"/>
            <w:noWrap/>
            <w:vAlign w:val="center"/>
            <w:hideMark/>
          </w:tcPr>
          <w:p w14:paraId="57AF9E35"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3</w:t>
            </w:r>
          </w:p>
        </w:tc>
        <w:tc>
          <w:tcPr>
            <w:tcW w:w="5310" w:type="dxa"/>
            <w:tcBorders>
              <w:top w:val="nil"/>
              <w:left w:val="nil"/>
              <w:bottom w:val="nil"/>
              <w:right w:val="nil"/>
            </w:tcBorders>
            <w:shd w:val="clear" w:color="auto" w:fill="auto"/>
            <w:noWrap/>
            <w:vAlign w:val="center"/>
            <w:hideMark/>
          </w:tcPr>
          <w:p w14:paraId="07553272"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Biosynthesis of MHC2 in ER</w:t>
            </w:r>
          </w:p>
        </w:tc>
        <w:tc>
          <w:tcPr>
            <w:tcW w:w="990" w:type="dxa"/>
            <w:tcBorders>
              <w:top w:val="nil"/>
              <w:left w:val="nil"/>
              <w:bottom w:val="nil"/>
              <w:right w:val="nil"/>
            </w:tcBorders>
            <w:shd w:val="clear" w:color="auto" w:fill="auto"/>
            <w:noWrap/>
            <w:vAlign w:val="center"/>
            <w:hideMark/>
          </w:tcPr>
          <w:p w14:paraId="6A7CF50F"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15</w:t>
            </w:r>
          </w:p>
        </w:tc>
      </w:tr>
      <w:tr w:rsidR="0028415B" w:rsidRPr="004764DB" w14:paraId="63F5D65E" w14:textId="77777777" w:rsidTr="00154DDE">
        <w:trPr>
          <w:trHeight w:val="285"/>
          <w:jc w:val="center"/>
        </w:trPr>
        <w:tc>
          <w:tcPr>
            <w:tcW w:w="630" w:type="dxa"/>
            <w:tcBorders>
              <w:top w:val="nil"/>
              <w:left w:val="nil"/>
              <w:bottom w:val="nil"/>
              <w:right w:val="nil"/>
            </w:tcBorders>
            <w:shd w:val="clear" w:color="auto" w:fill="auto"/>
            <w:noWrap/>
            <w:vAlign w:val="center"/>
            <w:hideMark/>
          </w:tcPr>
          <w:p w14:paraId="5B5794B8"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lastRenderedPageBreak/>
              <w:t>4</w:t>
            </w:r>
          </w:p>
        </w:tc>
        <w:tc>
          <w:tcPr>
            <w:tcW w:w="5310" w:type="dxa"/>
            <w:tcBorders>
              <w:top w:val="nil"/>
              <w:left w:val="nil"/>
              <w:bottom w:val="nil"/>
              <w:right w:val="nil"/>
            </w:tcBorders>
            <w:shd w:val="clear" w:color="auto" w:fill="auto"/>
            <w:noWrap/>
            <w:vAlign w:val="center"/>
            <w:hideMark/>
          </w:tcPr>
          <w:p w14:paraId="49F12FEF"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Transport of MHC2 from ER to Golgi</w:t>
            </w:r>
          </w:p>
        </w:tc>
        <w:tc>
          <w:tcPr>
            <w:tcW w:w="990" w:type="dxa"/>
            <w:tcBorders>
              <w:top w:val="nil"/>
              <w:left w:val="nil"/>
              <w:bottom w:val="nil"/>
              <w:right w:val="nil"/>
            </w:tcBorders>
            <w:shd w:val="clear" w:color="auto" w:fill="auto"/>
            <w:noWrap/>
            <w:vAlign w:val="center"/>
            <w:hideMark/>
          </w:tcPr>
          <w:p w14:paraId="44C8BC8A"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53</w:t>
            </w:r>
          </w:p>
        </w:tc>
      </w:tr>
      <w:tr w:rsidR="0028415B" w:rsidRPr="004764DB" w14:paraId="4C0A77CA" w14:textId="77777777" w:rsidTr="00154DDE">
        <w:trPr>
          <w:trHeight w:val="285"/>
          <w:jc w:val="center"/>
        </w:trPr>
        <w:tc>
          <w:tcPr>
            <w:tcW w:w="630" w:type="dxa"/>
            <w:tcBorders>
              <w:top w:val="nil"/>
              <w:left w:val="nil"/>
              <w:bottom w:val="nil"/>
              <w:right w:val="nil"/>
            </w:tcBorders>
            <w:shd w:val="clear" w:color="auto" w:fill="auto"/>
            <w:noWrap/>
            <w:vAlign w:val="center"/>
            <w:hideMark/>
          </w:tcPr>
          <w:p w14:paraId="692DC4FD"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5</w:t>
            </w:r>
          </w:p>
        </w:tc>
        <w:tc>
          <w:tcPr>
            <w:tcW w:w="5310" w:type="dxa"/>
            <w:tcBorders>
              <w:top w:val="nil"/>
              <w:left w:val="nil"/>
              <w:bottom w:val="nil"/>
              <w:right w:val="nil"/>
            </w:tcBorders>
            <w:shd w:val="clear" w:color="auto" w:fill="auto"/>
            <w:noWrap/>
            <w:vAlign w:val="center"/>
            <w:hideMark/>
          </w:tcPr>
          <w:p w14:paraId="1BEB0CE2"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Transport of MHC2 from Golgi to Endosomes</w:t>
            </w:r>
          </w:p>
        </w:tc>
        <w:tc>
          <w:tcPr>
            <w:tcW w:w="990" w:type="dxa"/>
            <w:tcBorders>
              <w:top w:val="nil"/>
              <w:left w:val="nil"/>
              <w:bottom w:val="nil"/>
              <w:right w:val="nil"/>
            </w:tcBorders>
            <w:shd w:val="clear" w:color="auto" w:fill="auto"/>
            <w:noWrap/>
            <w:vAlign w:val="center"/>
            <w:hideMark/>
          </w:tcPr>
          <w:p w14:paraId="2359EDF4"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17</w:t>
            </w:r>
          </w:p>
        </w:tc>
      </w:tr>
      <w:tr w:rsidR="0028415B" w:rsidRPr="004764DB" w14:paraId="1AACE58E" w14:textId="77777777" w:rsidTr="00154DDE">
        <w:trPr>
          <w:trHeight w:val="285"/>
          <w:jc w:val="center"/>
        </w:trPr>
        <w:tc>
          <w:tcPr>
            <w:tcW w:w="630" w:type="dxa"/>
            <w:tcBorders>
              <w:top w:val="nil"/>
              <w:left w:val="nil"/>
              <w:bottom w:val="nil"/>
              <w:right w:val="nil"/>
            </w:tcBorders>
            <w:shd w:val="clear" w:color="auto" w:fill="auto"/>
            <w:noWrap/>
            <w:vAlign w:val="center"/>
            <w:hideMark/>
          </w:tcPr>
          <w:p w14:paraId="48A26B88"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6</w:t>
            </w:r>
          </w:p>
        </w:tc>
        <w:tc>
          <w:tcPr>
            <w:tcW w:w="5310" w:type="dxa"/>
            <w:tcBorders>
              <w:top w:val="nil"/>
              <w:left w:val="nil"/>
              <w:bottom w:val="nil"/>
              <w:right w:val="nil"/>
            </w:tcBorders>
            <w:shd w:val="clear" w:color="auto" w:fill="auto"/>
            <w:noWrap/>
            <w:vAlign w:val="center"/>
            <w:hideMark/>
          </w:tcPr>
          <w:p w14:paraId="1A041082"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 xml:space="preserve">Association of MHC2 with antigen </w:t>
            </w:r>
          </w:p>
        </w:tc>
        <w:tc>
          <w:tcPr>
            <w:tcW w:w="990" w:type="dxa"/>
            <w:tcBorders>
              <w:top w:val="nil"/>
              <w:left w:val="nil"/>
              <w:bottom w:val="nil"/>
              <w:right w:val="nil"/>
            </w:tcBorders>
            <w:shd w:val="clear" w:color="auto" w:fill="auto"/>
            <w:noWrap/>
            <w:vAlign w:val="center"/>
            <w:hideMark/>
          </w:tcPr>
          <w:p w14:paraId="28FA055F"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sz w:val="22"/>
              </w:rPr>
              <w:t>5</w:t>
            </w:r>
          </w:p>
        </w:tc>
      </w:tr>
      <w:tr w:rsidR="0028415B" w:rsidRPr="004764DB" w14:paraId="61C11443" w14:textId="77777777" w:rsidTr="00154DDE">
        <w:trPr>
          <w:trHeight w:val="285"/>
          <w:jc w:val="center"/>
        </w:trPr>
        <w:tc>
          <w:tcPr>
            <w:tcW w:w="630" w:type="dxa"/>
            <w:tcBorders>
              <w:top w:val="nil"/>
              <w:left w:val="nil"/>
              <w:bottom w:val="single" w:sz="4" w:space="0" w:color="auto"/>
              <w:right w:val="nil"/>
            </w:tcBorders>
            <w:shd w:val="clear" w:color="auto" w:fill="auto"/>
            <w:noWrap/>
            <w:vAlign w:val="center"/>
          </w:tcPr>
          <w:p w14:paraId="75EF3C78"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7</w:t>
            </w:r>
          </w:p>
        </w:tc>
        <w:tc>
          <w:tcPr>
            <w:tcW w:w="5310" w:type="dxa"/>
            <w:tcBorders>
              <w:top w:val="nil"/>
              <w:left w:val="nil"/>
              <w:bottom w:val="single" w:sz="4" w:space="0" w:color="auto"/>
              <w:right w:val="nil"/>
            </w:tcBorders>
            <w:shd w:val="clear" w:color="auto" w:fill="auto"/>
            <w:noWrap/>
            <w:vAlign w:val="center"/>
          </w:tcPr>
          <w:p w14:paraId="75EFB729" w14:textId="77777777" w:rsidR="0028415B" w:rsidRPr="004764DB" w:rsidRDefault="0028415B" w:rsidP="00154DDE">
            <w:pPr>
              <w:widowControl/>
              <w:jc w:val="center"/>
              <w:rPr>
                <w:rFonts w:ascii="Arial" w:eastAsia="DengXian" w:hAnsi="Arial" w:cs="Arial"/>
                <w:kern w:val="0"/>
                <w:sz w:val="22"/>
              </w:rPr>
            </w:pPr>
            <w:r w:rsidRPr="004764DB">
              <w:rPr>
                <w:rFonts w:ascii="Arial" w:eastAsia="DengXian" w:hAnsi="Arial" w:cs="Arial"/>
                <w:kern w:val="0"/>
                <w:sz w:val="22"/>
              </w:rPr>
              <w:t>Expression of Peptide MHC2 Complex to cell surface</w:t>
            </w:r>
          </w:p>
        </w:tc>
        <w:tc>
          <w:tcPr>
            <w:tcW w:w="990" w:type="dxa"/>
            <w:tcBorders>
              <w:top w:val="nil"/>
              <w:left w:val="nil"/>
              <w:bottom w:val="single" w:sz="4" w:space="0" w:color="auto"/>
              <w:right w:val="nil"/>
            </w:tcBorders>
            <w:shd w:val="clear" w:color="auto" w:fill="auto"/>
            <w:noWrap/>
            <w:vAlign w:val="center"/>
          </w:tcPr>
          <w:p w14:paraId="08528B92" w14:textId="77777777" w:rsidR="0028415B" w:rsidRPr="004764DB" w:rsidRDefault="0028415B" w:rsidP="00154DDE">
            <w:pPr>
              <w:widowControl/>
              <w:jc w:val="center"/>
              <w:rPr>
                <w:rFonts w:ascii="Arial" w:eastAsia="DengXian" w:hAnsi="Arial" w:cs="Arial"/>
                <w:sz w:val="22"/>
              </w:rPr>
            </w:pPr>
            <w:r w:rsidRPr="004764DB">
              <w:rPr>
                <w:rFonts w:ascii="Arial" w:eastAsia="DengXian" w:hAnsi="Arial" w:cs="Arial"/>
                <w:sz w:val="22"/>
              </w:rPr>
              <w:t>17</w:t>
            </w:r>
          </w:p>
        </w:tc>
      </w:tr>
    </w:tbl>
    <w:p w14:paraId="4FF60658" w14:textId="77777777" w:rsidR="000B3ED0" w:rsidRPr="004764DB" w:rsidRDefault="000B3ED0" w:rsidP="000B3ED0">
      <w:pPr>
        <w:pStyle w:val="NormalWeb"/>
        <w:shd w:val="clear" w:color="auto" w:fill="FFFFFF"/>
        <w:spacing w:before="0" w:beforeAutospacing="0" w:after="0" w:afterAutospacing="0"/>
        <w:rPr>
          <w:rFonts w:ascii="Arial" w:hAnsi="Arial" w:cs="Arial"/>
          <w:i/>
          <w:iCs/>
          <w:sz w:val="22"/>
          <w:szCs w:val="22"/>
        </w:rPr>
      </w:pPr>
    </w:p>
    <w:p w14:paraId="6C7668A6" w14:textId="77777777" w:rsidR="000B3ED0" w:rsidRDefault="000B3ED0" w:rsidP="000B3ED0">
      <w:pPr>
        <w:pStyle w:val="NormalWeb"/>
        <w:shd w:val="clear" w:color="auto" w:fill="FFFFFF"/>
        <w:spacing w:before="0" w:beforeAutospacing="0" w:after="0" w:afterAutospacing="0"/>
        <w:rPr>
          <w:i/>
          <w:iCs/>
          <w:sz w:val="22"/>
        </w:rPr>
      </w:pPr>
    </w:p>
    <w:p w14:paraId="2AAA2F65" w14:textId="77777777" w:rsidR="00933192" w:rsidRPr="00206781" w:rsidRDefault="00933192" w:rsidP="00933192">
      <w:pPr>
        <w:pStyle w:val="NormalWeb"/>
        <w:shd w:val="clear" w:color="auto" w:fill="FFFFFF"/>
        <w:spacing w:before="0" w:beforeAutospacing="0" w:after="0" w:afterAutospacing="0"/>
        <w:rPr>
          <w:rFonts w:ascii="Arial" w:hAnsi="Arial" w:cs="Arial"/>
          <w:b/>
          <w:bCs/>
          <w:sz w:val="22"/>
          <w:szCs w:val="22"/>
        </w:rPr>
      </w:pPr>
      <w:r w:rsidRPr="00206781">
        <w:rPr>
          <w:rFonts w:ascii="Arial" w:hAnsi="Arial" w:cs="Arial"/>
          <w:b/>
          <w:bCs/>
          <w:sz w:val="22"/>
          <w:szCs w:val="22"/>
        </w:rPr>
        <w:t>Reconstruction of the antigen presentation pathway into a factor graph</w:t>
      </w:r>
    </w:p>
    <w:p w14:paraId="5DE8EFC2" w14:textId="03B12665" w:rsidR="00933192" w:rsidRPr="00BB2FD2" w:rsidRDefault="00933192" w:rsidP="00933192">
      <w:pPr>
        <w:pStyle w:val="NormalWeb"/>
        <w:shd w:val="clear" w:color="auto" w:fill="FFFFFF"/>
        <w:spacing w:before="0" w:beforeAutospacing="0" w:after="0" w:afterAutospacing="0"/>
        <w:ind w:firstLine="420"/>
        <w:rPr>
          <w:rFonts w:ascii="Arial" w:hAnsi="Arial" w:cs="Arial"/>
          <w:sz w:val="22"/>
          <w:szCs w:val="22"/>
        </w:rPr>
      </w:pPr>
      <w:r w:rsidRPr="00BB2FD2">
        <w:rPr>
          <w:rFonts w:ascii="Arial" w:hAnsi="Arial" w:cs="Arial"/>
          <w:sz w:val="22"/>
          <w:szCs w:val="22"/>
        </w:rPr>
        <w:t xml:space="preserve">We formulated </w:t>
      </w:r>
      <w:r w:rsidR="00691622" w:rsidRPr="00BB2FD2">
        <w:rPr>
          <w:rFonts w:ascii="Arial" w:hAnsi="Arial" w:cs="Arial"/>
          <w:sz w:val="22"/>
          <w:szCs w:val="22"/>
        </w:rPr>
        <w:t>the</w:t>
      </w:r>
      <w:r w:rsidRPr="00BB2FD2">
        <w:rPr>
          <w:rFonts w:ascii="Arial" w:hAnsi="Arial" w:cs="Arial"/>
          <w:sz w:val="22"/>
          <w:szCs w:val="22"/>
        </w:rPr>
        <w:t xml:space="preserve"> antigen presentation pathway into a directed factor graph-based representation by considering each biological process (or reaction step) as a variable and the product of each process as a factor. A directed factor graph was first reconstructed using the adjacency matrix of all biological processes in the antigen presentation pathway. In the factor graph, variables, factors, and directed edges correspond to biological processes, antigen presentation products, and whether a biological process generates the products or use the products as substrate, respectively. </w:t>
      </w:r>
    </w:p>
    <w:p w14:paraId="4C42DCE9" w14:textId="77777777" w:rsidR="00933192" w:rsidRPr="00BB2FD2" w:rsidRDefault="00933192" w:rsidP="00933192">
      <w:pPr>
        <w:rPr>
          <w:rFonts w:ascii="Arial" w:hAnsi="Arial" w:cs="Arial"/>
          <w:i/>
          <w:iCs/>
          <w:sz w:val="22"/>
        </w:rPr>
      </w:pPr>
    </w:p>
    <w:p w14:paraId="3C21C504" w14:textId="77777777" w:rsidR="00933192" w:rsidRPr="00206781" w:rsidRDefault="00933192" w:rsidP="00933192">
      <w:pPr>
        <w:rPr>
          <w:rFonts w:ascii="Arial" w:hAnsi="Arial" w:cs="Arial"/>
          <w:b/>
          <w:bCs/>
          <w:sz w:val="22"/>
        </w:rPr>
      </w:pPr>
      <w:r w:rsidRPr="00206781">
        <w:rPr>
          <w:rFonts w:ascii="Arial" w:hAnsi="Arial" w:cs="Arial"/>
          <w:b/>
          <w:bCs/>
          <w:sz w:val="22"/>
        </w:rPr>
        <w:t>Prediction of MSS/MSI status and prediction of T cell and cytotoxicity level using bulk cancer RNA-seq data, and multi-variate logistic regression analysis to determine the top features in explaining patients’ responsiveness to PD-1 inhibitor.</w:t>
      </w:r>
    </w:p>
    <w:p w14:paraId="768FF348" w14:textId="1F669717" w:rsidR="00933192" w:rsidRPr="00BB2FD2" w:rsidRDefault="00933192" w:rsidP="00933192">
      <w:pPr>
        <w:ind w:firstLine="420"/>
        <w:rPr>
          <w:rFonts w:ascii="Arial" w:hAnsi="Arial" w:cs="Arial"/>
          <w:sz w:val="22"/>
        </w:rPr>
      </w:pPr>
      <w:r w:rsidRPr="00BB2FD2">
        <w:rPr>
          <w:rFonts w:ascii="Arial" w:hAnsi="Arial" w:cs="Arial"/>
          <w:sz w:val="22"/>
        </w:rPr>
        <w:t>Microsatellite instability (MSI) is a genomic property of the cancers with defective DNA mismatch repair and is a useful marker for cancer diagnosis and treatment in diverse cancer types[ref]. MSI has been associated with the active immune checkpoint blockade therapy response in cancer. In this paper, we use PreMSIm</w:t>
      </w:r>
      <w:r w:rsidRPr="00BB2FD2">
        <w:rPr>
          <w:rFonts w:ascii="Arial" w:hAnsi="Arial" w:cs="Arial"/>
          <w:sz w:val="22"/>
        </w:rPr>
        <w:fldChar w:fldCharType="begin"/>
      </w:r>
      <w:r>
        <w:rPr>
          <w:rFonts w:ascii="Arial" w:hAnsi="Arial" w:cs="Arial"/>
          <w:sz w:val="22"/>
        </w:rPr>
        <w:instrText xml:space="preserve"> ADDIN EN.CITE &lt;EndNote&gt;&lt;Cite&gt;&lt;Author&gt;Li&lt;/Author&gt;&lt;Year&gt;2020&lt;/Year&gt;&lt;RecNum&gt;56&lt;/RecNum&gt;&lt;DisplayText&gt;&lt;style face="superscript"&gt;4&lt;/style&gt;&lt;/DisplayText&gt;&lt;record&gt;&lt;rec-number&gt;56&lt;/rec-number&gt;&lt;foreign-keys&gt;&lt;key app="EN" db-id="z0vxvp2x3d9x5se9x5txe0x1vpzp5z20w5tz" timestamp="1725630937"&gt;56&lt;/key&gt;&lt;/foreign-keys&gt;&lt;ref-type name="Journal Article"&gt;17&lt;/ref-type&gt;&lt;contributors&gt;&lt;authors&gt;&lt;author&gt;Li, Lin&lt;/author&gt;&lt;author&gt;Feng, Qiushi&lt;/author&gt;&lt;author&gt;Wang, Xiaosheng&lt;/author&gt;&lt;/authors&gt;&lt;/contributors&gt;&lt;titles&gt;&lt;title&gt;PreMSIm: an R package for predicting microsatellite instability from the expression profiling of a gene panel in cancer&lt;/title&gt;&lt;secondary-title&gt;Computational and Structural Biotechnology Journal&lt;/secondary-title&gt;&lt;/titles&gt;&lt;periodical&gt;&lt;full-title&gt;Computational and Structural Biotechnology Journal&lt;/full-title&gt;&lt;/periodical&gt;&lt;pages&gt;668-675&lt;/pages&gt;&lt;volume&gt;18&lt;/volume&gt;&lt;dates&gt;&lt;year&gt;2020&lt;/year&gt;&lt;/dates&gt;&lt;isbn&gt;2001-0370&lt;/isbn&gt;&lt;urls&gt;&lt;/urls&gt;&lt;/record&gt;&lt;/Cite&gt;&lt;/EndNote&gt;</w:instrText>
      </w:r>
      <w:r w:rsidRPr="00BB2FD2">
        <w:rPr>
          <w:rFonts w:ascii="Arial" w:hAnsi="Arial" w:cs="Arial"/>
          <w:sz w:val="22"/>
        </w:rPr>
        <w:fldChar w:fldCharType="separate"/>
      </w:r>
      <w:r w:rsidRPr="00933192">
        <w:rPr>
          <w:rFonts w:ascii="Arial" w:hAnsi="Arial" w:cs="Arial"/>
          <w:noProof/>
          <w:sz w:val="22"/>
          <w:vertAlign w:val="superscript"/>
        </w:rPr>
        <w:t>4</w:t>
      </w:r>
      <w:r w:rsidRPr="00BB2FD2">
        <w:rPr>
          <w:rFonts w:ascii="Arial" w:hAnsi="Arial" w:cs="Arial"/>
          <w:sz w:val="22"/>
        </w:rPr>
        <w:fldChar w:fldCharType="end"/>
      </w:r>
      <w:r w:rsidRPr="00BB2FD2">
        <w:rPr>
          <w:rFonts w:ascii="Arial" w:hAnsi="Arial" w:cs="Arial"/>
          <w:sz w:val="22"/>
        </w:rPr>
        <w:t>: an R package which offers a computational approach for inferring MSI status from the expression profiling of a 15-gene panel in cancer. The package was applied to bulk RNA-seq data obtained from a melanoma dataset (GSE91061), consisting of patients under anti-PD1 therapy using Nivolumab.</w:t>
      </w:r>
    </w:p>
    <w:p w14:paraId="0B750047" w14:textId="77777777" w:rsidR="00933192" w:rsidRPr="00BB2FD2" w:rsidRDefault="00933192" w:rsidP="00933192">
      <w:pPr>
        <w:rPr>
          <w:rFonts w:ascii="Arial" w:hAnsi="Arial" w:cs="Arial"/>
          <w:i/>
          <w:iCs/>
          <w:sz w:val="22"/>
        </w:rPr>
      </w:pPr>
    </w:p>
    <w:p w14:paraId="229865A8" w14:textId="43B3A44C" w:rsidR="00933192" w:rsidRPr="00206781" w:rsidRDefault="00933192" w:rsidP="00933192">
      <w:pPr>
        <w:contextualSpacing/>
        <w:rPr>
          <w:rFonts w:ascii="Arial" w:hAnsi="Arial" w:cs="Arial"/>
          <w:b/>
          <w:bCs/>
          <w:sz w:val="22"/>
        </w:rPr>
      </w:pPr>
      <w:r w:rsidRPr="00206781">
        <w:rPr>
          <w:rFonts w:ascii="Arial" w:hAnsi="Arial" w:cs="Arial"/>
          <w:b/>
          <w:bCs/>
          <w:sz w:val="22"/>
        </w:rPr>
        <w:t>Robust analysis of MPSL</w:t>
      </w:r>
    </w:p>
    <w:p w14:paraId="4B80AAE8" w14:textId="77777777" w:rsidR="00933192" w:rsidRPr="00280647" w:rsidRDefault="00933192" w:rsidP="00933192">
      <w:pPr>
        <w:ind w:firstLine="420"/>
        <w:contextualSpacing/>
        <w:rPr>
          <w:rFonts w:ascii="Arial" w:hAnsi="Arial" w:cs="Arial"/>
          <w:b/>
          <w:bCs/>
          <w:color w:val="FF0000"/>
          <w:sz w:val="22"/>
        </w:rPr>
      </w:pPr>
      <w:r w:rsidRPr="00280647">
        <w:rPr>
          <w:rFonts w:ascii="Arial" w:hAnsi="Arial" w:cs="Arial"/>
          <w:sz w:val="22"/>
        </w:rPr>
        <w:t xml:space="preserve">We tested </w:t>
      </w:r>
      <w:r>
        <w:rPr>
          <w:rFonts w:ascii="Arial" w:hAnsi="Arial" w:cs="Arial"/>
          <w:sz w:val="22"/>
        </w:rPr>
        <w:t xml:space="preserve">the robustness of MPSL </w:t>
      </w:r>
      <w:r w:rsidRPr="00280647">
        <w:rPr>
          <w:rFonts w:ascii="Arial" w:hAnsi="Arial" w:cs="Arial"/>
          <w:sz w:val="22"/>
        </w:rPr>
        <w:t>on three real-world biological reaction networks and a complex synthetic directed factor graph (SDFG)</w:t>
      </w:r>
      <w:r>
        <w:rPr>
          <w:rFonts w:ascii="Arial" w:hAnsi="Arial" w:cs="Arial"/>
          <w:sz w:val="22"/>
        </w:rPr>
        <w:t xml:space="preserve"> using simulated data</w:t>
      </w:r>
      <w:r w:rsidRPr="00280647">
        <w:rPr>
          <w:rFonts w:ascii="Arial" w:hAnsi="Arial" w:cs="Arial"/>
          <w:sz w:val="22"/>
        </w:rPr>
        <w:t xml:space="preserve">. The networks include (1) the </w:t>
      </w:r>
      <w:r>
        <w:rPr>
          <w:rFonts w:ascii="Arial" w:hAnsi="Arial" w:cs="Arial"/>
          <w:sz w:val="22"/>
        </w:rPr>
        <w:t>MHC I antigen presentation pathway;</w:t>
      </w:r>
      <w:r w:rsidRPr="00280647">
        <w:rPr>
          <w:rFonts w:ascii="Arial" w:hAnsi="Arial" w:cs="Arial"/>
          <w:sz w:val="22"/>
        </w:rPr>
        <w:t xml:space="preserve"> (2) the </w:t>
      </w:r>
      <w:r>
        <w:rPr>
          <w:rFonts w:ascii="Arial" w:hAnsi="Arial" w:cs="Arial"/>
          <w:sz w:val="22"/>
        </w:rPr>
        <w:t>glycolysis pathway of</w:t>
      </w:r>
      <w:r w:rsidRPr="00280647">
        <w:rPr>
          <w:rFonts w:ascii="Arial" w:hAnsi="Arial" w:cs="Arial"/>
          <w:sz w:val="22"/>
        </w:rPr>
        <w:t xml:space="preserve"> 6 metabolites and 10 reactions</w:t>
      </w:r>
      <w:r>
        <w:rPr>
          <w:rFonts w:ascii="Arial" w:hAnsi="Arial" w:cs="Arial"/>
          <w:sz w:val="22"/>
        </w:rPr>
        <w:t>;</w:t>
      </w:r>
      <w:r w:rsidRPr="00280647">
        <w:rPr>
          <w:rFonts w:ascii="Arial" w:hAnsi="Arial" w:cs="Arial"/>
          <w:sz w:val="22"/>
        </w:rPr>
        <w:t xml:space="preserve"> (3) and the Central Metabolic Map Reaction Networ</w:t>
      </w:r>
      <w:r>
        <w:rPr>
          <w:rFonts w:ascii="Arial" w:hAnsi="Arial" w:cs="Arial"/>
          <w:sz w:val="22"/>
        </w:rPr>
        <w:t xml:space="preserve">k of </w:t>
      </w:r>
      <w:r w:rsidRPr="00280647">
        <w:rPr>
          <w:rFonts w:ascii="Arial" w:hAnsi="Arial" w:cs="Arial"/>
          <w:sz w:val="22"/>
        </w:rPr>
        <w:t>66 metabolites, 159 reactions, and 3 cycles</w:t>
      </w:r>
      <w:r>
        <w:rPr>
          <w:rFonts w:ascii="Arial" w:hAnsi="Arial" w:cs="Arial"/>
          <w:sz w:val="22"/>
        </w:rPr>
        <w:t>; and</w:t>
      </w:r>
      <w:r w:rsidRPr="00280647">
        <w:rPr>
          <w:rFonts w:ascii="Arial" w:hAnsi="Arial" w:cs="Arial"/>
          <w:sz w:val="22"/>
        </w:rPr>
        <w:t xml:space="preserve"> (4) a synthetic network </w:t>
      </w:r>
      <w:r>
        <w:rPr>
          <w:rFonts w:ascii="Arial" w:hAnsi="Arial" w:cs="Arial"/>
          <w:sz w:val="22"/>
        </w:rPr>
        <w:t>of</w:t>
      </w:r>
      <w:r w:rsidRPr="00280647">
        <w:rPr>
          <w:rFonts w:ascii="Arial" w:hAnsi="Arial" w:cs="Arial"/>
          <w:sz w:val="22"/>
        </w:rPr>
        <w:t xml:space="preserve"> 204 factors, 453 variables, and 18 cycles. </w:t>
      </w:r>
    </w:p>
    <w:p w14:paraId="22296E0F" w14:textId="77777777" w:rsidR="00933192" w:rsidRPr="00280647" w:rsidRDefault="00933192" w:rsidP="00933192">
      <w:pPr>
        <w:pStyle w:val="NormalWeb"/>
        <w:spacing w:before="0" w:beforeAutospacing="0" w:after="0" w:afterAutospacing="0"/>
        <w:ind w:firstLine="420"/>
        <w:contextualSpacing/>
        <w:rPr>
          <w:rFonts w:ascii="Arial" w:hAnsi="Arial" w:cs="Arial"/>
          <w:sz w:val="22"/>
          <w:szCs w:val="22"/>
        </w:rPr>
      </w:pPr>
      <w:r w:rsidRPr="00280647">
        <w:rPr>
          <w:rFonts w:ascii="Arial" w:hAnsi="Arial" w:cs="Arial"/>
          <w:sz w:val="22"/>
          <w:szCs w:val="22"/>
        </w:rPr>
        <w:t xml:space="preserve">The synthetic observation data were generated by simulating non-time course data associated with the factor nodes in the networks. A matrix </w:t>
      </w:r>
      <m:oMath>
        <m:sSup>
          <m:sSupPr>
            <m:ctrlPr>
              <w:rPr>
                <w:rFonts w:ascii="Cambria Math" w:hAnsi="Cambria Math" w:cs="Arial"/>
                <w:i/>
                <w:sz w:val="22"/>
                <w:szCs w:val="22"/>
              </w:rPr>
            </m:ctrlPr>
          </m:sSupPr>
          <m:e>
            <m:r>
              <w:rPr>
                <w:rFonts w:ascii="Cambria Math" w:hAnsi="Cambria Math" w:cs="Arial"/>
                <w:sz w:val="22"/>
                <w:szCs w:val="22"/>
              </w:rPr>
              <m:t>Y</m:t>
            </m:r>
          </m:e>
          <m:sup>
            <m:r>
              <w:rPr>
                <w:rFonts w:ascii="Cambria Math" w:hAnsi="Cambria Math" w:cs="Arial"/>
                <w:sz w:val="22"/>
                <w:szCs w:val="22"/>
              </w:rPr>
              <m:t>M×N</m:t>
            </m:r>
          </m:sup>
        </m:sSup>
      </m:oMath>
      <w:r w:rsidRPr="00280647">
        <w:rPr>
          <w:rFonts w:ascii="Arial" w:hAnsi="Arial" w:cs="Arial"/>
          <w:sz w:val="22"/>
          <w:szCs w:val="22"/>
        </w:rPr>
        <w:t xml:space="preserve"> representing the flux </w:t>
      </w:r>
      <w:r>
        <w:rPr>
          <w:rFonts w:ascii="Arial" w:hAnsi="Arial" w:cs="Arial"/>
          <w:sz w:val="22"/>
          <w:szCs w:val="22"/>
        </w:rPr>
        <w:t>of</w:t>
      </w:r>
      <w:r w:rsidRPr="00280647">
        <w:rPr>
          <w:rFonts w:ascii="Arial" w:hAnsi="Arial" w:cs="Arial"/>
          <w:sz w:val="22"/>
          <w:szCs w:val="22"/>
        </w:rPr>
        <w:t xml:space="preserve"> </w:t>
      </w:r>
      <w:r>
        <w:rPr>
          <w:rFonts w:ascii="Arial" w:hAnsi="Arial" w:cs="Arial"/>
          <w:sz w:val="22"/>
          <w:szCs w:val="22"/>
        </w:rPr>
        <w:t xml:space="preserve">M </w:t>
      </w:r>
      <w:r w:rsidRPr="00280647">
        <w:rPr>
          <w:rFonts w:ascii="Arial" w:hAnsi="Arial" w:cs="Arial"/>
          <w:sz w:val="22"/>
          <w:szCs w:val="22"/>
        </w:rPr>
        <w:t>reactions</w:t>
      </w:r>
      <w:r>
        <w:rPr>
          <w:rFonts w:ascii="Arial" w:hAnsi="Arial" w:cs="Arial"/>
          <w:sz w:val="22"/>
          <w:szCs w:val="22"/>
        </w:rPr>
        <w:t xml:space="preserve"> in N samples</w:t>
      </w:r>
      <w:r w:rsidRPr="00280647">
        <w:rPr>
          <w:rFonts w:ascii="Arial" w:hAnsi="Arial" w:cs="Arial"/>
          <w:sz w:val="22"/>
          <w:szCs w:val="22"/>
        </w:rPr>
        <w:t xml:space="preserve"> was </w:t>
      </w:r>
      <w:r>
        <w:rPr>
          <w:rFonts w:ascii="Arial" w:hAnsi="Arial" w:cs="Arial"/>
          <w:sz w:val="22"/>
          <w:szCs w:val="22"/>
        </w:rPr>
        <w:t>generated</w:t>
      </w:r>
      <w:r w:rsidRPr="00280647">
        <w:rPr>
          <w:rFonts w:ascii="Arial" w:hAnsi="Arial" w:cs="Arial"/>
          <w:sz w:val="22"/>
          <w:szCs w:val="22"/>
        </w:rPr>
        <w:t xml:space="preserve">, where each row </w:t>
      </w:r>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j</m:t>
            </m:r>
          </m:sub>
        </m:sSub>
      </m:oMath>
      <w:r w:rsidRPr="00280647">
        <w:rPr>
          <w:rFonts w:ascii="Arial" w:hAnsi="Arial" w:cs="Arial"/>
          <w:sz w:val="22"/>
          <w:szCs w:val="22"/>
        </w:rPr>
        <w:t xml:space="preserve"> was balanced using the </w:t>
      </w:r>
      <w:r>
        <w:rPr>
          <w:rFonts w:ascii="Arial" w:hAnsi="Arial" w:cs="Arial"/>
          <w:sz w:val="22"/>
          <w:szCs w:val="22"/>
        </w:rPr>
        <w:t>Message Passing</w:t>
      </w:r>
      <w:r w:rsidRPr="00280647">
        <w:rPr>
          <w:rFonts w:ascii="Arial" w:hAnsi="Arial" w:cs="Arial"/>
          <w:sz w:val="22"/>
          <w:szCs w:val="22"/>
        </w:rPr>
        <w:t xml:space="preserve"> algorithm</w:t>
      </w:r>
      <w:r>
        <w:rPr>
          <w:rFonts w:ascii="Arial" w:hAnsi="Arial" w:cs="Arial"/>
          <w:sz w:val="22"/>
          <w:szCs w:val="22"/>
        </w:rPr>
        <w:t xml:space="preserve"> (the MPO step)</w:t>
      </w:r>
      <w:r w:rsidRPr="00280647">
        <w:rPr>
          <w:rFonts w:ascii="Arial" w:hAnsi="Arial" w:cs="Arial"/>
          <w:sz w:val="22"/>
          <w:szCs w:val="22"/>
        </w:rPr>
        <w:t xml:space="preserve">, ensuring equal input and output fluxes for each factor node. From this, the non-linear relationships between observed data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j</m:t>
            </m:r>
          </m:sub>
        </m:sSub>
      </m:oMath>
      <w:r w:rsidRPr="00280647">
        <w:rPr>
          <w:rFonts w:ascii="Arial" w:hAnsi="Arial" w:cs="Arial"/>
          <w:sz w:val="22"/>
          <w:szCs w:val="22"/>
        </w:rPr>
        <w:t xml:space="preserve"> and fluxes </w:t>
      </w:r>
      <m:oMath>
        <m:sSub>
          <m:sSubPr>
            <m:ctrlPr>
              <w:rPr>
                <w:rFonts w:ascii="Cambria Math" w:hAnsi="Cambria Math" w:cs="Arial"/>
                <w:i/>
                <w:sz w:val="22"/>
                <w:szCs w:val="22"/>
              </w:rPr>
            </m:ctrlPr>
          </m:sSubPr>
          <m:e>
            <m:r>
              <w:rPr>
                <w:rFonts w:ascii="Cambria Math" w:hAnsi="Cambria Math" w:cs="Arial"/>
                <w:sz w:val="22"/>
                <w:szCs w:val="22"/>
              </w:rPr>
              <m:t>Y</m:t>
            </m:r>
          </m:e>
          <m:sub>
            <m:r>
              <w:rPr>
                <w:rFonts w:ascii="Cambria Math" w:hAnsi="Cambria Math" w:cs="Arial"/>
                <w:sz w:val="22"/>
                <w:szCs w:val="22"/>
              </w:rPr>
              <m:t>j</m:t>
            </m:r>
          </m:sub>
        </m:sSub>
      </m:oMath>
      <w:r w:rsidRPr="00280647">
        <w:rPr>
          <w:rFonts w:ascii="Arial" w:hAnsi="Arial" w:cs="Arial"/>
          <w:sz w:val="22"/>
          <w:szCs w:val="22"/>
        </w:rPr>
        <w:t xml:space="preserve"> were modeled using two non-linear functions (NLFs). These functions enabled backward simulations to generate </w:t>
      </w:r>
      <w:r w:rsidRPr="00280647">
        <w:rPr>
          <w:rFonts w:ascii="Arial" w:hAnsi="Arial" w:cs="Arial"/>
          <w:sz w:val="22"/>
          <w:szCs w:val="22"/>
        </w:rPr>
        <w:lastRenderedPageBreak/>
        <w:t xml:space="preserve">plausible observations under different scenarios. Random values in the resulting </w:t>
      </w:r>
      <m:oMath>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j</m:t>
            </m:r>
          </m:sub>
        </m:sSub>
      </m:oMath>
      <w:r w:rsidRPr="00280647">
        <w:rPr>
          <w:rFonts w:ascii="Arial" w:hAnsi="Arial" w:cs="Arial"/>
          <w:sz w:val="22"/>
          <w:szCs w:val="22"/>
        </w:rPr>
        <w:t xml:space="preserve"> were set to zero to introduce data sparsity, after which the directed factor graph and simulated data were used to evaluate the methods’ accuracy in recovering the true flux values.</w:t>
      </w:r>
    </w:p>
    <w:p w14:paraId="2A6FFEE1" w14:textId="77777777" w:rsidR="00933192" w:rsidRPr="00280647" w:rsidRDefault="00933192" w:rsidP="00933192">
      <w:pPr>
        <w:pStyle w:val="NormalWeb"/>
        <w:spacing w:before="0" w:beforeAutospacing="0" w:after="0" w:afterAutospacing="0"/>
        <w:ind w:firstLine="420"/>
        <w:contextualSpacing/>
        <w:rPr>
          <w:rFonts w:ascii="Arial" w:hAnsi="Arial" w:cs="Arial"/>
          <w:sz w:val="22"/>
          <w:szCs w:val="22"/>
        </w:rPr>
      </w:pPr>
      <w:r w:rsidRPr="00280647">
        <w:rPr>
          <w:rFonts w:ascii="Arial" w:hAnsi="Arial" w:cs="Arial"/>
          <w:sz w:val="22"/>
          <w:szCs w:val="22"/>
        </w:rPr>
        <w:t xml:space="preserve">To assess the robustness and effectiveness of MPSL, experiments were conducted on synthetic data with varying levels of error, mimicking real-world data imperfections. </w:t>
      </w:r>
      <w:r>
        <w:rPr>
          <w:rFonts w:ascii="Arial" w:hAnsi="Arial" w:cs="Arial"/>
          <w:sz w:val="22"/>
          <w:szCs w:val="22"/>
        </w:rPr>
        <w:t xml:space="preserve">We observed that </w:t>
      </w:r>
      <w:r w:rsidRPr="00280647">
        <w:rPr>
          <w:rFonts w:ascii="Arial" w:hAnsi="Arial" w:cs="Arial"/>
          <w:sz w:val="22"/>
          <w:szCs w:val="22"/>
        </w:rPr>
        <w:t>MPSL consistently produced results with high cosine similarity to the target configurations, underscoring its reliability (see Fig</w:t>
      </w:r>
      <w:r>
        <w:rPr>
          <w:rFonts w:ascii="Arial" w:hAnsi="Arial" w:cs="Arial"/>
          <w:sz w:val="22"/>
          <w:szCs w:val="22"/>
        </w:rPr>
        <w:t>ure</w:t>
      </w:r>
      <w:r w:rsidRPr="00280647">
        <w:rPr>
          <w:rFonts w:ascii="Arial" w:hAnsi="Arial" w:cs="Arial"/>
          <w:sz w:val="22"/>
          <w:szCs w:val="22"/>
        </w:rPr>
        <w:t xml:space="preserve"> </w:t>
      </w:r>
      <w:r>
        <w:rPr>
          <w:rFonts w:ascii="Arial" w:hAnsi="Arial" w:cs="Arial"/>
          <w:sz w:val="22"/>
          <w:szCs w:val="22"/>
        </w:rPr>
        <w:t>1SI of supplementary information</w:t>
      </w:r>
      <w:r w:rsidRPr="00280647">
        <w:rPr>
          <w:rFonts w:ascii="Arial" w:hAnsi="Arial" w:cs="Arial"/>
          <w:sz w:val="22"/>
          <w:szCs w:val="22"/>
        </w:rPr>
        <w:t xml:space="preserve"> a-1, b-1, c-1, d-1). The algorithm's ability to maintain high fidelity in outcomes, even with data noise, highlights its potential for broader application in graph-based optimization tasks. The performance of MPSL was further analyzed across different learning rates and directed factor graphs, ranging from simple to complex. The results showed a consistent decrease in imbalance loss and an increase in cosine similarity (Fig</w:t>
      </w:r>
      <w:r>
        <w:rPr>
          <w:rFonts w:ascii="Arial" w:hAnsi="Arial" w:cs="Arial"/>
          <w:sz w:val="22"/>
          <w:szCs w:val="22"/>
        </w:rPr>
        <w:t>ure</w:t>
      </w:r>
      <w:r w:rsidRPr="00280647">
        <w:rPr>
          <w:rFonts w:ascii="Arial" w:hAnsi="Arial" w:cs="Arial"/>
          <w:sz w:val="22"/>
          <w:szCs w:val="22"/>
        </w:rPr>
        <w:t xml:space="preserve"> </w:t>
      </w:r>
      <w:r>
        <w:rPr>
          <w:rFonts w:ascii="Arial" w:hAnsi="Arial" w:cs="Arial"/>
          <w:sz w:val="22"/>
          <w:szCs w:val="22"/>
        </w:rPr>
        <w:t xml:space="preserve">1SI </w:t>
      </w:r>
      <w:r w:rsidRPr="00280647">
        <w:rPr>
          <w:rFonts w:ascii="Arial" w:hAnsi="Arial" w:cs="Arial"/>
          <w:sz w:val="22"/>
          <w:szCs w:val="22"/>
        </w:rPr>
        <w:t>a-2, a-3, a-4, b-2, b-3, b-4, c-2, c-3, c-4, d-2, d-3, d-4), confirming MPSL’s robustness and adaptability.</w:t>
      </w:r>
    </w:p>
    <w:p w14:paraId="2591D7E1" w14:textId="77777777" w:rsidR="00933192" w:rsidRDefault="00933192" w:rsidP="00933192">
      <w:pPr>
        <w:spacing w:before="100" w:beforeAutospacing="1" w:after="100" w:afterAutospacing="1"/>
        <w:rPr>
          <w:rFonts w:ascii="Times New Roman" w:hAnsi="Times New Roman" w:cs="Times New Roman"/>
        </w:rPr>
      </w:pPr>
      <w:r w:rsidRPr="004E3163">
        <w:rPr>
          <w:rFonts w:ascii="Times New Roman" w:hAnsi="Times New Roman" w:cs="Times New Roman"/>
          <w:noProof/>
        </w:rPr>
        <w:drawing>
          <wp:inline distT="0" distB="0" distL="0" distR="0" wp14:anchorId="32705651" wp14:editId="1AAC3C51">
            <wp:extent cx="5274310" cy="5495763"/>
            <wp:effectExtent l="0" t="0" r="2540" b="0"/>
            <wp:docPr id="2471155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115589" name="Picture 247115589"/>
                    <pic:cNvPicPr/>
                  </pic:nvPicPr>
                  <pic:blipFill>
                    <a:blip r:embed="rId18">
                      <a:extLst>
                        <a:ext uri="{28A0092B-C50C-407E-A947-70E740481C1C}">
                          <a14:useLocalDpi xmlns:a14="http://schemas.microsoft.com/office/drawing/2010/main" val="0"/>
                        </a:ext>
                      </a:extLst>
                    </a:blip>
                    <a:stretch>
                      <a:fillRect/>
                    </a:stretch>
                  </pic:blipFill>
                  <pic:spPr>
                    <a:xfrm>
                      <a:off x="0" y="0"/>
                      <a:ext cx="5274310" cy="5495763"/>
                    </a:xfrm>
                    <a:prstGeom prst="rect">
                      <a:avLst/>
                    </a:prstGeom>
                  </pic:spPr>
                </pic:pic>
              </a:graphicData>
            </a:graphic>
          </wp:inline>
        </w:drawing>
      </w:r>
    </w:p>
    <w:p w14:paraId="7604BBA3" w14:textId="5DB2CC47" w:rsidR="00933192" w:rsidRPr="00933192" w:rsidRDefault="00933192" w:rsidP="00933192">
      <w:pPr>
        <w:spacing w:before="100" w:beforeAutospacing="1" w:after="100" w:afterAutospacing="1"/>
        <w:rPr>
          <w:rFonts w:ascii="Times New Roman" w:hAnsi="Times New Roman" w:cs="Times New Roman"/>
          <w:b/>
          <w:bCs/>
        </w:rPr>
      </w:pPr>
      <w:r w:rsidRPr="00280647">
        <w:rPr>
          <w:rFonts w:ascii="Times New Roman" w:hAnsi="Times New Roman" w:cs="Times New Roman"/>
          <w:b/>
          <w:bCs/>
        </w:rPr>
        <w:lastRenderedPageBreak/>
        <w:t>Figure 1</w:t>
      </w:r>
      <w:r>
        <w:rPr>
          <w:rFonts w:ascii="Times New Roman" w:hAnsi="Times New Roman" w:cs="Times New Roman"/>
          <w:b/>
          <w:bCs/>
        </w:rPr>
        <w:t>SI</w:t>
      </w:r>
      <w:r w:rsidRPr="00280647">
        <w:rPr>
          <w:rFonts w:ascii="Times New Roman" w:hAnsi="Times New Roman" w:cs="Times New Roman"/>
          <w:b/>
          <w:bCs/>
        </w:rPr>
        <w:t xml:space="preserve"> of Supplementary Information.</w:t>
      </w:r>
      <w:r w:rsidRPr="00280647">
        <w:t xml:space="preserve"> </w:t>
      </w:r>
      <w:r w:rsidRPr="00280647">
        <w:rPr>
          <w:rFonts w:ascii="Times New Roman" w:hAnsi="Times New Roman" w:cs="Times New Roman"/>
        </w:rPr>
        <w:t xml:space="preserve">Experiments </w:t>
      </w:r>
      <w:r>
        <w:rPr>
          <w:rFonts w:ascii="Times New Roman" w:hAnsi="Times New Roman" w:cs="Times New Roman"/>
        </w:rPr>
        <w:t>of the</w:t>
      </w:r>
      <w:r w:rsidRPr="00280647">
        <w:rPr>
          <w:rFonts w:ascii="Times New Roman" w:hAnsi="Times New Roman" w:cs="Times New Roman"/>
        </w:rPr>
        <w:t xml:space="preserve"> Effectiveness, Robustness, Running Time of MPSL on four Directed Factor Graphs</w:t>
      </w:r>
      <w:r>
        <w:rPr>
          <w:rFonts w:ascii="Times New Roman" w:hAnsi="Times New Roman" w:cs="Times New Roman"/>
        </w:rPr>
        <w:t>.</w:t>
      </w:r>
    </w:p>
    <w:p w14:paraId="2E9F524E" w14:textId="77777777" w:rsidR="00933192" w:rsidRPr="00206781" w:rsidRDefault="00933192" w:rsidP="00933192">
      <w:pPr>
        <w:rPr>
          <w:rFonts w:ascii="Arial" w:hAnsi="Arial" w:cs="Arial"/>
          <w:b/>
          <w:bCs/>
          <w:sz w:val="22"/>
        </w:rPr>
      </w:pPr>
      <w:r w:rsidRPr="00206781">
        <w:rPr>
          <w:rFonts w:ascii="Arial" w:hAnsi="Arial" w:cs="Arial"/>
          <w:b/>
          <w:bCs/>
          <w:sz w:val="22"/>
        </w:rPr>
        <w:t>Statistical consideration of the necessary sample size for MPSL</w:t>
      </w:r>
    </w:p>
    <w:p w14:paraId="31253801" w14:textId="7B4936D4" w:rsidR="00933192" w:rsidRPr="0009427D" w:rsidRDefault="00933192" w:rsidP="00933192">
      <w:pPr>
        <w:contextualSpacing/>
        <w:rPr>
          <w:rFonts w:ascii="Arial" w:hAnsi="Arial" w:cs="Arial"/>
          <w:color w:val="000000" w:themeColor="text1"/>
          <w:sz w:val="22"/>
        </w:rPr>
      </w:pPr>
      <w:r>
        <w:rPr>
          <w:rFonts w:ascii="Arial" w:hAnsi="Arial" w:cs="Arial"/>
          <w:b/>
          <w:bCs/>
          <w:color w:val="000000" w:themeColor="text1"/>
          <w:sz w:val="22"/>
        </w:rPr>
        <w:tab/>
      </w:r>
      <w:r w:rsidRPr="0009427D">
        <w:rPr>
          <w:rFonts w:ascii="Arial" w:hAnsi="Arial" w:cs="Arial"/>
          <w:color w:val="000000" w:themeColor="text1"/>
          <w:sz w:val="22"/>
        </w:rPr>
        <w:t xml:space="preserve">Our previous studies demonstrated that scFEA could be robustly applied to data sets of small or moderate sample sizes. The empirical experience is that the required sample size should be above 5-8 times the number of modules of the analyzed network. For a rough estimation, each module involves six intermediate neurons (in the supervised neural network), where n is the number of genes in each module, and each intermediate metabolite adds a one-dimensional linear constraint to the solution space. The new MPSL is more robust to overfit than scFEA. Thus, input data </w:t>
      </w:r>
      <w:r>
        <w:rPr>
          <w:rFonts w:ascii="Arial" w:hAnsi="Arial" w:cs="Arial"/>
          <w:color w:val="000000" w:themeColor="text1"/>
          <w:sz w:val="22"/>
        </w:rPr>
        <w:t xml:space="preserve">with a sample size of </w:t>
      </w:r>
      <w:r w:rsidRPr="0009427D">
        <w:rPr>
          <w:rFonts w:ascii="Arial" w:hAnsi="Arial" w:cs="Arial"/>
          <w:color w:val="000000" w:themeColor="text1"/>
          <w:sz w:val="22"/>
        </w:rPr>
        <w:t xml:space="preserve">5-8 times the number of modules should ensure a good statistical power to </w:t>
      </w:r>
      <w:r>
        <w:rPr>
          <w:rFonts w:ascii="Arial" w:hAnsi="Arial" w:cs="Arial"/>
          <w:color w:val="000000" w:themeColor="text1"/>
          <w:sz w:val="22"/>
        </w:rPr>
        <w:t>fit</w:t>
      </w:r>
      <w:r w:rsidRPr="0009427D">
        <w:rPr>
          <w:rFonts w:ascii="Arial" w:hAnsi="Arial" w:cs="Arial"/>
          <w:color w:val="000000" w:themeColor="text1"/>
          <w:sz w:val="22"/>
        </w:rPr>
        <w:t xml:space="preserve"> the MPSL model.</w:t>
      </w:r>
      <w:r>
        <w:rPr>
          <w:rFonts w:ascii="Arial" w:hAnsi="Arial" w:cs="Arial"/>
          <w:color w:val="000000" w:themeColor="text1"/>
          <w:sz w:val="22"/>
        </w:rPr>
        <w:t xml:space="preserve"> In this study, the MHC I and II module sizes are eight and seven, respectively. Thus, PSAA could be applied to a data set with at least 40 samples.</w:t>
      </w:r>
    </w:p>
    <w:p w14:paraId="07FFC6A3" w14:textId="4A0DD4CF" w:rsidR="00582272" w:rsidRDefault="00582272" w:rsidP="00AE6C33">
      <w:pPr>
        <w:contextualSpacing/>
        <w:rPr>
          <w:rFonts w:ascii="Times New Roman" w:hAnsi="Times New Roman" w:cs="Times New Roman"/>
          <w:b/>
          <w:bCs/>
          <w:color w:val="000000" w:themeColor="text1"/>
          <w:sz w:val="22"/>
        </w:rPr>
      </w:pPr>
    </w:p>
    <w:p w14:paraId="6C8D7065" w14:textId="4A6022B7" w:rsidR="00684B6C" w:rsidRPr="00206781" w:rsidRDefault="00684B6C" w:rsidP="00684B6C">
      <w:pPr>
        <w:pStyle w:val="ListParagraph"/>
        <w:adjustRightInd w:val="0"/>
        <w:ind w:left="0"/>
        <w:jc w:val="both"/>
        <w:rPr>
          <w:rFonts w:ascii="Arial" w:hAnsi="Arial" w:cs="Arial"/>
          <w:b/>
          <w:bCs/>
          <w:sz w:val="22"/>
          <w:szCs w:val="22"/>
        </w:rPr>
      </w:pPr>
      <w:r w:rsidRPr="00206781">
        <w:rPr>
          <w:rFonts w:ascii="Arial" w:hAnsi="Arial" w:cs="Arial"/>
          <w:b/>
          <w:bCs/>
          <w:color w:val="000000" w:themeColor="text1"/>
          <w:sz w:val="22"/>
        </w:rPr>
        <w:t>Determination of hyperparameter</w:t>
      </w:r>
      <w:r w:rsidRPr="00206781">
        <w:rPr>
          <w:rFonts w:ascii="Arial" w:hAnsi="Arial" w:cs="Arial"/>
          <w:b/>
          <w:bCs/>
          <w:sz w:val="22"/>
          <w:szCs w:val="22"/>
        </w:rPr>
        <w:t xml:space="preserve"> </w:t>
      </w:r>
      <m:oMath>
        <m:sSub>
          <m:sSubPr>
            <m:ctrlPr>
              <w:rPr>
                <w:rFonts w:ascii="Cambria Math" w:hAnsi="Cambria Math" w:cs="Arial"/>
                <w:b/>
                <w:bCs/>
                <w:sz w:val="22"/>
                <w:szCs w:val="22"/>
              </w:rPr>
            </m:ctrlPr>
          </m:sSubPr>
          <m:e>
            <m:r>
              <m:rPr>
                <m:sty m:val="b"/>
              </m:rPr>
              <w:rPr>
                <w:rFonts w:ascii="Cambria Math" w:hAnsi="Cambria Math" w:cs="Arial"/>
                <w:sz w:val="22"/>
                <w:szCs w:val="22"/>
              </w:rPr>
              <m:t>γ</m:t>
            </m:r>
          </m:e>
          <m:sub>
            <m:r>
              <m:rPr>
                <m:sty m:val="b"/>
              </m:rPr>
              <w:rPr>
                <w:rFonts w:ascii="Cambria Math" w:hAnsi="Cambria Math" w:cs="Arial"/>
                <w:sz w:val="22"/>
                <w:szCs w:val="22"/>
              </w:rPr>
              <m:t>k</m:t>
            </m:r>
          </m:sub>
        </m:sSub>
      </m:oMath>
      <w:r w:rsidRPr="00206781">
        <w:rPr>
          <w:rFonts w:ascii="Arial" w:hAnsi="Arial" w:cs="Arial"/>
          <w:b/>
          <w:bCs/>
          <w:sz w:val="22"/>
          <w:szCs w:val="22"/>
        </w:rPr>
        <w:t xml:space="preserve"> </w:t>
      </w:r>
    </w:p>
    <w:p w14:paraId="091DD033" w14:textId="09A9B0C4" w:rsidR="00684B6C" w:rsidRDefault="00684B6C" w:rsidP="00684B6C">
      <w:pPr>
        <w:pStyle w:val="ListParagraph"/>
        <w:adjustRightInd w:val="0"/>
        <w:ind w:left="0" w:firstLine="420"/>
        <w:jc w:val="both"/>
        <w:rPr>
          <w:rFonts w:ascii="Arial" w:hAnsi="Arial" w:cs="Arial"/>
          <w:sz w:val="22"/>
          <w:szCs w:val="22"/>
        </w:rPr>
      </w:pPr>
      <w:r>
        <w:rPr>
          <w:rFonts w:ascii="Arial" w:hAnsi="Arial" w:cs="Arial"/>
          <w:sz w:val="22"/>
          <w:szCs w:val="22"/>
        </w:rPr>
        <w:t xml:space="preserve">The </w:t>
      </w:r>
      <w:r w:rsidRPr="00AA5953">
        <w:rPr>
          <w:rFonts w:ascii="Arial" w:hAnsi="Arial" w:cs="Arial"/>
          <w:color w:val="000000" w:themeColor="text1"/>
          <w:sz w:val="22"/>
        </w:rPr>
        <w:t>hyperparameter</w:t>
      </w:r>
      <w:r w:rsidRPr="00AA5953">
        <w:rPr>
          <w:rFonts w:ascii="Arial" w:hAnsi="Arial" w:cs="Arial"/>
          <w:i/>
          <w:iCs/>
          <w:sz w:val="22"/>
          <w:szCs w:val="22"/>
        </w:rPr>
        <w:t xml:space="preserve">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sidRPr="00AA5953">
        <w:rPr>
          <w:rFonts w:ascii="Arial" w:hAnsi="Arial" w:cs="Arial"/>
          <w:i/>
          <w:iCs/>
          <w:sz w:val="22"/>
          <w:szCs w:val="22"/>
        </w:rPr>
        <w:t xml:space="preserve"> </w:t>
      </w:r>
      <w:r>
        <w:rPr>
          <w:rFonts w:ascii="Arial" w:hAnsi="Arial" w:cs="Arial"/>
          <w:sz w:val="22"/>
          <w:szCs w:val="22"/>
        </w:rPr>
        <w:t xml:space="preserve">in the PSAA model regularizes the balance between the influx and outflux of intermediate substrate </w:t>
      </w:r>
      <m:oMath>
        <m:r>
          <w:rPr>
            <w:rFonts w:ascii="Cambria Math" w:hAnsi="Cambria Math" w:cs="Arial"/>
            <w:sz w:val="22"/>
            <w:szCs w:val="22"/>
          </w:rPr>
          <m:t>k</m:t>
        </m:r>
      </m:oMath>
      <w:r>
        <w:rPr>
          <w:rFonts w:ascii="Arial" w:hAnsi="Arial" w:cs="Arial"/>
          <w:iCs/>
          <w:sz w:val="22"/>
          <w:szCs w:val="22"/>
        </w:rPr>
        <w:t xml:space="preserve">. Adjusting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Pr>
          <w:rFonts w:ascii="Arial" w:hAnsi="Arial" w:cs="Arial"/>
          <w:iCs/>
          <w:sz w:val="22"/>
          <w:szCs w:val="22"/>
        </w:rPr>
        <w:t xml:space="preserve"> enables certain imbalance of intermediate substrates. This assumption is necessary for large molecule processing pathways because some reaction steps are not substrate-specific, like the processing of MHC complex in ER. Our empirical run on multiple data sets suggests that the PSAA algorithm is robust to varied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Pr>
          <w:rFonts w:ascii="Arial" w:hAnsi="Arial" w:cs="Arial"/>
          <w:iCs/>
          <w:sz w:val="22"/>
          <w:szCs w:val="22"/>
        </w:rPr>
        <w:t xml:space="preserve"> when all the reactions in the system are substrate specific and the variation of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sidRPr="00AA5953">
        <w:rPr>
          <w:rFonts w:ascii="Arial" w:hAnsi="Arial" w:cs="Arial"/>
          <w:i/>
          <w:iCs/>
          <w:sz w:val="22"/>
          <w:szCs w:val="22"/>
        </w:rPr>
        <w:t xml:space="preserve"> </w:t>
      </w:r>
      <w:r>
        <w:rPr>
          <w:rFonts w:ascii="Arial" w:hAnsi="Arial" w:cs="Arial"/>
          <w:iCs/>
          <w:sz w:val="22"/>
          <w:szCs w:val="22"/>
        </w:rPr>
        <w:t xml:space="preserve">is within a certain range (the fold-change between the minimal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Pr>
          <w:rFonts w:ascii="Arial" w:hAnsi="Arial" w:cs="Arial"/>
          <w:iCs/>
          <w:sz w:val="22"/>
          <w:szCs w:val="22"/>
        </w:rPr>
        <w:t xml:space="preserve"> and maximal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Pr>
          <w:rFonts w:ascii="Arial" w:hAnsi="Arial" w:cs="Arial"/>
          <w:iCs/>
          <w:sz w:val="22"/>
          <w:szCs w:val="22"/>
        </w:rPr>
        <w:t xml:space="preserve"> is within 10 times).</w:t>
      </w:r>
    </w:p>
    <w:p w14:paraId="57C8F198" w14:textId="490BACAE" w:rsidR="00684B6C" w:rsidRPr="00F3749E" w:rsidRDefault="00684B6C" w:rsidP="00684B6C">
      <w:pPr>
        <w:pStyle w:val="ListParagraph"/>
        <w:adjustRightInd w:val="0"/>
        <w:ind w:left="0" w:firstLine="420"/>
        <w:jc w:val="both"/>
      </w:pPr>
      <w:r>
        <w:rPr>
          <w:rFonts w:ascii="Arial" w:hAnsi="Arial" w:cs="Arial"/>
          <w:sz w:val="22"/>
          <w:szCs w:val="22"/>
        </w:rPr>
        <w:t xml:space="preserve">When there are non-substrate-specific reactions, to identify the optimal </w:t>
      </w:r>
      <m:oMath>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oMath>
      <w:r>
        <w:rPr>
          <w:rFonts w:ascii="Arial" w:hAnsi="Arial" w:cs="Arial"/>
          <w:iCs/>
          <w:sz w:val="22"/>
          <w:szCs w:val="22"/>
        </w:rPr>
        <w:t xml:space="preserve">, different </w:t>
      </w:r>
      <m:oMath>
        <m:d>
          <m:dPr>
            <m:begChr m:val="{"/>
            <m:endChr m:val="}"/>
            <m:ctrlPr>
              <w:rPr>
                <w:rFonts w:ascii="Cambria Math" w:hAnsi="Cambria Math" w:cs="Arial"/>
                <w:i/>
                <w:iCs/>
                <w:sz w:val="22"/>
                <w:szCs w:val="22"/>
              </w:rPr>
            </m:ctrlPr>
          </m:dPr>
          <m:e>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e>
        </m:d>
      </m:oMath>
      <w:r>
        <w:rPr>
          <w:rFonts w:ascii="Arial" w:hAnsi="Arial" w:cs="Arial"/>
          <w:iCs/>
          <w:sz w:val="22"/>
          <w:szCs w:val="22"/>
        </w:rPr>
        <w:t xml:space="preserve"> should be evaluated under the same sum of </w:t>
      </w:r>
      <m:oMath>
        <m:d>
          <m:dPr>
            <m:begChr m:val="{"/>
            <m:endChr m:val="}"/>
            <m:ctrlPr>
              <w:rPr>
                <w:rFonts w:ascii="Cambria Math" w:hAnsi="Cambria Math" w:cs="Arial"/>
                <w:i/>
                <w:iCs/>
                <w:sz w:val="22"/>
                <w:szCs w:val="22"/>
              </w:rPr>
            </m:ctrlPr>
          </m:dPr>
          <m:e>
            <m:sSub>
              <m:sSubPr>
                <m:ctrlPr>
                  <w:rPr>
                    <w:rFonts w:ascii="Cambria Math" w:hAnsi="Cambria Math" w:cs="Arial"/>
                    <w:i/>
                    <w:iCs/>
                    <w:sz w:val="22"/>
                    <w:szCs w:val="22"/>
                  </w:rPr>
                </m:ctrlPr>
              </m:sSubPr>
              <m:e>
                <m:r>
                  <w:rPr>
                    <w:rFonts w:ascii="Cambria Math" w:hAnsi="Cambria Math" w:cs="Arial"/>
                    <w:sz w:val="22"/>
                    <w:szCs w:val="22"/>
                  </w:rPr>
                  <m:t>γ</m:t>
                </m:r>
              </m:e>
              <m:sub>
                <m:r>
                  <w:rPr>
                    <w:rFonts w:ascii="Cambria Math" w:hAnsi="Cambria Math" w:cs="Arial"/>
                    <w:sz w:val="22"/>
                    <w:szCs w:val="22"/>
                  </w:rPr>
                  <m:t>k</m:t>
                </m:r>
              </m:sub>
            </m:sSub>
          </m:e>
        </m:d>
      </m:oMath>
      <w:r w:rsidRPr="00F3749E">
        <w:t xml:space="preserve">, i.e. fixed </w:t>
      </w:r>
      <m:oMath>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γ</m:t>
                </m:r>
              </m:e>
              <m:sub>
                <m:r>
                  <w:rPr>
                    <w:rFonts w:ascii="Cambria Math" w:hAnsi="Cambria Math"/>
                  </w:rPr>
                  <m:t>k</m:t>
                </m:r>
              </m:sub>
            </m:sSub>
          </m:e>
        </m:nary>
      </m:oMath>
      <w:r w:rsidRPr="00F3749E">
        <w:t xml:space="preserve">. Then the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k</m:t>
                </m:r>
              </m:sub>
            </m:sSub>
          </m:e>
        </m:d>
      </m:oMath>
      <w:r w:rsidRPr="00F3749E">
        <w:t xml:space="preserve"> corresponds to the minimal flux balance loss (weighted by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k</m:t>
                </m:r>
              </m:sub>
            </m:sSub>
          </m:e>
        </m:d>
      </m:oMath>
      <w:r w:rsidRPr="00F3749E">
        <w:t xml:space="preserve">) derived under cross validation will be selected as the optimal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k</m:t>
                </m:r>
              </m:sub>
            </m:sSub>
          </m:e>
        </m:d>
      </m:oMath>
      <w:r w:rsidRPr="00F3749E">
        <w:t>.</w:t>
      </w:r>
    </w:p>
    <w:p w14:paraId="52E92F7B" w14:textId="77777777" w:rsidR="00684B6C" w:rsidRPr="00F3749E" w:rsidRDefault="00684B6C" w:rsidP="00684B6C">
      <w:pPr>
        <w:pStyle w:val="ListParagraph"/>
        <w:adjustRightInd w:val="0"/>
        <w:ind w:left="0" w:firstLine="420"/>
        <w:jc w:val="both"/>
      </w:pPr>
      <w:r w:rsidRPr="00F3749E">
        <w:t xml:space="preserve">In the ROSMAP analysis, we shifted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k</m:t>
                </m:r>
              </m:sub>
            </m:sSub>
          </m:e>
        </m:d>
      </m:oMath>
      <w:r w:rsidRPr="00F3749E">
        <w:t xml:space="preserve"> to demonstrate the inconsistency between the pre-assumed network and the observed data. The underlying idea of this analysis is that if the data could be fit to the pre-assumed network, there must exists a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γ</m:t>
                </m:r>
              </m:e>
              <m:sub>
                <m:r>
                  <w:rPr>
                    <w:rFonts w:ascii="Cambria Math" w:hAnsi="Cambria Math"/>
                  </w:rPr>
                  <m:t>k</m:t>
                </m:r>
              </m:sub>
            </m:sSub>
          </m:e>
        </m:d>
      </m:oMath>
      <w:r w:rsidRPr="00F3749E">
        <w:t>, by which a balanced approximation of the network flux could be computed.</w:t>
      </w:r>
    </w:p>
    <w:p w14:paraId="57B57533" w14:textId="77777777" w:rsidR="00F3749E" w:rsidRPr="00206781" w:rsidRDefault="00F3749E" w:rsidP="00F3749E">
      <w:pPr>
        <w:adjustRightInd w:val="0"/>
        <w:rPr>
          <w:rFonts w:ascii="Arial" w:hAnsi="Arial" w:cs="Arial"/>
          <w:sz w:val="22"/>
        </w:rPr>
      </w:pPr>
    </w:p>
    <w:p w14:paraId="3C83E846" w14:textId="004E4B09" w:rsidR="00F3749E" w:rsidRPr="00206781" w:rsidRDefault="00F3749E" w:rsidP="00F3749E">
      <w:pPr>
        <w:adjustRightInd w:val="0"/>
        <w:rPr>
          <w:rFonts w:ascii="Arial" w:hAnsi="Arial" w:cs="Arial"/>
          <w:b/>
          <w:bCs/>
          <w:sz w:val="22"/>
        </w:rPr>
      </w:pPr>
      <w:r w:rsidRPr="00206781">
        <w:rPr>
          <w:rFonts w:ascii="Arial" w:hAnsi="Arial" w:cs="Arial"/>
          <w:b/>
          <w:bCs/>
          <w:sz w:val="22"/>
        </w:rPr>
        <w:t>Systems Biology Considerations of</w:t>
      </w:r>
      <w:r w:rsidR="00206781" w:rsidRPr="00206781">
        <w:rPr>
          <w:rFonts w:ascii="Arial" w:hAnsi="Arial" w:cs="Arial"/>
          <w:b/>
          <w:bCs/>
          <w:sz w:val="22"/>
        </w:rPr>
        <w:t xml:space="preserve"> PSAA and Constrained Learning</w:t>
      </w:r>
    </w:p>
    <w:p w14:paraId="6DBCF70C" w14:textId="2A128064" w:rsidR="00206781" w:rsidRPr="00206781" w:rsidRDefault="00206781" w:rsidP="00206781">
      <w:pPr>
        <w:pStyle w:val="ListParagraph"/>
        <w:snapToGrid w:val="0"/>
        <w:ind w:left="0" w:firstLine="420"/>
        <w:contextualSpacing w:val="0"/>
        <w:jc w:val="both"/>
        <w:rPr>
          <w:rFonts w:ascii="Arial" w:hAnsi="Arial" w:cs="Arial"/>
        </w:rPr>
      </w:pPr>
      <w:r>
        <w:rPr>
          <w:rFonts w:ascii="Arial" w:hAnsi="Arial" w:cs="Arial"/>
        </w:rPr>
        <w:t>To illustrate the underlying idea of constrained learning (a new type of physics informed neural network), w</w:t>
      </w:r>
      <w:r w:rsidRPr="007A1E92">
        <w:rPr>
          <w:rFonts w:ascii="Arial" w:hAnsi="Arial" w:cs="Arial"/>
        </w:rPr>
        <w:t xml:space="preserve">e utilize a general representation of a biological system, denoted as </w:t>
      </w:r>
      <m:oMath>
        <m:r>
          <w:rPr>
            <w:rFonts w:ascii="Cambria Math" w:hAnsi="Cambria Math" w:cs="Arial"/>
          </w:rPr>
          <m:t>S=</m:t>
        </m:r>
        <m:d>
          <m:dPr>
            <m:ctrlPr>
              <w:rPr>
                <w:rFonts w:ascii="Cambria Math" w:hAnsi="Cambria Math" w:cs="Arial"/>
                <w:i/>
              </w:rPr>
            </m:ctrlPr>
          </m:dPr>
          <m:e>
            <m:r>
              <w:rPr>
                <w:rFonts w:ascii="Cambria Math" w:hAnsi="Cambria Math" w:cs="Arial"/>
              </w:rPr>
              <m:t>E,R,</m:t>
            </m:r>
            <m:r>
              <m:rPr>
                <m:sty m:val="p"/>
              </m:rPr>
              <w:rPr>
                <w:rFonts w:ascii="Cambria Math" w:hAnsi="Cambria Math" w:cs="Arial"/>
              </w:rPr>
              <m:t>Φ</m:t>
            </m:r>
            <m:r>
              <w:rPr>
                <w:rFonts w:ascii="Cambria Math" w:hAnsi="Cambria Math" w:cs="Arial"/>
              </w:rPr>
              <m:t>,</m:t>
            </m:r>
            <m:r>
              <m:rPr>
                <m:sty m:val="p"/>
              </m:rPr>
              <w:rPr>
                <w:rFonts w:ascii="Cambria Math" w:hAnsi="Cambria Math" w:cs="Arial"/>
              </w:rPr>
              <m:t>Θ</m:t>
            </m:r>
          </m:e>
        </m:d>
      </m:oMath>
      <w:r w:rsidRPr="007A1E92">
        <w:rPr>
          <w:rFonts w:ascii="Arial" w:hAnsi="Arial" w:cs="Arial"/>
        </w:rPr>
        <w:t xml:space="preserve">, in which </w:t>
      </w:r>
      <m:oMath>
        <m:r>
          <w:rPr>
            <w:rFonts w:ascii="Cambria Math" w:hAnsi="Cambria Math" w:cs="Arial"/>
          </w:rPr>
          <m:t>E,R,</m:t>
        </m:r>
        <m:r>
          <m:rPr>
            <m:sty m:val="p"/>
          </m:rPr>
          <w:rPr>
            <w:rFonts w:ascii="Cambria Math" w:hAnsi="Cambria Math" w:cs="Arial"/>
          </w:rPr>
          <m:t>Φ</m:t>
        </m:r>
        <m:r>
          <w:rPr>
            <w:rFonts w:ascii="Cambria Math" w:hAnsi="Cambria Math" w:cs="Arial"/>
          </w:rPr>
          <m:t>,</m:t>
        </m:r>
        <m:r>
          <m:rPr>
            <m:sty m:val="p"/>
          </m:rPr>
          <w:rPr>
            <w:rFonts w:ascii="Cambria Math" w:hAnsi="Cambria Math" w:cs="Arial"/>
          </w:rPr>
          <m:t>Θ</m:t>
        </m:r>
      </m:oMath>
      <w:r w:rsidRPr="007A1E92">
        <w:rPr>
          <w:rFonts w:ascii="Arial" w:hAnsi="Arial" w:cs="Arial"/>
        </w:rPr>
        <w:t xml:space="preserve"> represents the molecules (concentration), changing rates of the molecules (</w:t>
      </w:r>
      <w:r>
        <w:rPr>
          <w:rFonts w:ascii="Arial" w:hAnsi="Arial" w:cs="Arial"/>
        </w:rPr>
        <w:t>reaction rate</w:t>
      </w:r>
      <w:r w:rsidRPr="007A1E92">
        <w:rPr>
          <w:rFonts w:ascii="Arial" w:hAnsi="Arial" w:cs="Arial"/>
        </w:rPr>
        <w:t>), dependency among the changing rates (</w:t>
      </w:r>
      <w:r>
        <w:rPr>
          <w:rFonts w:ascii="Arial" w:hAnsi="Arial" w:cs="Arial"/>
        </w:rPr>
        <w:t>like flux balance or other physical laws</w:t>
      </w:r>
      <w:r w:rsidRPr="007A1E92">
        <w:rPr>
          <w:rFonts w:ascii="Arial" w:hAnsi="Arial" w:cs="Arial"/>
        </w:rPr>
        <w:t xml:space="preserve">), and model parameters, respectively. Noted, here </w:t>
      </w:r>
      <m:oMath>
        <m:r>
          <m:rPr>
            <m:scr m:val="script"/>
          </m:rPr>
          <w:rPr>
            <w:rFonts w:ascii="Cambria Math" w:hAnsi="Cambria Math" w:cs="Arial"/>
          </w:rPr>
          <m:t>F</m:t>
        </m:r>
      </m:oMath>
      <w:r w:rsidRPr="007A1E92">
        <w:rPr>
          <w:rFonts w:ascii="Arial" w:hAnsi="Arial" w:cs="Arial"/>
        </w:rPr>
        <w:t xml:space="preserve"> represents a set of functions, each approximate the changing rate of one molecule in </w:t>
      </w:r>
      <m:oMath>
        <m:r>
          <w:rPr>
            <w:rFonts w:ascii="Cambria Math" w:hAnsi="Cambria Math" w:cs="Arial"/>
          </w:rPr>
          <m:t>R</m:t>
        </m:r>
      </m:oMath>
      <w:r w:rsidRPr="007A1E92">
        <w:rPr>
          <w:rFonts w:ascii="Arial" w:hAnsi="Arial" w:cs="Arial"/>
        </w:rPr>
        <w:t xml:space="preserve">. </w:t>
      </w:r>
      <w:r w:rsidRPr="00206781">
        <w:rPr>
          <w:rFonts w:ascii="Arial" w:hAnsi="Arial" w:cs="Arial"/>
        </w:rPr>
        <w:t xml:space="preserve">The goal of </w:t>
      </w:r>
      <w:r>
        <w:rPr>
          <w:rFonts w:ascii="Arial" w:hAnsi="Arial" w:cs="Arial"/>
        </w:rPr>
        <w:t>constrained learning</w:t>
      </w:r>
      <w:r w:rsidRPr="00206781">
        <w:rPr>
          <w:rFonts w:ascii="Arial" w:hAnsi="Arial" w:cs="Arial"/>
        </w:rPr>
        <w:t xml:space="preserve"> is to identify proper functional forms </w:t>
      </w:r>
      <m:oMath>
        <m:r>
          <m:rPr>
            <m:scr m:val="script"/>
          </m:rPr>
          <w:rPr>
            <w:rFonts w:ascii="Cambria Math" w:hAnsi="Cambria Math" w:cs="Arial"/>
          </w:rPr>
          <m:t>F</m:t>
        </m:r>
      </m:oMath>
      <w:r w:rsidRPr="00206781">
        <w:rPr>
          <w:rFonts w:ascii="Arial" w:hAnsi="Arial" w:cs="Arial"/>
        </w:rPr>
        <w:t xml:space="preserve"> and parameters </w:t>
      </w:r>
      <m:oMath>
        <m:sSup>
          <m:sSupPr>
            <m:ctrlPr>
              <w:rPr>
                <w:rFonts w:ascii="Cambria Math" w:hAnsi="Cambria Math" w:cs="Arial"/>
              </w:rPr>
            </m:ctrlPr>
          </m:sSupPr>
          <m:e>
            <m:r>
              <m:rPr>
                <m:sty m:val="p"/>
              </m:rPr>
              <w:rPr>
                <w:rFonts w:ascii="Cambria Math" w:hAnsi="Cambria Math" w:cs="Arial"/>
              </w:rPr>
              <m:t>Θ</m:t>
            </m:r>
          </m:e>
          <m:sup>
            <m:r>
              <m:rPr>
                <m:sty m:val="p"/>
              </m:rPr>
              <w:rPr>
                <w:rFonts w:ascii="Cambria Math" w:hAnsi="Cambria Math" w:cs="Arial"/>
              </w:rPr>
              <m:t>'</m:t>
            </m:r>
          </m:sup>
        </m:sSup>
      </m:oMath>
      <w:r w:rsidRPr="00206781">
        <w:rPr>
          <w:rFonts w:ascii="Arial" w:hAnsi="Arial" w:cs="Arial"/>
        </w:rPr>
        <w:t xml:space="preserve"> that take molecular features observed in an omics data </w:t>
      </w:r>
      <m:oMath>
        <m:r>
          <w:rPr>
            <w:rFonts w:ascii="Cambria Math" w:hAnsi="Cambria Math" w:cs="Arial"/>
          </w:rPr>
          <m:t>D</m:t>
        </m:r>
      </m:oMath>
      <w:r w:rsidRPr="00206781">
        <w:rPr>
          <w:rFonts w:ascii="Arial" w:hAnsi="Arial" w:cs="Arial"/>
        </w:rPr>
        <w:t xml:space="preserve"> as the input, such that </w:t>
      </w:r>
      <m:oMath>
        <m:d>
          <m:dPr>
            <m:begChr m:val="{"/>
            <m:endChr m:val="}"/>
            <m:ctrlPr>
              <w:rPr>
                <w:rFonts w:ascii="Cambria Math" w:hAnsi="Cambria Math" w:cs="Arial"/>
                <w:i/>
              </w:rPr>
            </m:ctrlPr>
          </m:dPr>
          <m:e>
            <m:r>
              <m:rPr>
                <m:scr m:val="script"/>
              </m:rPr>
              <w:rPr>
                <w:rFonts w:ascii="Cambria Math" w:hAnsi="Cambria Math" w:cs="Arial"/>
              </w:rPr>
              <m:t>F,</m:t>
            </m:r>
            <m:sSup>
              <m:sSupPr>
                <m:ctrlPr>
                  <w:rPr>
                    <w:rFonts w:ascii="Cambria Math" w:hAnsi="Cambria Math" w:cs="Arial"/>
                  </w:rPr>
                </m:ctrlPr>
              </m:sSupPr>
              <m:e>
                <m:r>
                  <m:rPr>
                    <m:sty m:val="p"/>
                  </m:rPr>
                  <w:rPr>
                    <w:rFonts w:ascii="Cambria Math" w:hAnsi="Cambria Math" w:cs="Arial"/>
                  </w:rPr>
                  <m:t>Θ</m:t>
                </m:r>
                <m:ctrlPr>
                  <w:rPr>
                    <w:rFonts w:ascii="Cambria Math" w:hAnsi="Cambria Math" w:cs="Arial"/>
                    <w:i/>
                  </w:rPr>
                </m:ctrlPr>
              </m:e>
              <m:sup>
                <m:r>
                  <m:rPr>
                    <m:sty m:val="p"/>
                  </m:rPr>
                  <w:rPr>
                    <w:rFonts w:ascii="Cambria Math" w:hAnsi="Cambria Math" w:cs="Arial"/>
                  </w:rPr>
                  <m:t>'</m:t>
                </m:r>
              </m:sup>
            </m:sSup>
          </m:e>
        </m:d>
      </m:oMath>
      <w:r w:rsidRPr="00206781">
        <w:rPr>
          <w:rFonts w:ascii="Arial" w:hAnsi="Arial" w:cs="Arial"/>
        </w:rPr>
        <w:t xml:space="preserve"> form a good approximation to </w:t>
      </w:r>
      <m:oMath>
        <m:d>
          <m:dPr>
            <m:begChr m:val="{"/>
            <m:endChr m:val="}"/>
            <m:ctrlPr>
              <w:rPr>
                <w:rFonts w:ascii="Cambria Math" w:hAnsi="Cambria Math" w:cs="Arial"/>
                <w:i/>
              </w:rPr>
            </m:ctrlPr>
          </m:dPr>
          <m:e>
            <m:r>
              <w:rPr>
                <w:rFonts w:ascii="Cambria Math" w:hAnsi="Cambria Math" w:cs="Arial"/>
              </w:rPr>
              <m:t>R,</m:t>
            </m:r>
            <m:r>
              <m:rPr>
                <m:sty m:val="p"/>
              </m:rPr>
              <w:rPr>
                <w:rFonts w:ascii="Cambria Math" w:hAnsi="Cambria Math" w:cs="Arial"/>
              </w:rPr>
              <m:t>Θ</m:t>
            </m:r>
          </m:e>
        </m:d>
      </m:oMath>
      <w:r w:rsidRPr="00206781">
        <w:rPr>
          <w:rFonts w:ascii="Arial" w:hAnsi="Arial" w:cs="Arial"/>
        </w:rPr>
        <w:t xml:space="preserve">, i.e., the dependency </w:t>
      </w:r>
      <m:oMath>
        <m:r>
          <m:rPr>
            <m:sty m:val="p"/>
          </m:rPr>
          <w:rPr>
            <w:rFonts w:ascii="Cambria Math" w:hAnsi="Cambria Math" w:cs="Arial"/>
          </w:rPr>
          <m:t>Φ</m:t>
        </m:r>
      </m:oMath>
      <w:r w:rsidRPr="00206781">
        <w:rPr>
          <w:rFonts w:ascii="Arial" w:hAnsi="Arial" w:cs="Arial"/>
        </w:rPr>
        <w:t xml:space="preserve"> should also be held by </w:t>
      </w:r>
      <m:oMath>
        <m:r>
          <m:rPr>
            <m:scr m:val="script"/>
          </m:rPr>
          <w:rPr>
            <w:rFonts w:ascii="Cambria Math" w:hAnsi="Cambria Math" w:cs="Arial"/>
          </w:rPr>
          <m:t>F</m:t>
        </m:r>
      </m:oMath>
      <w:r w:rsidRPr="00206781">
        <w:rPr>
          <w:rFonts w:ascii="Arial" w:hAnsi="Arial" w:cs="Arial"/>
        </w:rPr>
        <w:t xml:space="preserve">. Hence, the solution of </w:t>
      </w:r>
      <m:oMath>
        <m:d>
          <m:dPr>
            <m:begChr m:val="{"/>
            <m:endChr m:val="}"/>
            <m:ctrlPr>
              <w:rPr>
                <w:rFonts w:ascii="Cambria Math" w:hAnsi="Cambria Math" w:cs="Arial"/>
                <w:i/>
              </w:rPr>
            </m:ctrlPr>
          </m:dPr>
          <m:e>
            <m:r>
              <m:rPr>
                <m:scr m:val="script"/>
              </m:rPr>
              <w:rPr>
                <w:rFonts w:ascii="Cambria Math" w:hAnsi="Cambria Math" w:cs="Arial"/>
              </w:rPr>
              <m:t>F,</m:t>
            </m:r>
            <m:sSup>
              <m:sSupPr>
                <m:ctrlPr>
                  <w:rPr>
                    <w:rFonts w:ascii="Cambria Math" w:hAnsi="Cambria Math" w:cs="Arial"/>
                  </w:rPr>
                </m:ctrlPr>
              </m:sSupPr>
              <m:e>
                <m:r>
                  <m:rPr>
                    <m:sty m:val="p"/>
                  </m:rPr>
                  <w:rPr>
                    <w:rFonts w:ascii="Cambria Math" w:hAnsi="Cambria Math" w:cs="Arial"/>
                  </w:rPr>
                  <m:t>Θ</m:t>
                </m:r>
                <m:ctrlPr>
                  <w:rPr>
                    <w:rFonts w:ascii="Cambria Math" w:hAnsi="Cambria Math" w:cs="Arial"/>
                    <w:i/>
                  </w:rPr>
                </m:ctrlPr>
              </m:e>
              <m:sup>
                <m:r>
                  <m:rPr>
                    <m:sty m:val="p"/>
                  </m:rPr>
                  <w:rPr>
                    <w:rFonts w:ascii="Cambria Math" w:hAnsi="Cambria Math" w:cs="Arial"/>
                  </w:rPr>
                  <m:t>'</m:t>
                </m:r>
              </m:sup>
            </m:sSup>
          </m:e>
        </m:d>
      </m:oMath>
      <w:r w:rsidRPr="00206781">
        <w:rPr>
          <w:rFonts w:ascii="Arial" w:hAnsi="Arial" w:cs="Arial"/>
        </w:rPr>
        <w:t xml:space="preserve"> is achieved by minimizing </w:t>
      </w:r>
    </w:p>
    <w:p w14:paraId="055E72CF" w14:textId="77777777" w:rsidR="00206781" w:rsidRPr="007A1E92" w:rsidRDefault="00206781" w:rsidP="00206781">
      <w:pPr>
        <w:pStyle w:val="ListParagraph"/>
        <w:snapToGrid w:val="0"/>
        <w:ind w:left="0"/>
        <w:contextualSpacing w:val="0"/>
        <w:jc w:val="both"/>
        <w:rPr>
          <w:rFonts w:ascii="Arial" w:hAnsi="Arial" w:cs="Arial"/>
        </w:rPr>
      </w:pPr>
      <m:oMathPara>
        <m:oMath>
          <m:r>
            <w:rPr>
              <w:rFonts w:ascii="Cambria Math" w:hAnsi="Cambria Math" w:cs="Arial"/>
            </w:rPr>
            <w:lastRenderedPageBreak/>
            <m:t xml:space="preserve">                            </m:t>
          </m:r>
          <m:d>
            <m:dPr>
              <m:begChr m:val="|"/>
              <m:endChr m:val="|"/>
              <m:ctrlPr>
                <w:rPr>
                  <w:rFonts w:ascii="Cambria Math" w:hAnsi="Cambria Math" w:cs="Arial"/>
                </w:rPr>
              </m:ctrlPr>
            </m:dPr>
            <m:e>
              <m:d>
                <m:dPr>
                  <m:begChr m:val="|"/>
                  <m:endChr m:val="|"/>
                  <m:ctrlPr>
                    <w:rPr>
                      <w:rFonts w:ascii="Cambria Math" w:hAnsi="Cambria Math" w:cs="Arial"/>
                    </w:rPr>
                  </m:ctrlPr>
                </m:dPr>
                <m:e>
                  <m:r>
                    <m:rPr>
                      <m:sty m:val="p"/>
                    </m:rPr>
                    <w:rPr>
                      <w:rFonts w:ascii="Cambria Math" w:hAnsi="Cambria Math" w:cs="Arial"/>
                    </w:rPr>
                    <m:t>Φ</m:t>
                  </m:r>
                  <m:d>
                    <m:dPr>
                      <m:ctrlPr>
                        <w:rPr>
                          <w:rFonts w:ascii="Cambria Math" w:hAnsi="Cambria Math" w:cs="Arial"/>
                        </w:rPr>
                      </m:ctrlPr>
                    </m:dPr>
                    <m:e>
                      <m:r>
                        <w:rPr>
                          <w:rFonts w:ascii="Cambria Math" w:hAnsi="Cambria Math" w:cs="Arial"/>
                        </w:rPr>
                        <m:t>R</m:t>
                      </m:r>
                      <m:d>
                        <m:dPr>
                          <m:ctrlPr>
                            <w:rPr>
                              <w:rFonts w:ascii="Cambria Math" w:hAnsi="Cambria Math" w:cs="Arial"/>
                              <w:i/>
                            </w:rPr>
                          </m:ctrlPr>
                        </m:dPr>
                        <m:e>
                          <m:r>
                            <m:rPr>
                              <m:sty m:val="p"/>
                            </m:rPr>
                            <w:rPr>
                              <w:rFonts w:ascii="Cambria Math" w:hAnsi="Cambria Math" w:cs="Arial"/>
                            </w:rPr>
                            <m:t>Θ</m:t>
                          </m:r>
                        </m:e>
                      </m:d>
                    </m:e>
                  </m:d>
                  <m:r>
                    <m:rPr>
                      <m:sty m:val="p"/>
                    </m:rPr>
                    <w:rPr>
                      <w:rFonts w:ascii="Cambria Math" w:hAnsi="Cambria Math" w:cs="Arial"/>
                    </w:rPr>
                    <m:t>-Φ</m:t>
                  </m:r>
                  <m:d>
                    <m:dPr>
                      <m:ctrlPr>
                        <w:rPr>
                          <w:rFonts w:ascii="Cambria Math" w:hAnsi="Cambria Math" w:cs="Arial"/>
                        </w:rPr>
                      </m:ctrlPr>
                    </m:dPr>
                    <m:e>
                      <m:r>
                        <m:rPr>
                          <m:scr m:val="script"/>
                        </m:rPr>
                        <w:rPr>
                          <w:rFonts w:ascii="Cambria Math" w:hAnsi="Cambria Math" w:cs="Arial"/>
                        </w:rPr>
                        <m:t>F</m:t>
                      </m:r>
                      <m:d>
                        <m:dPr>
                          <m:ctrlPr>
                            <w:rPr>
                              <w:rFonts w:ascii="Cambria Math" w:hAnsi="Cambria Math" w:cs="Arial"/>
                              <w:i/>
                            </w:rPr>
                          </m:ctrlPr>
                        </m:dPr>
                        <m:e>
                          <m:r>
                            <w:rPr>
                              <w:rFonts w:ascii="Cambria Math" w:hAnsi="Cambria Math" w:cs="Arial"/>
                            </w:rPr>
                            <m:t>D,</m:t>
                          </m:r>
                          <m:sSup>
                            <m:sSupPr>
                              <m:ctrlPr>
                                <w:rPr>
                                  <w:rFonts w:ascii="Cambria Math" w:hAnsi="Cambria Math" w:cs="Arial"/>
                                </w:rPr>
                              </m:ctrlPr>
                            </m:sSupPr>
                            <m:e>
                              <m:r>
                                <m:rPr>
                                  <m:sty m:val="p"/>
                                </m:rPr>
                                <w:rPr>
                                  <w:rFonts w:ascii="Cambria Math" w:hAnsi="Cambria Math" w:cs="Arial"/>
                                </w:rPr>
                                <m:t>Θ</m:t>
                              </m:r>
                              <m:ctrlPr>
                                <w:rPr>
                                  <w:rFonts w:ascii="Cambria Math" w:hAnsi="Cambria Math" w:cs="Arial"/>
                                  <w:i/>
                                </w:rPr>
                              </m:ctrlPr>
                            </m:e>
                            <m:sup>
                              <m:r>
                                <m:rPr>
                                  <m:sty m:val="p"/>
                                </m:rPr>
                                <w:rPr>
                                  <w:rFonts w:ascii="Cambria Math" w:hAnsi="Cambria Math" w:cs="Arial"/>
                                </w:rPr>
                                <m:t>'</m:t>
                              </m:r>
                            </m:sup>
                          </m:sSup>
                        </m:e>
                      </m:d>
                    </m:e>
                  </m:d>
                  <m:ctrlPr>
                    <w:rPr>
                      <w:rFonts w:ascii="Cambria Math" w:hAnsi="Cambria Math" w:cs="Arial"/>
                      <w:i/>
                    </w:rPr>
                  </m:ctrlPr>
                </m:e>
              </m:d>
            </m:e>
          </m:d>
          <m:r>
            <w:rPr>
              <w:rFonts w:ascii="Cambria Math" w:hAnsi="Cambria Math" w:cs="Arial"/>
            </w:rPr>
            <m:t>+L</m:t>
          </m:r>
          <m:d>
            <m:dPr>
              <m:ctrlPr>
                <w:rPr>
                  <w:rFonts w:ascii="Cambria Math" w:hAnsi="Cambria Math" w:cs="Arial"/>
                  <w:i/>
                </w:rPr>
              </m:ctrlPr>
            </m:dPr>
            <m:e>
              <m:r>
                <m:rPr>
                  <m:scr m:val="script"/>
                </m:rPr>
                <w:rPr>
                  <w:rFonts w:ascii="Cambria Math" w:hAnsi="Cambria Math" w:cs="Arial"/>
                </w:rPr>
                <m:t>F,</m:t>
              </m:r>
              <m:r>
                <m:rPr>
                  <m:sty m:val="p"/>
                </m:rPr>
                <w:rPr>
                  <w:rFonts w:ascii="Cambria Math" w:hAnsi="Cambria Math" w:cs="Arial"/>
                </w:rPr>
                <m:t>Θ'</m:t>
              </m:r>
            </m:e>
          </m:d>
          <m:r>
            <w:rPr>
              <w:rFonts w:ascii="Cambria Math" w:hAnsi="Cambria Math" w:cs="Arial"/>
            </w:rPr>
            <m:t xml:space="preserve">                (*)</m:t>
          </m:r>
        </m:oMath>
      </m:oMathPara>
    </w:p>
    <w:p w14:paraId="136734F6" w14:textId="13357F11" w:rsidR="00206781" w:rsidRPr="007A1E92" w:rsidRDefault="00206781" w:rsidP="00206781">
      <w:pPr>
        <w:pStyle w:val="ListParagraph"/>
        <w:snapToGrid w:val="0"/>
        <w:ind w:left="0"/>
        <w:contextualSpacing w:val="0"/>
        <w:jc w:val="both"/>
        <w:rPr>
          <w:rFonts w:ascii="Arial" w:hAnsi="Arial" w:cs="Arial"/>
        </w:rPr>
      </w:pPr>
      <w:r w:rsidRPr="007A1E92">
        <w:rPr>
          <w:rFonts w:ascii="Arial" w:hAnsi="Arial" w:cs="Arial"/>
        </w:rPr>
        <w:t xml:space="preserve">, where </w:t>
      </w:r>
      <w:r>
        <w:rPr>
          <w:rFonts w:ascii="Arial" w:hAnsi="Arial" w:cs="Arial"/>
        </w:rPr>
        <w:t xml:space="preserve">the first term represents </w:t>
      </w:r>
      <m:oMath>
        <m:r>
          <m:rPr>
            <m:scr m:val="script"/>
          </m:rPr>
          <w:rPr>
            <w:rFonts w:ascii="Cambria Math" w:hAnsi="Cambria Math" w:cs="Arial"/>
          </w:rPr>
          <m:t>F</m:t>
        </m:r>
        <m:d>
          <m:dPr>
            <m:ctrlPr>
              <w:rPr>
                <w:rFonts w:ascii="Cambria Math" w:hAnsi="Cambria Math" w:cs="Arial"/>
                <w:i/>
              </w:rPr>
            </m:ctrlPr>
          </m:dPr>
          <m:e>
            <m:r>
              <w:rPr>
                <w:rFonts w:ascii="Cambria Math" w:hAnsi="Cambria Math" w:cs="Arial"/>
              </w:rPr>
              <m:t>D,</m:t>
            </m:r>
            <m:sSup>
              <m:sSupPr>
                <m:ctrlPr>
                  <w:rPr>
                    <w:rFonts w:ascii="Cambria Math" w:hAnsi="Cambria Math" w:cs="Arial"/>
                  </w:rPr>
                </m:ctrlPr>
              </m:sSupPr>
              <m:e>
                <m:r>
                  <m:rPr>
                    <m:sty m:val="p"/>
                  </m:rPr>
                  <w:rPr>
                    <w:rFonts w:ascii="Cambria Math" w:hAnsi="Cambria Math" w:cs="Arial"/>
                  </w:rPr>
                  <m:t>Θ</m:t>
                </m:r>
                <m:ctrlPr>
                  <w:rPr>
                    <w:rFonts w:ascii="Cambria Math" w:hAnsi="Cambria Math" w:cs="Arial"/>
                    <w:i/>
                  </w:rPr>
                </m:ctrlPr>
              </m:e>
              <m:sup>
                <m:r>
                  <m:rPr>
                    <m:sty m:val="p"/>
                  </m:rPr>
                  <w:rPr>
                    <w:rFonts w:ascii="Cambria Math" w:hAnsi="Cambria Math" w:cs="Arial"/>
                  </w:rPr>
                  <m:t>'</m:t>
                </m:r>
              </m:sup>
            </m:sSup>
          </m:e>
        </m:d>
      </m:oMath>
      <w:r>
        <w:rPr>
          <w:rFonts w:ascii="Arial" w:hAnsi="Arial" w:cs="Arial"/>
        </w:rPr>
        <w:t xml:space="preserve"> should capture the dependency (physical laws) of </w:t>
      </w:r>
      <m:oMath>
        <m:r>
          <w:rPr>
            <w:rFonts w:ascii="Cambria Math" w:hAnsi="Cambria Math" w:cs="Arial"/>
          </w:rPr>
          <m:t>R</m:t>
        </m:r>
      </m:oMath>
      <w:r>
        <w:rPr>
          <w:rFonts w:ascii="Arial" w:hAnsi="Arial" w:cs="Arial"/>
        </w:rPr>
        <w:t xml:space="preserve">, </w:t>
      </w:r>
      <m:oMath>
        <m:r>
          <w:rPr>
            <w:rFonts w:ascii="Cambria Math" w:hAnsi="Cambria Math" w:cs="Arial"/>
          </w:rPr>
          <m:t>L</m:t>
        </m:r>
        <m:r>
          <m:rPr>
            <m:scr m:val="script"/>
          </m:rPr>
          <w:rPr>
            <w:rFonts w:ascii="Cambria Math" w:hAnsi="Cambria Math" w:cs="Arial"/>
          </w:rPr>
          <m:t>(F,</m:t>
        </m:r>
        <m:r>
          <m:rPr>
            <m:sty m:val="p"/>
          </m:rPr>
          <w:rPr>
            <w:rFonts w:ascii="Cambria Math" w:hAnsi="Cambria Math" w:cs="Arial"/>
          </w:rPr>
          <m:t>Θ'</m:t>
        </m:r>
        <m:r>
          <w:rPr>
            <w:rFonts w:ascii="Cambria Math" w:hAnsi="Cambria Math" w:cs="Arial"/>
          </w:rPr>
          <m:t>)</m:t>
        </m:r>
      </m:oMath>
      <w:r w:rsidRPr="007A1E92">
        <w:rPr>
          <w:rFonts w:ascii="Arial" w:hAnsi="Arial" w:cs="Arial"/>
        </w:rPr>
        <w:t xml:space="preserve"> represents additional regularization term of </w:t>
      </w:r>
      <m:oMath>
        <m:r>
          <m:rPr>
            <m:scr m:val="script"/>
          </m:rPr>
          <w:rPr>
            <w:rFonts w:ascii="Cambria Math" w:hAnsi="Cambria Math" w:cs="Arial"/>
          </w:rPr>
          <m:t>F</m:t>
        </m:r>
      </m:oMath>
      <w:r w:rsidRPr="007A1E92">
        <w:rPr>
          <w:rFonts w:ascii="Arial" w:hAnsi="Arial" w:cs="Arial"/>
        </w:rPr>
        <w:t xml:space="preserve"> and </w:t>
      </w:r>
      <m:oMath>
        <m:r>
          <m:rPr>
            <m:sty m:val="p"/>
          </m:rPr>
          <w:rPr>
            <w:rFonts w:ascii="Cambria Math" w:hAnsi="Cambria Math" w:cs="Arial"/>
          </w:rPr>
          <m:t>Θ</m:t>
        </m:r>
        <m:r>
          <w:rPr>
            <w:rFonts w:ascii="Cambria Math" w:hAnsi="Cambria Math" w:cs="Arial"/>
          </w:rPr>
          <m:t>'</m:t>
        </m:r>
      </m:oMath>
      <w:r w:rsidRPr="007A1E92">
        <w:rPr>
          <w:rFonts w:ascii="Arial" w:hAnsi="Arial" w:cs="Arial"/>
        </w:rPr>
        <w:t xml:space="preserve">. </w:t>
      </w:r>
    </w:p>
    <w:p w14:paraId="55A0524C" w14:textId="1AE072BA" w:rsidR="000B3ED0" w:rsidRDefault="00206781" w:rsidP="00206781">
      <w:pPr>
        <w:pStyle w:val="ListParagraph"/>
        <w:snapToGrid w:val="0"/>
        <w:ind w:left="0" w:firstLine="420"/>
        <w:contextualSpacing w:val="0"/>
        <w:jc w:val="both"/>
        <w:rPr>
          <w:b/>
          <w:bCs/>
          <w:color w:val="000000" w:themeColor="text1"/>
          <w:sz w:val="22"/>
        </w:rPr>
      </w:pPr>
      <w:r w:rsidRPr="007A1E92">
        <w:rPr>
          <w:rFonts w:ascii="Arial" w:hAnsi="Arial" w:cs="Arial"/>
        </w:rPr>
        <w:t xml:space="preserve">Classic systems biology model views biological processes as dynamic systems over biological networks. </w:t>
      </w:r>
      <w:r>
        <w:rPr>
          <w:rFonts w:ascii="Arial" w:hAnsi="Arial" w:cs="Arial"/>
        </w:rPr>
        <w:t>In contrast, based on the constrained learning framework, PSAA approximates reaction rate</w:t>
      </w:r>
      <w:r w:rsidRPr="007A1E92">
        <w:rPr>
          <w:rFonts w:ascii="Arial" w:hAnsi="Arial" w:cs="Arial"/>
        </w:rPr>
        <w:t xml:space="preserve"> by properly designed deep neural networks</w:t>
      </w:r>
      <w:r>
        <w:rPr>
          <w:rFonts w:ascii="Arial" w:hAnsi="Arial" w:cs="Arial"/>
        </w:rPr>
        <w:t xml:space="preserve">, which take </w:t>
      </w:r>
      <w:r w:rsidRPr="007A1E92">
        <w:rPr>
          <w:rFonts w:ascii="Arial" w:hAnsi="Arial" w:cs="Arial"/>
        </w:rPr>
        <w:t xml:space="preserve">transcriptomics changes </w:t>
      </w:r>
      <w:r>
        <w:rPr>
          <w:rFonts w:ascii="Arial" w:hAnsi="Arial" w:cs="Arial"/>
        </w:rPr>
        <w:t>as the input</w:t>
      </w:r>
      <w:r w:rsidRPr="007A1E92">
        <w:rPr>
          <w:rFonts w:ascii="Arial" w:hAnsi="Arial" w:cs="Arial"/>
        </w:rPr>
        <w:t xml:space="preserve">. </w:t>
      </w:r>
      <w:r>
        <w:rPr>
          <w:rFonts w:ascii="Arial" w:hAnsi="Arial" w:cs="Arial"/>
        </w:rPr>
        <w:t>W</w:t>
      </w:r>
      <w:r w:rsidRPr="007A1E92">
        <w:rPr>
          <w:rFonts w:ascii="Arial" w:hAnsi="Arial" w:cs="Arial"/>
        </w:rPr>
        <w:t xml:space="preserve">e have summarized two necessary computational principles </w:t>
      </w:r>
      <w:r>
        <w:rPr>
          <w:rFonts w:ascii="Arial" w:hAnsi="Arial" w:cs="Arial"/>
        </w:rPr>
        <w:t>for constrained learning</w:t>
      </w:r>
      <w:r w:rsidRPr="007A1E92">
        <w:rPr>
          <w:rFonts w:ascii="Arial" w:hAnsi="Arial" w:cs="Arial"/>
        </w:rPr>
        <w:t xml:space="preserve">, namely: (i) </w:t>
      </w:r>
      <w:r w:rsidRPr="007A1E92">
        <w:rPr>
          <w:rFonts w:ascii="Arial" w:hAnsi="Arial" w:cs="Arial"/>
          <w:b/>
          <w:bCs/>
          <w:i/>
          <w:iCs/>
        </w:rPr>
        <w:t>principle of coherency</w:t>
      </w:r>
      <w:r w:rsidRPr="007A1E92">
        <w:rPr>
          <w:rFonts w:ascii="Arial" w:hAnsi="Arial" w:cs="Arial"/>
          <w:b/>
          <w:bCs/>
        </w:rPr>
        <w:t>:</w:t>
      </w:r>
      <w:r w:rsidRPr="007A1E92">
        <w:rPr>
          <w:rFonts w:ascii="Arial" w:hAnsi="Arial" w:cs="Arial"/>
        </w:rPr>
        <w:t xml:space="preserve"> </w:t>
      </w:r>
      <w:r w:rsidRPr="00206781">
        <w:rPr>
          <w:rFonts w:ascii="Arial" w:hAnsi="Arial" w:cs="Arial"/>
        </w:rPr>
        <w:t xml:space="preserve">an intelligent system-based approximation of a system biology model seeks for maximizing the coherency to the laws of the biological system on the observed data, (ii) </w:t>
      </w:r>
      <w:r w:rsidRPr="00206781">
        <w:rPr>
          <w:rFonts w:ascii="Arial" w:hAnsi="Arial" w:cs="Arial"/>
          <w:b/>
          <w:bCs/>
          <w:i/>
          <w:iCs/>
        </w:rPr>
        <w:t>principle of parsimony</w:t>
      </w:r>
      <w:r w:rsidRPr="00206781">
        <w:rPr>
          <w:rFonts w:ascii="Arial" w:hAnsi="Arial" w:cs="Arial"/>
          <w:b/>
          <w:bCs/>
        </w:rPr>
        <w:t>:</w:t>
      </w:r>
      <w:r w:rsidRPr="00206781">
        <w:rPr>
          <w:rFonts w:ascii="Arial" w:hAnsi="Arial" w:cs="Arial"/>
        </w:rPr>
        <w:t xml:space="preserve"> an intelligent system-based needs to be simple and structured when approximately a dynamic system.</w:t>
      </w:r>
      <w:r w:rsidRPr="007A1E92">
        <w:rPr>
          <w:rFonts w:ascii="Arial" w:hAnsi="Arial" w:cs="Arial"/>
        </w:rPr>
        <w:t xml:space="preserve"> The principle of coherency describes that an approximation of a systems biology model should maximally </w:t>
      </w:r>
      <w:r>
        <w:rPr>
          <w:rFonts w:ascii="Arial" w:hAnsi="Arial" w:cs="Arial"/>
        </w:rPr>
        <w:t>represent</w:t>
      </w:r>
      <w:r w:rsidRPr="007A1E92">
        <w:rPr>
          <w:rFonts w:ascii="Arial" w:hAnsi="Arial" w:cs="Arial"/>
        </w:rPr>
        <w:t xml:space="preserve"> its biological properties, including (1) the physical laws (such as the law of thermodynamics or conservation of mass), (2) well-confirmed prior knowledge (such as topological structure of metabolic network), and (3) context specific dependency derived from experiments or other information sources.</w:t>
      </w:r>
      <w:r>
        <w:rPr>
          <w:rFonts w:ascii="Arial" w:hAnsi="Arial" w:cs="Arial"/>
        </w:rPr>
        <w:t xml:space="preserve"> </w:t>
      </w:r>
      <w:r w:rsidRPr="007A1E92">
        <w:rPr>
          <w:rFonts w:ascii="Arial" w:hAnsi="Arial" w:cs="Arial"/>
        </w:rPr>
        <w:t xml:space="preserve">The principle of parsimony describes that a good approximation of systems biology model should have a relatively simple form. Otherwise, it is undistinguishable if </w:t>
      </w:r>
      <m:oMath>
        <m:r>
          <m:rPr>
            <m:scr m:val="script"/>
          </m:rPr>
          <w:rPr>
            <w:rFonts w:ascii="Cambria Math" w:hAnsi="Cambria Math" w:cs="Arial"/>
          </w:rPr>
          <m:t>F</m:t>
        </m:r>
      </m:oMath>
      <w:r w:rsidRPr="007A1E92">
        <w:rPr>
          <w:rFonts w:ascii="Arial" w:hAnsi="Arial" w:cs="Arial"/>
        </w:rPr>
        <w:t xml:space="preserve"> captures the true systems biology model or is just an overly fitted result.</w:t>
      </w:r>
    </w:p>
    <w:p w14:paraId="4A6919A0" w14:textId="77777777" w:rsidR="000B3ED0" w:rsidRDefault="000B3ED0" w:rsidP="0028415B">
      <w:pPr>
        <w:rPr>
          <w:rFonts w:ascii="Times New Roman" w:hAnsi="Times New Roman" w:cs="Times New Roman"/>
          <w:b/>
          <w:bCs/>
          <w:color w:val="000000" w:themeColor="text1"/>
          <w:sz w:val="22"/>
        </w:rPr>
      </w:pPr>
    </w:p>
    <w:p w14:paraId="19CFA3F5" w14:textId="23192E70" w:rsidR="000B3ED0" w:rsidRDefault="000B3ED0">
      <w:pPr>
        <w:widowControl/>
        <w:jc w:val="left"/>
        <w:rPr>
          <w:rFonts w:ascii="Times New Roman" w:hAnsi="Times New Roman" w:cs="Times New Roman"/>
          <w:b/>
          <w:bCs/>
          <w:color w:val="000000" w:themeColor="text1"/>
          <w:sz w:val="22"/>
        </w:rPr>
      </w:pPr>
      <w:r>
        <w:rPr>
          <w:rFonts w:ascii="Times New Roman" w:hAnsi="Times New Roman" w:cs="Times New Roman"/>
          <w:b/>
          <w:bCs/>
          <w:color w:val="000000" w:themeColor="text1"/>
          <w:sz w:val="22"/>
        </w:rPr>
        <w:br w:type="page"/>
      </w:r>
    </w:p>
    <w:p w14:paraId="635629FD" w14:textId="77777777" w:rsidR="00933192" w:rsidRPr="00BB2FD2" w:rsidRDefault="00933192" w:rsidP="00933192">
      <w:pPr>
        <w:rPr>
          <w:rFonts w:ascii="Arial" w:hAnsi="Arial" w:cs="Arial"/>
          <w:b/>
          <w:bCs/>
          <w:color w:val="000000" w:themeColor="text1"/>
          <w:sz w:val="22"/>
        </w:rPr>
      </w:pPr>
      <w:r w:rsidRPr="00BB2FD2">
        <w:rPr>
          <w:rFonts w:ascii="Arial" w:hAnsi="Arial" w:cs="Arial"/>
          <w:b/>
          <w:bCs/>
          <w:color w:val="000000" w:themeColor="text1"/>
          <w:sz w:val="22"/>
        </w:rPr>
        <w:lastRenderedPageBreak/>
        <w:t>Supplementary Figure Legends</w:t>
      </w:r>
    </w:p>
    <w:p w14:paraId="7B95B8C8" w14:textId="77777777" w:rsidR="00933192" w:rsidRPr="00BB2FD2" w:rsidRDefault="00933192" w:rsidP="00933192">
      <w:pPr>
        <w:contextualSpacing/>
        <w:rPr>
          <w:rFonts w:ascii="Arial" w:eastAsia="DengXian" w:hAnsi="Arial" w:cs="Arial"/>
          <w:noProof/>
          <w:sz w:val="22"/>
          <w:shd w:val="clear" w:color="auto" w:fill="FFFFFF"/>
        </w:rPr>
      </w:pPr>
      <w:r w:rsidRPr="00BB2FD2">
        <w:rPr>
          <w:rFonts w:ascii="Arial" w:hAnsi="Arial" w:cs="Arial"/>
          <w:b/>
          <w:bCs/>
          <w:sz w:val="22"/>
        </w:rPr>
        <w:t>Supplementary Figure S1</w:t>
      </w:r>
      <w:r w:rsidRPr="00BB2FD2">
        <w:rPr>
          <w:rFonts w:ascii="Arial" w:hAnsi="Arial" w:cs="Arial"/>
          <w:sz w:val="22"/>
        </w:rPr>
        <w:t>. (a) Consistency of the PSAA predicted MHC-II level using the RNA-seq data (x-axis) and proteomics data</w:t>
      </w:r>
      <w:r w:rsidRPr="00BB2FD2" w:rsidDel="003F452C">
        <w:rPr>
          <w:rFonts w:ascii="Arial" w:hAnsi="Arial" w:cs="Arial"/>
          <w:sz w:val="22"/>
        </w:rPr>
        <w:t xml:space="preserve"> </w:t>
      </w:r>
      <w:r w:rsidRPr="00BB2FD2">
        <w:rPr>
          <w:rFonts w:ascii="Arial" w:hAnsi="Arial" w:cs="Arial"/>
          <w:sz w:val="22"/>
        </w:rPr>
        <w:t xml:space="preserve">(y-axis) in CCLE data. (b) Consistency of the activity level of different steps in MHC-I pathway predicted using TCGA data by including (x-axis) and excluding (y-axis) the T-cell recognition step in the input pathway. (c) Robustness of PSAA to dropout samples and missing genes in scRNA-seq Data. X-axis shows the percentage of dropout size. Y-axis shows </w:t>
      </w:r>
      <w:r w:rsidRPr="00BB2FD2">
        <w:rPr>
          <w:rFonts w:ascii="Arial" w:eastAsia="DengXian" w:hAnsi="Arial" w:cs="Arial"/>
          <w:sz w:val="22"/>
          <w:shd w:val="clear" w:color="auto" w:fill="FFFFFF"/>
        </w:rPr>
        <w:t>the Pearson correlation coefficients (PCC) between the predicted antigen presentation level and the cell surface protein of MHC I molecules.</w:t>
      </w:r>
      <w:r w:rsidRPr="00BB2FD2">
        <w:rPr>
          <w:rFonts w:ascii="Arial" w:eastAsia="DengXian" w:hAnsi="Arial" w:cs="Arial"/>
          <w:noProof/>
          <w:sz w:val="22"/>
          <w:shd w:val="clear" w:color="auto" w:fill="FFFFFF"/>
        </w:rPr>
        <w:t xml:space="preserve"> </w:t>
      </w:r>
    </w:p>
    <w:p w14:paraId="39DEC3BF" w14:textId="77777777" w:rsidR="00933192" w:rsidRPr="00BB2FD2" w:rsidRDefault="00933192" w:rsidP="00933192">
      <w:pPr>
        <w:contextualSpacing/>
        <w:rPr>
          <w:rFonts w:ascii="Arial" w:eastAsia="DengXian" w:hAnsi="Arial" w:cs="Arial"/>
          <w:noProof/>
          <w:sz w:val="22"/>
          <w:shd w:val="clear" w:color="auto" w:fill="FFFFFF"/>
        </w:rPr>
      </w:pPr>
    </w:p>
    <w:p w14:paraId="3208503A" w14:textId="77777777" w:rsidR="00933192" w:rsidRPr="00BB2FD2" w:rsidRDefault="00933192" w:rsidP="00933192">
      <w:pPr>
        <w:contextualSpacing/>
        <w:rPr>
          <w:rFonts w:ascii="Arial" w:hAnsi="Arial" w:cs="Arial"/>
          <w:sz w:val="22"/>
        </w:rPr>
      </w:pPr>
      <w:r w:rsidRPr="00BB2FD2">
        <w:rPr>
          <w:rFonts w:ascii="Arial" w:hAnsi="Arial" w:cs="Arial"/>
          <w:b/>
          <w:bCs/>
          <w:sz w:val="22"/>
        </w:rPr>
        <w:t>Supplementary Figure S2</w:t>
      </w:r>
      <w:r w:rsidRPr="00BB2FD2">
        <w:rPr>
          <w:rFonts w:ascii="Arial" w:hAnsi="Arial" w:cs="Arial"/>
          <w:sz w:val="22"/>
        </w:rPr>
        <w:t xml:space="preserve">. (a) </w:t>
      </w:r>
      <w:r w:rsidRPr="00BB2FD2">
        <w:rPr>
          <w:rFonts w:ascii="Arial" w:eastAsia="DengXian" w:hAnsi="Arial" w:cs="Arial"/>
          <w:sz w:val="22"/>
          <w:shd w:val="clear" w:color="auto" w:fill="FFFFFF"/>
        </w:rPr>
        <w:t xml:space="preserve">Varied dependency between T cell level and </w:t>
      </w:r>
      <w:r w:rsidRPr="00BB2FD2">
        <w:rPr>
          <w:rFonts w:ascii="Arial" w:hAnsi="Arial" w:cs="Arial"/>
          <w:sz w:val="22"/>
        </w:rPr>
        <w:t>MHC-II antigen presentation level in the SRT data of pustule infected skin (blue colored) vs wound skin (yellow colored) in patient sample 2 (slide 2) and 3 (slide 2). (b) Distribution of T cell and MHC-II antigen presentation level of patient sample 3 on the spatial slide 1.</w:t>
      </w:r>
    </w:p>
    <w:p w14:paraId="03FA92BF" w14:textId="77777777" w:rsidR="00933192" w:rsidRPr="000D5C4D" w:rsidRDefault="00933192" w:rsidP="00933192">
      <w:pPr>
        <w:contextualSpacing/>
        <w:rPr>
          <w:rFonts w:ascii="Arial" w:hAnsi="Arial" w:cs="Arial"/>
          <w:sz w:val="22"/>
        </w:rPr>
      </w:pPr>
    </w:p>
    <w:p w14:paraId="3EDC5C6A" w14:textId="77777777" w:rsidR="00933192" w:rsidRPr="000D5C4D" w:rsidRDefault="00933192" w:rsidP="00933192">
      <w:pPr>
        <w:contextualSpacing/>
        <w:rPr>
          <w:rFonts w:ascii="Arial" w:hAnsi="Arial" w:cs="Arial"/>
          <w:sz w:val="22"/>
        </w:rPr>
      </w:pPr>
      <w:r w:rsidRPr="000D5C4D">
        <w:rPr>
          <w:rFonts w:ascii="Arial" w:hAnsi="Arial" w:cs="Arial"/>
          <w:b/>
          <w:bCs/>
          <w:sz w:val="22"/>
        </w:rPr>
        <w:t>Supplementary Figure S3.</w:t>
      </w:r>
      <w:r w:rsidRPr="000D5C4D">
        <w:rPr>
          <w:rFonts w:ascii="Arial" w:hAnsi="Arial" w:cs="Arial"/>
          <w:sz w:val="22"/>
        </w:rPr>
        <w:t xml:space="preserve"> (a) Comparison of PSAA predicted CTL level + recycle of MHC-I between cancer and normal samples across nine cancer types. (b) Spatial dissection conducted by using PSAA predicted MHC-I level and T cell level.</w:t>
      </w:r>
    </w:p>
    <w:p w14:paraId="26D21CBC" w14:textId="77777777" w:rsidR="00933192" w:rsidRPr="000D5C4D" w:rsidRDefault="00933192" w:rsidP="00933192">
      <w:pPr>
        <w:rPr>
          <w:rFonts w:ascii="Arial" w:hAnsi="Arial" w:cs="Arial"/>
          <w:b/>
          <w:bCs/>
          <w:sz w:val="22"/>
        </w:rPr>
      </w:pPr>
    </w:p>
    <w:p w14:paraId="65A5240C" w14:textId="77777777" w:rsidR="00933192" w:rsidRPr="000D5C4D" w:rsidRDefault="00933192" w:rsidP="00933192">
      <w:pPr>
        <w:rPr>
          <w:rFonts w:ascii="Arial" w:hAnsi="Arial" w:cs="Arial"/>
          <w:b/>
          <w:bCs/>
          <w:sz w:val="22"/>
        </w:rPr>
      </w:pPr>
      <w:r w:rsidRPr="000D5C4D">
        <w:rPr>
          <w:rFonts w:ascii="Arial" w:hAnsi="Arial" w:cs="Arial"/>
          <w:b/>
          <w:bCs/>
          <w:sz w:val="22"/>
        </w:rPr>
        <w:t>Supplementary Table Legends</w:t>
      </w:r>
    </w:p>
    <w:p w14:paraId="0B64D2B4" w14:textId="77777777" w:rsidR="00933192" w:rsidRPr="000F30BC" w:rsidRDefault="00933192" w:rsidP="00933192">
      <w:pPr>
        <w:widowControl/>
        <w:jc w:val="left"/>
        <w:rPr>
          <w:rFonts w:ascii="Arial" w:hAnsi="Arial" w:cs="Arial"/>
          <w:sz w:val="22"/>
          <w:shd w:val="clear" w:color="auto" w:fill="FFFFFF"/>
        </w:rPr>
      </w:pPr>
      <w:r w:rsidRPr="000D5C4D">
        <w:rPr>
          <w:rFonts w:ascii="Arial" w:hAnsi="Arial" w:cs="Arial"/>
          <w:b/>
          <w:bCs/>
          <w:sz w:val="22"/>
          <w:shd w:val="clear" w:color="auto" w:fill="FFFFFF"/>
        </w:rPr>
        <w:t>Supplemental Tables S1</w:t>
      </w:r>
      <w:r>
        <w:rPr>
          <w:rFonts w:ascii="Arial" w:hAnsi="Arial" w:cs="Arial"/>
          <w:b/>
          <w:bCs/>
          <w:sz w:val="22"/>
          <w:shd w:val="clear" w:color="auto" w:fill="FFFFFF"/>
        </w:rPr>
        <w:t xml:space="preserve">. </w:t>
      </w:r>
      <w:r w:rsidRPr="000F30BC">
        <w:rPr>
          <w:rFonts w:ascii="Arial" w:hAnsi="Arial" w:cs="Arial"/>
          <w:sz w:val="22"/>
          <w:shd w:val="clear" w:color="auto" w:fill="FFFFFF"/>
        </w:rPr>
        <w:t>Curated MHC class I antigen presentation pathway and its factor graph representation.</w:t>
      </w:r>
    </w:p>
    <w:p w14:paraId="35F3FDE9" w14:textId="77777777" w:rsidR="00933192" w:rsidRPr="000D5C4D" w:rsidRDefault="00933192" w:rsidP="00933192">
      <w:pPr>
        <w:widowControl/>
        <w:jc w:val="left"/>
        <w:rPr>
          <w:rFonts w:ascii="Arial" w:hAnsi="Arial" w:cs="Arial"/>
          <w:b/>
          <w:bCs/>
          <w:sz w:val="22"/>
          <w:shd w:val="clear" w:color="auto" w:fill="FFFFFF"/>
        </w:rPr>
      </w:pPr>
    </w:p>
    <w:p w14:paraId="6C60A829" w14:textId="77777777" w:rsidR="00933192" w:rsidRPr="000D5C4D" w:rsidRDefault="00933192" w:rsidP="00933192">
      <w:pPr>
        <w:widowControl/>
        <w:jc w:val="left"/>
        <w:rPr>
          <w:rFonts w:ascii="Arial" w:hAnsi="Arial" w:cs="Arial"/>
          <w:b/>
          <w:bCs/>
          <w:sz w:val="22"/>
          <w:shd w:val="clear" w:color="auto" w:fill="FFFFFF"/>
        </w:rPr>
      </w:pPr>
      <w:r w:rsidRPr="000D5C4D">
        <w:rPr>
          <w:rFonts w:ascii="Arial" w:hAnsi="Arial" w:cs="Arial"/>
          <w:b/>
          <w:bCs/>
          <w:sz w:val="22"/>
          <w:shd w:val="clear" w:color="auto" w:fill="FFFFFF"/>
        </w:rPr>
        <w:t>Supplemental Tables S2</w:t>
      </w:r>
      <w:r>
        <w:rPr>
          <w:rFonts w:ascii="Arial" w:hAnsi="Arial" w:cs="Arial"/>
          <w:b/>
          <w:bCs/>
          <w:sz w:val="22"/>
          <w:shd w:val="clear" w:color="auto" w:fill="FFFFFF"/>
        </w:rPr>
        <w:t xml:space="preserve">. </w:t>
      </w:r>
      <w:r w:rsidRPr="000F30BC">
        <w:rPr>
          <w:rFonts w:ascii="Arial" w:hAnsi="Arial" w:cs="Arial"/>
          <w:sz w:val="22"/>
          <w:shd w:val="clear" w:color="auto" w:fill="FFFFFF"/>
        </w:rPr>
        <w:t>Curated MHC class II antigen presentation pathway and its factor graph representation.</w:t>
      </w:r>
    </w:p>
    <w:p w14:paraId="532028E6" w14:textId="77777777" w:rsidR="00933192" w:rsidRPr="000D5C4D" w:rsidRDefault="00933192" w:rsidP="00933192">
      <w:pPr>
        <w:widowControl/>
        <w:jc w:val="left"/>
        <w:rPr>
          <w:rFonts w:ascii="Arial" w:hAnsi="Arial" w:cs="Arial"/>
          <w:b/>
          <w:bCs/>
          <w:sz w:val="22"/>
          <w:shd w:val="clear" w:color="auto" w:fill="FFFFFF"/>
        </w:rPr>
      </w:pPr>
    </w:p>
    <w:p w14:paraId="13CDF113" w14:textId="77777777" w:rsidR="00933192" w:rsidRPr="000D5C4D" w:rsidRDefault="00933192" w:rsidP="00933192">
      <w:pPr>
        <w:widowControl/>
        <w:jc w:val="left"/>
        <w:rPr>
          <w:rFonts w:ascii="Arial" w:hAnsi="Arial" w:cs="Arial"/>
          <w:b/>
          <w:bCs/>
          <w:sz w:val="22"/>
          <w:shd w:val="clear" w:color="auto" w:fill="FFFFFF"/>
        </w:rPr>
      </w:pPr>
      <w:r w:rsidRPr="000D5C4D">
        <w:rPr>
          <w:rFonts w:ascii="Arial" w:hAnsi="Arial" w:cs="Arial"/>
          <w:b/>
          <w:bCs/>
          <w:sz w:val="22"/>
          <w:shd w:val="clear" w:color="auto" w:fill="FFFFFF"/>
        </w:rPr>
        <w:t>Supplemental Tables S3</w:t>
      </w:r>
      <w:r>
        <w:rPr>
          <w:rFonts w:ascii="Arial" w:hAnsi="Arial" w:cs="Arial"/>
          <w:b/>
          <w:bCs/>
          <w:sz w:val="22"/>
          <w:shd w:val="clear" w:color="auto" w:fill="FFFFFF"/>
        </w:rPr>
        <w:t xml:space="preserve">. </w:t>
      </w:r>
      <w:r w:rsidRPr="000F30BC">
        <w:rPr>
          <w:rFonts w:ascii="Arial" w:hAnsi="Arial" w:cs="Arial"/>
          <w:sz w:val="22"/>
          <w:shd w:val="clear" w:color="auto" w:fill="FFFFFF"/>
        </w:rPr>
        <w:t>Top genes that contribute to the MHC class II antigen representation in different cell clusters.</w:t>
      </w:r>
    </w:p>
    <w:p w14:paraId="5EA6207F" w14:textId="77777777" w:rsidR="00933192" w:rsidRPr="000D5C4D" w:rsidRDefault="00933192" w:rsidP="00933192">
      <w:pPr>
        <w:widowControl/>
        <w:jc w:val="left"/>
        <w:rPr>
          <w:rFonts w:ascii="Arial" w:hAnsi="Arial" w:cs="Arial"/>
          <w:b/>
          <w:bCs/>
          <w:sz w:val="22"/>
          <w:shd w:val="clear" w:color="auto" w:fill="FFFFFF"/>
        </w:rPr>
      </w:pPr>
    </w:p>
    <w:p w14:paraId="263983A0" w14:textId="5FF5E858" w:rsidR="00933192" w:rsidRPr="000F30BC" w:rsidRDefault="00933192" w:rsidP="00933192">
      <w:pPr>
        <w:widowControl/>
        <w:jc w:val="left"/>
        <w:rPr>
          <w:rFonts w:ascii="Arial" w:hAnsi="Arial" w:cs="Arial"/>
          <w:sz w:val="22"/>
          <w:shd w:val="clear" w:color="auto" w:fill="FFFFFF"/>
        </w:rPr>
      </w:pPr>
      <w:r w:rsidRPr="000D5C4D">
        <w:rPr>
          <w:rFonts w:ascii="Arial" w:hAnsi="Arial" w:cs="Arial"/>
          <w:b/>
          <w:bCs/>
          <w:sz w:val="22"/>
          <w:shd w:val="clear" w:color="auto" w:fill="FFFFFF"/>
        </w:rPr>
        <w:t>Supplemental Tables S4</w:t>
      </w:r>
      <w:r>
        <w:rPr>
          <w:rFonts w:ascii="Arial" w:hAnsi="Arial" w:cs="Arial"/>
          <w:b/>
          <w:bCs/>
          <w:sz w:val="22"/>
          <w:shd w:val="clear" w:color="auto" w:fill="FFFFFF"/>
        </w:rPr>
        <w:t xml:space="preserve">. </w:t>
      </w:r>
      <w:r w:rsidRPr="000F30BC">
        <w:rPr>
          <w:rFonts w:ascii="Arial" w:hAnsi="Arial" w:cs="Arial"/>
          <w:sz w:val="22"/>
          <w:shd w:val="clear" w:color="auto" w:fill="FFFFFF"/>
        </w:rPr>
        <w:t>The number of spatial spots fall into different regions with respect to the MHC class I antigen presentation and T cell infiltration level.</w:t>
      </w:r>
    </w:p>
    <w:p w14:paraId="077B62A7" w14:textId="77777777" w:rsidR="00933192" w:rsidRPr="000D5C4D" w:rsidRDefault="00933192" w:rsidP="00933192">
      <w:pPr>
        <w:widowControl/>
        <w:jc w:val="left"/>
        <w:rPr>
          <w:rFonts w:ascii="Arial" w:hAnsi="Arial" w:cs="Arial"/>
          <w:b/>
          <w:bCs/>
          <w:sz w:val="22"/>
          <w:shd w:val="clear" w:color="auto" w:fill="FFFFFF"/>
        </w:rPr>
      </w:pPr>
    </w:p>
    <w:p w14:paraId="238445C2" w14:textId="77777777" w:rsidR="00933192" w:rsidRPr="000D5C4D" w:rsidRDefault="00933192" w:rsidP="00933192">
      <w:pPr>
        <w:widowControl/>
        <w:jc w:val="left"/>
        <w:rPr>
          <w:rFonts w:ascii="Arial" w:hAnsi="Arial" w:cs="Arial"/>
          <w:b/>
          <w:bCs/>
          <w:sz w:val="22"/>
          <w:shd w:val="clear" w:color="auto" w:fill="FFFFFF"/>
        </w:rPr>
      </w:pPr>
      <w:r w:rsidRPr="000D5C4D">
        <w:rPr>
          <w:rFonts w:ascii="Arial" w:hAnsi="Arial" w:cs="Arial"/>
          <w:b/>
          <w:bCs/>
          <w:sz w:val="22"/>
          <w:shd w:val="clear" w:color="auto" w:fill="FFFFFF"/>
        </w:rPr>
        <w:t>Supplemental Tables S5</w:t>
      </w:r>
      <w:r>
        <w:rPr>
          <w:rFonts w:ascii="Arial" w:hAnsi="Arial" w:cs="Arial"/>
          <w:b/>
          <w:bCs/>
          <w:sz w:val="22"/>
          <w:shd w:val="clear" w:color="auto" w:fill="FFFFFF"/>
        </w:rPr>
        <w:t xml:space="preserve">. </w:t>
      </w:r>
      <w:r w:rsidRPr="000F30BC">
        <w:rPr>
          <w:rFonts w:ascii="Arial" w:hAnsi="Arial" w:cs="Arial"/>
          <w:sz w:val="22"/>
          <w:shd w:val="clear" w:color="auto" w:fill="FFFFFF"/>
        </w:rPr>
        <w:t>Predicted MHC class I antigen presentation level and clinical information of melanoma data.</w:t>
      </w:r>
    </w:p>
    <w:p w14:paraId="2474F9F2" w14:textId="77777777" w:rsidR="00933192" w:rsidRPr="000D5C4D" w:rsidRDefault="00933192" w:rsidP="00933192">
      <w:pPr>
        <w:widowControl/>
        <w:jc w:val="left"/>
        <w:rPr>
          <w:rFonts w:ascii="Arial" w:hAnsi="Arial" w:cs="Arial"/>
          <w:b/>
          <w:bCs/>
          <w:sz w:val="22"/>
          <w:shd w:val="clear" w:color="auto" w:fill="FFFFFF"/>
        </w:rPr>
      </w:pPr>
    </w:p>
    <w:p w14:paraId="36A583EB" w14:textId="77777777" w:rsidR="00933192" w:rsidRPr="000D5C4D" w:rsidRDefault="00933192" w:rsidP="00933192">
      <w:pPr>
        <w:widowControl/>
        <w:jc w:val="left"/>
        <w:rPr>
          <w:rFonts w:ascii="Arial" w:hAnsi="Arial" w:cs="Arial"/>
          <w:b/>
          <w:bCs/>
          <w:sz w:val="22"/>
          <w:shd w:val="clear" w:color="auto" w:fill="FFFFFF"/>
        </w:rPr>
      </w:pPr>
      <w:r w:rsidRPr="000D5C4D">
        <w:rPr>
          <w:rFonts w:ascii="Arial" w:hAnsi="Arial" w:cs="Arial"/>
          <w:b/>
          <w:bCs/>
          <w:sz w:val="22"/>
          <w:shd w:val="clear" w:color="auto" w:fill="FFFFFF"/>
        </w:rPr>
        <w:t>Supplementa</w:t>
      </w:r>
      <w:r>
        <w:rPr>
          <w:rFonts w:ascii="Arial" w:hAnsi="Arial" w:cs="Arial"/>
          <w:b/>
          <w:bCs/>
          <w:sz w:val="22"/>
          <w:shd w:val="clear" w:color="auto" w:fill="FFFFFF"/>
        </w:rPr>
        <w:t>l</w:t>
      </w:r>
      <w:r w:rsidRPr="000D5C4D">
        <w:rPr>
          <w:rFonts w:ascii="Arial" w:hAnsi="Arial" w:cs="Arial"/>
          <w:b/>
          <w:bCs/>
          <w:sz w:val="22"/>
          <w:shd w:val="clear" w:color="auto" w:fill="FFFFFF"/>
        </w:rPr>
        <w:t xml:space="preserve"> </w:t>
      </w:r>
      <w:r>
        <w:rPr>
          <w:rFonts w:ascii="Arial" w:hAnsi="Arial" w:cs="Arial"/>
          <w:b/>
          <w:bCs/>
          <w:sz w:val="22"/>
          <w:shd w:val="clear" w:color="auto" w:fill="FFFFFF"/>
        </w:rPr>
        <w:t>t</w:t>
      </w:r>
      <w:r w:rsidRPr="000D5C4D">
        <w:rPr>
          <w:rFonts w:ascii="Arial" w:hAnsi="Arial" w:cs="Arial"/>
          <w:b/>
          <w:bCs/>
          <w:sz w:val="22"/>
          <w:shd w:val="clear" w:color="auto" w:fill="FFFFFF"/>
        </w:rPr>
        <w:t>ables S6</w:t>
      </w:r>
      <w:r>
        <w:rPr>
          <w:rFonts w:ascii="Arial" w:hAnsi="Arial" w:cs="Arial"/>
          <w:b/>
          <w:bCs/>
          <w:sz w:val="22"/>
          <w:shd w:val="clear" w:color="auto" w:fill="FFFFFF"/>
        </w:rPr>
        <w:t xml:space="preserve">. </w:t>
      </w:r>
      <w:r w:rsidRPr="000F30BC">
        <w:rPr>
          <w:rFonts w:ascii="Arial" w:hAnsi="Arial" w:cs="Arial"/>
          <w:sz w:val="22"/>
          <w:shd w:val="clear" w:color="auto" w:fill="FFFFFF"/>
        </w:rPr>
        <w:t>Predicted genes that have positive impact to the salvage step in the MHC class I antigen presentation pathway.</w:t>
      </w:r>
    </w:p>
    <w:p w14:paraId="06C2A165" w14:textId="77777777" w:rsidR="00933192" w:rsidRDefault="00933192" w:rsidP="00933192">
      <w:pPr>
        <w:widowControl/>
        <w:jc w:val="left"/>
        <w:rPr>
          <w:rFonts w:ascii="Arial" w:hAnsi="Arial" w:cs="Arial"/>
          <w:b/>
          <w:bCs/>
          <w:color w:val="4472C4" w:themeColor="accent1"/>
          <w:sz w:val="22"/>
          <w:shd w:val="clear" w:color="auto" w:fill="FFFFFF"/>
        </w:rPr>
      </w:pPr>
    </w:p>
    <w:p w14:paraId="73B65D0E" w14:textId="77777777" w:rsidR="00933192" w:rsidRDefault="00933192" w:rsidP="00933192">
      <w:pPr>
        <w:widowControl/>
        <w:jc w:val="left"/>
        <w:rPr>
          <w:rFonts w:ascii="Arial" w:hAnsi="Arial" w:cs="Arial"/>
          <w:b/>
          <w:bCs/>
          <w:color w:val="4472C4" w:themeColor="accent1"/>
          <w:sz w:val="22"/>
          <w:shd w:val="clear" w:color="auto" w:fill="FFFFFF"/>
        </w:rPr>
      </w:pPr>
    </w:p>
    <w:p w14:paraId="361CD939" w14:textId="77777777" w:rsidR="00933192" w:rsidRDefault="00933192" w:rsidP="00933192">
      <w:pPr>
        <w:widowControl/>
        <w:jc w:val="left"/>
        <w:rPr>
          <w:rFonts w:ascii="Arial" w:hAnsi="Arial" w:cs="Arial"/>
          <w:b/>
          <w:bCs/>
          <w:color w:val="4472C4" w:themeColor="accent1"/>
          <w:sz w:val="22"/>
          <w:shd w:val="clear" w:color="auto" w:fill="FFFFFF"/>
        </w:rPr>
      </w:pPr>
      <w:r>
        <w:rPr>
          <w:rFonts w:ascii="Arial" w:hAnsi="Arial" w:cs="Arial"/>
          <w:b/>
          <w:bCs/>
          <w:color w:val="4472C4" w:themeColor="accent1"/>
          <w:sz w:val="22"/>
          <w:shd w:val="clear" w:color="auto" w:fill="FFFFFF"/>
        </w:rPr>
        <w:br w:type="page"/>
      </w:r>
    </w:p>
    <w:p w14:paraId="0BC6325B" w14:textId="77777777" w:rsidR="00933192" w:rsidRPr="00BB2FD2" w:rsidRDefault="00933192" w:rsidP="00933192">
      <w:pPr>
        <w:widowControl/>
        <w:jc w:val="left"/>
        <w:rPr>
          <w:rFonts w:ascii="Arial" w:hAnsi="Arial" w:cs="Arial"/>
          <w:b/>
          <w:bCs/>
          <w:color w:val="000000" w:themeColor="text1"/>
          <w:sz w:val="22"/>
        </w:rPr>
      </w:pPr>
    </w:p>
    <w:p w14:paraId="4D868DF2" w14:textId="77777777" w:rsidR="00933192" w:rsidRPr="00BB2FD2" w:rsidRDefault="00933192" w:rsidP="00933192">
      <w:pPr>
        <w:rPr>
          <w:rFonts w:ascii="Arial" w:hAnsi="Arial" w:cs="Arial"/>
          <w:b/>
          <w:bCs/>
          <w:color w:val="000000" w:themeColor="text1"/>
          <w:sz w:val="22"/>
        </w:rPr>
      </w:pPr>
      <w:r w:rsidRPr="00BB2FD2">
        <w:rPr>
          <w:rFonts w:ascii="Arial" w:hAnsi="Arial" w:cs="Arial"/>
          <w:b/>
          <w:bCs/>
          <w:color w:val="000000" w:themeColor="text1"/>
          <w:sz w:val="22"/>
        </w:rPr>
        <w:t>Supplementary Figures</w:t>
      </w:r>
    </w:p>
    <w:p w14:paraId="3E00624B" w14:textId="77777777" w:rsidR="00933192" w:rsidRPr="00BB2FD2" w:rsidRDefault="00933192" w:rsidP="00933192">
      <w:pPr>
        <w:contextualSpacing/>
        <w:rPr>
          <w:rFonts w:ascii="Arial" w:hAnsi="Arial" w:cs="Arial"/>
          <w:b/>
          <w:bCs/>
          <w:sz w:val="22"/>
        </w:rPr>
      </w:pPr>
      <w:r w:rsidRPr="00BB2FD2">
        <w:rPr>
          <w:rFonts w:ascii="Arial" w:hAnsi="Arial" w:cs="Arial"/>
          <w:b/>
          <w:bCs/>
          <w:noProof/>
          <w:sz w:val="22"/>
        </w:rPr>
        <w:drawing>
          <wp:inline distT="0" distB="0" distL="0" distR="0" wp14:anchorId="5EB9BC38" wp14:editId="16768A1C">
            <wp:extent cx="5274310" cy="3811905"/>
            <wp:effectExtent l="0" t="0" r="0" b="0"/>
            <wp:docPr id="1583445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16206" name="Picture 50116206"/>
                    <pic:cNvPicPr/>
                  </pic:nvPicPr>
                  <pic:blipFill>
                    <a:blip r:embed="rId19"/>
                    <a:stretch>
                      <a:fillRect/>
                    </a:stretch>
                  </pic:blipFill>
                  <pic:spPr>
                    <a:xfrm>
                      <a:off x="0" y="0"/>
                      <a:ext cx="5274310" cy="3811905"/>
                    </a:xfrm>
                    <a:prstGeom prst="rect">
                      <a:avLst/>
                    </a:prstGeom>
                  </pic:spPr>
                </pic:pic>
              </a:graphicData>
            </a:graphic>
          </wp:inline>
        </w:drawing>
      </w:r>
    </w:p>
    <w:p w14:paraId="2FC7A7DF" w14:textId="77777777" w:rsidR="00933192" w:rsidRDefault="00933192" w:rsidP="00933192">
      <w:pPr>
        <w:contextualSpacing/>
        <w:rPr>
          <w:rFonts w:ascii="Arial" w:eastAsia="DengXian" w:hAnsi="Arial" w:cs="Arial"/>
          <w:noProof/>
          <w:sz w:val="22"/>
          <w:shd w:val="clear" w:color="auto" w:fill="FFFFFF"/>
        </w:rPr>
      </w:pPr>
      <w:r w:rsidRPr="00BB2FD2">
        <w:rPr>
          <w:rFonts w:ascii="Arial" w:hAnsi="Arial" w:cs="Arial"/>
          <w:b/>
          <w:bCs/>
          <w:sz w:val="22"/>
        </w:rPr>
        <w:t>Supplementary Figure S1</w:t>
      </w:r>
      <w:r w:rsidRPr="00BB2FD2">
        <w:rPr>
          <w:rFonts w:ascii="Arial" w:hAnsi="Arial" w:cs="Arial"/>
          <w:sz w:val="22"/>
        </w:rPr>
        <w:t>. (a) Consistency of the PSAA predicted MHC-II level using the RNA-seq data (x-axis) and proteomics data</w:t>
      </w:r>
      <w:r w:rsidRPr="00BB2FD2" w:rsidDel="003F452C">
        <w:rPr>
          <w:rFonts w:ascii="Arial" w:hAnsi="Arial" w:cs="Arial"/>
          <w:sz w:val="22"/>
        </w:rPr>
        <w:t xml:space="preserve"> </w:t>
      </w:r>
      <w:r w:rsidRPr="00BB2FD2">
        <w:rPr>
          <w:rFonts w:ascii="Arial" w:hAnsi="Arial" w:cs="Arial"/>
          <w:sz w:val="22"/>
        </w:rPr>
        <w:t xml:space="preserve">(y-axis) in CCLE data. (b) Consistency of the activity level of different steps in MHC-I pathway predicted using TCGA data by including (x-axis) and excluding (y-axis) the T-cell recognition step in the input pathway. (c) Robustness of PSAA to dropout samples and missing genes in scRNA-seq Data. X-axis shows the percentage of dropout size. Y-axis shows </w:t>
      </w:r>
      <w:r w:rsidRPr="00BB2FD2">
        <w:rPr>
          <w:rFonts w:ascii="Arial" w:eastAsia="DengXian" w:hAnsi="Arial" w:cs="Arial"/>
          <w:sz w:val="22"/>
          <w:shd w:val="clear" w:color="auto" w:fill="FFFFFF"/>
        </w:rPr>
        <w:t>the Pearson correlation coefficients (PCC) between the predicted antigen presentation level and the cell surface protein of MHC I molecules.</w:t>
      </w:r>
      <w:r w:rsidRPr="00BB2FD2">
        <w:rPr>
          <w:rFonts w:ascii="Arial" w:eastAsia="DengXian" w:hAnsi="Arial" w:cs="Arial"/>
          <w:noProof/>
          <w:sz w:val="22"/>
          <w:shd w:val="clear" w:color="auto" w:fill="FFFFFF"/>
        </w:rPr>
        <w:t xml:space="preserve"> </w:t>
      </w:r>
    </w:p>
    <w:p w14:paraId="0BCEFE30" w14:textId="77777777" w:rsidR="00933192" w:rsidRPr="00BB2FD2" w:rsidRDefault="00933192" w:rsidP="00933192">
      <w:pPr>
        <w:contextualSpacing/>
        <w:rPr>
          <w:rFonts w:ascii="Arial" w:eastAsia="DengXian" w:hAnsi="Arial" w:cs="Arial"/>
          <w:noProof/>
          <w:sz w:val="22"/>
          <w:shd w:val="clear" w:color="auto" w:fill="FFFFFF"/>
        </w:rPr>
      </w:pPr>
    </w:p>
    <w:p w14:paraId="197FDA93" w14:textId="2A922F9E" w:rsidR="00933192" w:rsidRPr="00BB2FD2" w:rsidRDefault="00933192" w:rsidP="00933192">
      <w:pPr>
        <w:contextualSpacing/>
        <w:rPr>
          <w:rFonts w:ascii="Arial" w:eastAsia="DengXian" w:hAnsi="Arial" w:cs="Arial"/>
          <w:sz w:val="22"/>
          <w:shd w:val="clear" w:color="auto" w:fill="FFFFFF"/>
        </w:rPr>
      </w:pPr>
      <w:r w:rsidRPr="00933192">
        <w:rPr>
          <w:rFonts w:ascii="Arial" w:eastAsia="DengXian" w:hAnsi="Arial" w:cs="Arial"/>
          <w:noProof/>
          <w:sz w:val="22"/>
          <w:shd w:val="clear" w:color="auto" w:fill="FFFFFF"/>
        </w:rPr>
        <w:lastRenderedPageBreak/>
        <w:drawing>
          <wp:inline distT="0" distB="0" distL="0" distR="0" wp14:anchorId="4539797E" wp14:editId="1EFA2140">
            <wp:extent cx="4171981" cy="8077259"/>
            <wp:effectExtent l="0" t="0" r="0" b="0"/>
            <wp:docPr id="684340651"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40651" name="Picture 1" descr="A diagram of a graph&#10;&#10;Description automatically generated with medium confidence"/>
                    <pic:cNvPicPr/>
                  </pic:nvPicPr>
                  <pic:blipFill>
                    <a:blip r:embed="rId20"/>
                    <a:stretch>
                      <a:fillRect/>
                    </a:stretch>
                  </pic:blipFill>
                  <pic:spPr>
                    <a:xfrm>
                      <a:off x="0" y="0"/>
                      <a:ext cx="4171981" cy="8077259"/>
                    </a:xfrm>
                    <a:prstGeom prst="rect">
                      <a:avLst/>
                    </a:prstGeom>
                  </pic:spPr>
                </pic:pic>
              </a:graphicData>
            </a:graphic>
          </wp:inline>
        </w:drawing>
      </w:r>
    </w:p>
    <w:p w14:paraId="2EE45817" w14:textId="0882F97D" w:rsidR="00933192" w:rsidRPr="00BB2FD2" w:rsidRDefault="00933192" w:rsidP="00933192">
      <w:pPr>
        <w:contextualSpacing/>
        <w:rPr>
          <w:rFonts w:ascii="Arial" w:hAnsi="Arial" w:cs="Arial"/>
          <w:sz w:val="22"/>
        </w:rPr>
      </w:pPr>
      <w:r w:rsidRPr="00BB2FD2">
        <w:rPr>
          <w:rFonts w:ascii="Arial" w:hAnsi="Arial" w:cs="Arial"/>
          <w:b/>
          <w:bCs/>
          <w:sz w:val="22"/>
        </w:rPr>
        <w:t>Supplementary Figure S2</w:t>
      </w:r>
      <w:r w:rsidRPr="00BB2FD2">
        <w:rPr>
          <w:rFonts w:ascii="Arial" w:hAnsi="Arial" w:cs="Arial"/>
          <w:sz w:val="22"/>
        </w:rPr>
        <w:t xml:space="preserve">. </w:t>
      </w:r>
      <w:r w:rsidRPr="00BB2FD2">
        <w:rPr>
          <w:rFonts w:ascii="Arial" w:eastAsia="DengXian" w:hAnsi="Arial" w:cs="Arial"/>
          <w:sz w:val="22"/>
          <w:shd w:val="clear" w:color="auto" w:fill="FFFFFF"/>
        </w:rPr>
        <w:t xml:space="preserve">Varied dependency between T cell level and </w:t>
      </w:r>
      <w:r w:rsidRPr="00BB2FD2">
        <w:rPr>
          <w:rFonts w:ascii="Arial" w:hAnsi="Arial" w:cs="Arial"/>
          <w:sz w:val="22"/>
        </w:rPr>
        <w:t xml:space="preserve">MHC-II antigen presentation level in the SRT data of pustule infected skin (blue colored) vs wound skin (yellow colored) in patient </w:t>
      </w:r>
      <w:r>
        <w:rPr>
          <w:rFonts w:ascii="Arial" w:hAnsi="Arial" w:cs="Arial"/>
          <w:sz w:val="22"/>
        </w:rPr>
        <w:t>1 and 4.</w:t>
      </w:r>
    </w:p>
    <w:p w14:paraId="09144147" w14:textId="77777777" w:rsidR="00933192" w:rsidRPr="00BB2FD2" w:rsidRDefault="00933192" w:rsidP="00933192">
      <w:pPr>
        <w:contextualSpacing/>
        <w:rPr>
          <w:rFonts w:ascii="Arial" w:hAnsi="Arial" w:cs="Arial"/>
          <w:sz w:val="22"/>
        </w:rPr>
      </w:pPr>
    </w:p>
    <w:p w14:paraId="6918E8E1" w14:textId="77777777" w:rsidR="00933192" w:rsidRPr="00BB2FD2" w:rsidRDefault="00933192" w:rsidP="00933192">
      <w:pPr>
        <w:contextualSpacing/>
        <w:rPr>
          <w:rFonts w:ascii="Arial" w:hAnsi="Arial" w:cs="Arial"/>
          <w:sz w:val="22"/>
        </w:rPr>
      </w:pPr>
    </w:p>
    <w:p w14:paraId="7BAAE064" w14:textId="77777777" w:rsidR="00933192" w:rsidRPr="00BB2FD2" w:rsidRDefault="00933192" w:rsidP="00933192">
      <w:pPr>
        <w:contextualSpacing/>
        <w:rPr>
          <w:rFonts w:ascii="Arial" w:hAnsi="Arial" w:cs="Arial"/>
          <w:sz w:val="22"/>
        </w:rPr>
      </w:pPr>
    </w:p>
    <w:p w14:paraId="656F68AB" w14:textId="77777777" w:rsidR="00933192" w:rsidRPr="00BB2FD2" w:rsidRDefault="00933192" w:rsidP="00933192">
      <w:pPr>
        <w:contextualSpacing/>
        <w:rPr>
          <w:rFonts w:ascii="Arial" w:hAnsi="Arial" w:cs="Arial"/>
          <w:sz w:val="22"/>
        </w:rPr>
      </w:pPr>
    </w:p>
    <w:p w14:paraId="7E0F4A33" w14:textId="77777777" w:rsidR="00933192" w:rsidRPr="00BB2FD2" w:rsidRDefault="00933192" w:rsidP="00933192">
      <w:pPr>
        <w:contextualSpacing/>
        <w:rPr>
          <w:rFonts w:ascii="Arial" w:hAnsi="Arial" w:cs="Arial"/>
          <w:sz w:val="22"/>
        </w:rPr>
      </w:pPr>
    </w:p>
    <w:p w14:paraId="2B9E7DD1" w14:textId="77777777" w:rsidR="00933192" w:rsidRPr="00BB2FD2" w:rsidRDefault="00933192" w:rsidP="00933192">
      <w:pPr>
        <w:contextualSpacing/>
        <w:rPr>
          <w:rFonts w:ascii="Arial" w:hAnsi="Arial" w:cs="Arial"/>
          <w:sz w:val="22"/>
        </w:rPr>
      </w:pPr>
    </w:p>
    <w:p w14:paraId="7A4D74FE" w14:textId="77777777" w:rsidR="00933192" w:rsidRPr="00BB2FD2" w:rsidRDefault="00933192" w:rsidP="00933192">
      <w:pPr>
        <w:contextualSpacing/>
        <w:rPr>
          <w:rFonts w:ascii="Arial" w:hAnsi="Arial" w:cs="Arial"/>
          <w:sz w:val="22"/>
        </w:rPr>
      </w:pPr>
    </w:p>
    <w:p w14:paraId="088E2BB6" w14:textId="77777777" w:rsidR="00933192" w:rsidRPr="00BB2FD2" w:rsidRDefault="00933192" w:rsidP="00933192">
      <w:pPr>
        <w:contextualSpacing/>
        <w:rPr>
          <w:rFonts w:ascii="Arial" w:hAnsi="Arial" w:cs="Arial"/>
          <w:sz w:val="22"/>
        </w:rPr>
      </w:pPr>
    </w:p>
    <w:p w14:paraId="512FAD46" w14:textId="77777777" w:rsidR="00933192" w:rsidRPr="00BB2FD2" w:rsidRDefault="00933192" w:rsidP="00933192">
      <w:pPr>
        <w:contextualSpacing/>
        <w:rPr>
          <w:rFonts w:ascii="Arial" w:hAnsi="Arial" w:cs="Arial"/>
          <w:sz w:val="22"/>
        </w:rPr>
      </w:pPr>
    </w:p>
    <w:p w14:paraId="2D172D33" w14:textId="77777777" w:rsidR="00933192" w:rsidRPr="00BB2FD2" w:rsidRDefault="00933192" w:rsidP="00933192">
      <w:pPr>
        <w:contextualSpacing/>
        <w:rPr>
          <w:rFonts w:ascii="Arial" w:hAnsi="Arial" w:cs="Arial"/>
          <w:sz w:val="22"/>
        </w:rPr>
      </w:pPr>
    </w:p>
    <w:p w14:paraId="6D2DBE0A" w14:textId="77777777" w:rsidR="00933192" w:rsidRPr="00BB2FD2" w:rsidRDefault="00933192" w:rsidP="00933192">
      <w:pPr>
        <w:contextualSpacing/>
        <w:rPr>
          <w:rFonts w:ascii="Arial" w:hAnsi="Arial" w:cs="Arial"/>
          <w:sz w:val="22"/>
        </w:rPr>
      </w:pPr>
    </w:p>
    <w:p w14:paraId="0EE06E89" w14:textId="77777777" w:rsidR="00933192" w:rsidRPr="00BB2FD2" w:rsidRDefault="00933192" w:rsidP="00933192">
      <w:pPr>
        <w:contextualSpacing/>
        <w:rPr>
          <w:rFonts w:ascii="Arial" w:hAnsi="Arial" w:cs="Arial"/>
          <w:sz w:val="22"/>
        </w:rPr>
      </w:pPr>
    </w:p>
    <w:p w14:paraId="52FD3CA2" w14:textId="77777777" w:rsidR="00933192" w:rsidRPr="00BB2FD2" w:rsidRDefault="00933192" w:rsidP="00933192">
      <w:pPr>
        <w:contextualSpacing/>
        <w:rPr>
          <w:rFonts w:ascii="Arial" w:hAnsi="Arial" w:cs="Arial"/>
          <w:sz w:val="22"/>
        </w:rPr>
      </w:pPr>
    </w:p>
    <w:p w14:paraId="580BFBE6" w14:textId="77777777" w:rsidR="00933192" w:rsidRPr="00BB2FD2" w:rsidRDefault="00933192" w:rsidP="00933192">
      <w:pPr>
        <w:contextualSpacing/>
        <w:rPr>
          <w:rFonts w:ascii="Arial" w:hAnsi="Arial" w:cs="Arial"/>
          <w:sz w:val="22"/>
        </w:rPr>
      </w:pPr>
    </w:p>
    <w:p w14:paraId="5ECB99B8" w14:textId="77777777" w:rsidR="00933192" w:rsidRPr="00BB2FD2" w:rsidRDefault="00933192" w:rsidP="00933192">
      <w:pPr>
        <w:contextualSpacing/>
        <w:rPr>
          <w:rFonts w:ascii="Arial" w:eastAsia="DengXian" w:hAnsi="Arial" w:cs="Arial"/>
          <w:sz w:val="22"/>
          <w:shd w:val="clear" w:color="auto" w:fill="FFFFFF"/>
        </w:rPr>
      </w:pPr>
      <w:r w:rsidRPr="00BB2FD2">
        <w:rPr>
          <w:rFonts w:ascii="Arial" w:eastAsia="DengXian" w:hAnsi="Arial" w:cs="Arial"/>
          <w:noProof/>
          <w:sz w:val="22"/>
          <w:shd w:val="clear" w:color="auto" w:fill="FFFFFF"/>
        </w:rPr>
        <w:lastRenderedPageBreak/>
        <w:drawing>
          <wp:inline distT="0" distB="0" distL="0" distR="0" wp14:anchorId="77E35650" wp14:editId="677330B3">
            <wp:extent cx="5274310" cy="7463790"/>
            <wp:effectExtent l="0" t="0" r="0" b="0"/>
            <wp:docPr id="19836069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45574" name="Picture 1861445574"/>
                    <pic:cNvPicPr/>
                  </pic:nvPicPr>
                  <pic:blipFill>
                    <a:blip r:embed="rId21"/>
                    <a:stretch>
                      <a:fillRect/>
                    </a:stretch>
                  </pic:blipFill>
                  <pic:spPr>
                    <a:xfrm>
                      <a:off x="0" y="0"/>
                      <a:ext cx="5274310" cy="7463790"/>
                    </a:xfrm>
                    <a:prstGeom prst="rect">
                      <a:avLst/>
                    </a:prstGeom>
                  </pic:spPr>
                </pic:pic>
              </a:graphicData>
            </a:graphic>
          </wp:inline>
        </w:drawing>
      </w:r>
    </w:p>
    <w:p w14:paraId="43D508A7" w14:textId="77777777" w:rsidR="00933192" w:rsidRPr="00BB2FD2" w:rsidRDefault="00933192" w:rsidP="00933192">
      <w:pPr>
        <w:contextualSpacing/>
        <w:rPr>
          <w:rFonts w:ascii="Arial" w:hAnsi="Arial" w:cs="Arial"/>
          <w:sz w:val="22"/>
        </w:rPr>
      </w:pPr>
      <w:r w:rsidRPr="00BB2FD2">
        <w:rPr>
          <w:rFonts w:ascii="Arial" w:hAnsi="Arial" w:cs="Arial"/>
          <w:b/>
          <w:bCs/>
          <w:sz w:val="22"/>
        </w:rPr>
        <w:t>Supplementary Figure S3.</w:t>
      </w:r>
      <w:r w:rsidRPr="00BB2FD2">
        <w:rPr>
          <w:rFonts w:ascii="Arial" w:hAnsi="Arial" w:cs="Arial"/>
          <w:sz w:val="22"/>
        </w:rPr>
        <w:t xml:space="preserve"> (a) Comparison of PSAA predicted CTL level + recycle of MHC-I between cancer and normal samples across nine cancer types. (b) Spatial dissection conducted by using PSAA predicted MHC-I level and T cell level.</w:t>
      </w:r>
    </w:p>
    <w:p w14:paraId="3346F34C" w14:textId="77777777" w:rsidR="000B3ED0" w:rsidRDefault="000B3ED0" w:rsidP="000B3ED0">
      <w:pPr>
        <w:contextualSpacing/>
        <w:rPr>
          <w:rFonts w:ascii="Arial" w:hAnsi="Arial" w:cs="Arial"/>
          <w:sz w:val="22"/>
        </w:rPr>
      </w:pPr>
    </w:p>
    <w:p w14:paraId="0BB6557A" w14:textId="77777777" w:rsidR="00296682" w:rsidRDefault="00296682" w:rsidP="00AE6C33">
      <w:pPr>
        <w:contextualSpacing/>
        <w:rPr>
          <w:rFonts w:ascii="Arial" w:eastAsia="DengXian" w:hAnsi="Arial" w:cs="Arial"/>
          <w:sz w:val="22"/>
          <w:shd w:val="clear" w:color="auto" w:fill="FFFFFF"/>
        </w:rPr>
      </w:pPr>
    </w:p>
    <w:p w14:paraId="4AD1762D" w14:textId="77777777" w:rsidR="00296682" w:rsidRDefault="00296682" w:rsidP="00AE6C33">
      <w:pPr>
        <w:contextualSpacing/>
        <w:rPr>
          <w:rFonts w:ascii="Arial" w:eastAsia="DengXian" w:hAnsi="Arial" w:cs="Arial"/>
          <w:sz w:val="22"/>
          <w:shd w:val="clear" w:color="auto" w:fill="FFFFFF"/>
        </w:rPr>
      </w:pPr>
    </w:p>
    <w:p w14:paraId="7864D476" w14:textId="77777777" w:rsidR="00933192" w:rsidRPr="00933192" w:rsidRDefault="00296682" w:rsidP="00933192">
      <w:pPr>
        <w:pStyle w:val="EndNoteBibliography"/>
        <w:rPr>
          <w:noProof/>
        </w:rPr>
      </w:pPr>
      <w:r>
        <w:rPr>
          <w:rFonts w:ascii="Arial" w:hAnsi="Arial" w:cs="Arial"/>
          <w:sz w:val="22"/>
          <w:shd w:val="clear" w:color="auto" w:fill="FFFFFF"/>
        </w:rPr>
        <w:lastRenderedPageBreak/>
        <w:fldChar w:fldCharType="begin"/>
      </w:r>
      <w:r>
        <w:rPr>
          <w:rFonts w:ascii="Arial" w:hAnsi="Arial" w:cs="Arial"/>
          <w:sz w:val="22"/>
          <w:shd w:val="clear" w:color="auto" w:fill="FFFFFF"/>
        </w:rPr>
        <w:instrText xml:space="preserve"> ADDIN EN.REFLIST </w:instrText>
      </w:r>
      <w:r>
        <w:rPr>
          <w:rFonts w:ascii="Arial" w:hAnsi="Arial" w:cs="Arial"/>
          <w:sz w:val="22"/>
          <w:shd w:val="clear" w:color="auto" w:fill="FFFFFF"/>
        </w:rPr>
        <w:fldChar w:fldCharType="separate"/>
      </w:r>
      <w:r w:rsidR="00933192" w:rsidRPr="00933192">
        <w:rPr>
          <w:noProof/>
        </w:rPr>
        <w:t>1.</w:t>
      </w:r>
      <w:r w:rsidR="00933192" w:rsidRPr="00933192">
        <w:rPr>
          <w:noProof/>
        </w:rPr>
        <w:tab/>
        <w:t xml:space="preserve">Al-Tawfiq JA, Thornton AC, Katz BP, Fortney KR, Todd KD, Hood AF, Spinola SM. Standardization of the experimental model of </w:t>
      </w:r>
      <w:r w:rsidR="00933192" w:rsidRPr="00933192">
        <w:rPr>
          <w:i/>
          <w:noProof/>
        </w:rPr>
        <w:t xml:space="preserve">Haemophilus ducreyi </w:t>
      </w:r>
      <w:r w:rsidR="00933192" w:rsidRPr="00933192">
        <w:rPr>
          <w:noProof/>
        </w:rPr>
        <w:t>infection in human subjects. J Infect Dis. 1998;178:1684-7.</w:t>
      </w:r>
    </w:p>
    <w:p w14:paraId="0A405F6E" w14:textId="77777777" w:rsidR="00933192" w:rsidRPr="00933192" w:rsidRDefault="00933192" w:rsidP="00933192">
      <w:pPr>
        <w:pStyle w:val="EndNoteBibliography"/>
        <w:rPr>
          <w:noProof/>
        </w:rPr>
      </w:pPr>
      <w:r w:rsidRPr="00933192">
        <w:rPr>
          <w:noProof/>
        </w:rPr>
        <w:t>2.</w:t>
      </w:r>
      <w:r w:rsidRPr="00933192">
        <w:rPr>
          <w:noProof/>
        </w:rPr>
        <w:tab/>
        <w:t>Germain P-L, Lun A, Meixide CG, Macnair W, Robinson MD. Doublet identification in single-cell sequencing data using scDblFinder. F1000Research. 2021;10.</w:t>
      </w:r>
    </w:p>
    <w:p w14:paraId="7D3FE026" w14:textId="77777777" w:rsidR="00933192" w:rsidRPr="00933192" w:rsidRDefault="00933192" w:rsidP="00933192">
      <w:pPr>
        <w:pStyle w:val="EndNoteBibliography"/>
        <w:rPr>
          <w:noProof/>
        </w:rPr>
      </w:pPr>
      <w:r w:rsidRPr="00933192">
        <w:rPr>
          <w:noProof/>
        </w:rPr>
        <w:t>3.</w:t>
      </w:r>
      <w:r w:rsidRPr="00933192">
        <w:rPr>
          <w:noProof/>
        </w:rPr>
        <w:tab/>
        <w:t>Korsunsky I, Millard N, Fan J, Slowikowski K, Zhang F, Wei K, Baglaenko Y, Brenner M, Loh P-r, Raychaudhuri S. Fast, sensitive and accurate integration of single-cell data with Harmony. Nature methods. 2019;16(12):1289-96.</w:t>
      </w:r>
    </w:p>
    <w:p w14:paraId="3C1A43D9" w14:textId="77777777" w:rsidR="00933192" w:rsidRPr="00933192" w:rsidRDefault="00933192" w:rsidP="00933192">
      <w:pPr>
        <w:pStyle w:val="EndNoteBibliography"/>
        <w:rPr>
          <w:noProof/>
        </w:rPr>
      </w:pPr>
      <w:r w:rsidRPr="00933192">
        <w:rPr>
          <w:noProof/>
        </w:rPr>
        <w:t>4.</w:t>
      </w:r>
      <w:r w:rsidRPr="00933192">
        <w:rPr>
          <w:noProof/>
        </w:rPr>
        <w:tab/>
        <w:t>Li L, Feng Q, Wang X. PreMSIm: an R package for predicting microsatellite instability from the expression profiling of a gene panel in cancer. Computational and Structural Biotechnology Journal. 2020;18:668-75.</w:t>
      </w:r>
    </w:p>
    <w:p w14:paraId="04629EAE" w14:textId="53F36944" w:rsidR="0028415B" w:rsidRPr="00374EC0" w:rsidRDefault="00296682" w:rsidP="00AE6C33">
      <w:pPr>
        <w:contextualSpacing/>
        <w:rPr>
          <w:rFonts w:ascii="Arial" w:eastAsia="DengXian" w:hAnsi="Arial" w:cs="Arial"/>
          <w:sz w:val="22"/>
          <w:shd w:val="clear" w:color="auto" w:fill="FFFFFF"/>
        </w:rPr>
      </w:pPr>
      <w:r>
        <w:rPr>
          <w:rFonts w:ascii="Arial" w:eastAsia="DengXian" w:hAnsi="Arial" w:cs="Arial"/>
          <w:sz w:val="22"/>
          <w:shd w:val="clear" w:color="auto" w:fill="FFFFFF"/>
        </w:rPr>
        <w:fldChar w:fldCharType="end"/>
      </w:r>
    </w:p>
    <w:sectPr w:rsidR="0028415B" w:rsidRPr="00374E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160148" w14:textId="77777777" w:rsidR="00837684" w:rsidRDefault="00837684" w:rsidP="00760E9F">
      <w:r>
        <w:separator/>
      </w:r>
    </w:p>
  </w:endnote>
  <w:endnote w:type="continuationSeparator" w:id="0">
    <w:p w14:paraId="1DF3B457" w14:textId="77777777" w:rsidR="00837684" w:rsidRDefault="00837684" w:rsidP="00760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7FB2C" w14:textId="77777777" w:rsidR="00837684" w:rsidRDefault="00837684" w:rsidP="00760E9F">
      <w:r>
        <w:separator/>
      </w:r>
    </w:p>
  </w:footnote>
  <w:footnote w:type="continuationSeparator" w:id="0">
    <w:p w14:paraId="0DEC27CB" w14:textId="77777777" w:rsidR="00837684" w:rsidRDefault="00837684" w:rsidP="00760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96013A"/>
    <w:multiLevelType w:val="hybridMultilevel"/>
    <w:tmpl w:val="597EC9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C0625DD"/>
    <w:multiLevelType w:val="hybridMultilevel"/>
    <w:tmpl w:val="D59C4098"/>
    <w:lvl w:ilvl="0" w:tplc="4CBE98D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694378427">
    <w:abstractNumId w:val="0"/>
  </w:num>
  <w:num w:numId="2" w16cid:durableId="13606675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NIH&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093540"/>
    <w:rsid w:val="00005FC6"/>
    <w:rsid w:val="0001233F"/>
    <w:rsid w:val="000126A8"/>
    <w:rsid w:val="000138DF"/>
    <w:rsid w:val="00041C4A"/>
    <w:rsid w:val="00064CFE"/>
    <w:rsid w:val="00066C0A"/>
    <w:rsid w:val="000727E2"/>
    <w:rsid w:val="00091419"/>
    <w:rsid w:val="00093540"/>
    <w:rsid w:val="0009689D"/>
    <w:rsid w:val="000A7C39"/>
    <w:rsid w:val="000B3ED0"/>
    <w:rsid w:val="000B6EF5"/>
    <w:rsid w:val="000C5954"/>
    <w:rsid w:val="000D66AB"/>
    <w:rsid w:val="000E0D55"/>
    <w:rsid w:val="000E2B88"/>
    <w:rsid w:val="000E7AE6"/>
    <w:rsid w:val="000F1557"/>
    <w:rsid w:val="000F4D78"/>
    <w:rsid w:val="001010D6"/>
    <w:rsid w:val="001012FC"/>
    <w:rsid w:val="00107571"/>
    <w:rsid w:val="001115A2"/>
    <w:rsid w:val="00117165"/>
    <w:rsid w:val="00125547"/>
    <w:rsid w:val="001276DB"/>
    <w:rsid w:val="00135E9B"/>
    <w:rsid w:val="00150A9F"/>
    <w:rsid w:val="001562BA"/>
    <w:rsid w:val="0015751D"/>
    <w:rsid w:val="001606C8"/>
    <w:rsid w:val="001625B6"/>
    <w:rsid w:val="001A13BD"/>
    <w:rsid w:val="001B3FFC"/>
    <w:rsid w:val="001B417C"/>
    <w:rsid w:val="001C00E5"/>
    <w:rsid w:val="001C3E5B"/>
    <w:rsid w:val="001C7CB0"/>
    <w:rsid w:val="001D4ECD"/>
    <w:rsid w:val="001E43B0"/>
    <w:rsid w:val="001E639F"/>
    <w:rsid w:val="001E6EDD"/>
    <w:rsid w:val="001F3748"/>
    <w:rsid w:val="001F4F93"/>
    <w:rsid w:val="00206781"/>
    <w:rsid w:val="0020766E"/>
    <w:rsid w:val="00227149"/>
    <w:rsid w:val="0024306F"/>
    <w:rsid w:val="002468B2"/>
    <w:rsid w:val="0025196E"/>
    <w:rsid w:val="00256FD0"/>
    <w:rsid w:val="0025734E"/>
    <w:rsid w:val="00266378"/>
    <w:rsid w:val="00267AE3"/>
    <w:rsid w:val="00273E93"/>
    <w:rsid w:val="002773D5"/>
    <w:rsid w:val="00277A96"/>
    <w:rsid w:val="00280B4C"/>
    <w:rsid w:val="00283BE0"/>
    <w:rsid w:val="0028415B"/>
    <w:rsid w:val="0028505F"/>
    <w:rsid w:val="0029065B"/>
    <w:rsid w:val="00291FC4"/>
    <w:rsid w:val="00292EAB"/>
    <w:rsid w:val="00296682"/>
    <w:rsid w:val="002C2330"/>
    <w:rsid w:val="002D155B"/>
    <w:rsid w:val="002E303F"/>
    <w:rsid w:val="002F085D"/>
    <w:rsid w:val="002F4364"/>
    <w:rsid w:val="00303E5A"/>
    <w:rsid w:val="003206EA"/>
    <w:rsid w:val="00321C45"/>
    <w:rsid w:val="003233EA"/>
    <w:rsid w:val="003274C6"/>
    <w:rsid w:val="0034640E"/>
    <w:rsid w:val="00355A81"/>
    <w:rsid w:val="0035667A"/>
    <w:rsid w:val="003566C5"/>
    <w:rsid w:val="00356BB9"/>
    <w:rsid w:val="003607BF"/>
    <w:rsid w:val="00371531"/>
    <w:rsid w:val="00373775"/>
    <w:rsid w:val="00374EC0"/>
    <w:rsid w:val="00376972"/>
    <w:rsid w:val="003772EA"/>
    <w:rsid w:val="003809FD"/>
    <w:rsid w:val="00385AC4"/>
    <w:rsid w:val="0038746E"/>
    <w:rsid w:val="003941EA"/>
    <w:rsid w:val="0039617F"/>
    <w:rsid w:val="003A218D"/>
    <w:rsid w:val="003B1862"/>
    <w:rsid w:val="003B4960"/>
    <w:rsid w:val="003F0015"/>
    <w:rsid w:val="003F00CD"/>
    <w:rsid w:val="003F098D"/>
    <w:rsid w:val="003F3613"/>
    <w:rsid w:val="003F452C"/>
    <w:rsid w:val="003F54C7"/>
    <w:rsid w:val="003F79DF"/>
    <w:rsid w:val="003F7A2B"/>
    <w:rsid w:val="00405C52"/>
    <w:rsid w:val="00427229"/>
    <w:rsid w:val="00437540"/>
    <w:rsid w:val="00441DCE"/>
    <w:rsid w:val="00450EF6"/>
    <w:rsid w:val="004642D1"/>
    <w:rsid w:val="00475EFD"/>
    <w:rsid w:val="004764DB"/>
    <w:rsid w:val="00480C99"/>
    <w:rsid w:val="004858C7"/>
    <w:rsid w:val="00487873"/>
    <w:rsid w:val="0049343D"/>
    <w:rsid w:val="00493546"/>
    <w:rsid w:val="00493BDD"/>
    <w:rsid w:val="00493E17"/>
    <w:rsid w:val="004A1D65"/>
    <w:rsid w:val="004A270B"/>
    <w:rsid w:val="004A4EDB"/>
    <w:rsid w:val="004A5B5C"/>
    <w:rsid w:val="004A7183"/>
    <w:rsid w:val="004B3C14"/>
    <w:rsid w:val="004B419B"/>
    <w:rsid w:val="004D1439"/>
    <w:rsid w:val="004D3681"/>
    <w:rsid w:val="004D3CE5"/>
    <w:rsid w:val="004E1B73"/>
    <w:rsid w:val="004E632E"/>
    <w:rsid w:val="004E696F"/>
    <w:rsid w:val="004F219D"/>
    <w:rsid w:val="004F6681"/>
    <w:rsid w:val="004F7A86"/>
    <w:rsid w:val="00502F34"/>
    <w:rsid w:val="005035F3"/>
    <w:rsid w:val="00511281"/>
    <w:rsid w:val="0051178F"/>
    <w:rsid w:val="00521A93"/>
    <w:rsid w:val="005222B4"/>
    <w:rsid w:val="005301F5"/>
    <w:rsid w:val="00531213"/>
    <w:rsid w:val="005327A9"/>
    <w:rsid w:val="005333E0"/>
    <w:rsid w:val="00541E4D"/>
    <w:rsid w:val="005427C1"/>
    <w:rsid w:val="00542FB7"/>
    <w:rsid w:val="005466B2"/>
    <w:rsid w:val="00550B1B"/>
    <w:rsid w:val="005510D8"/>
    <w:rsid w:val="00555087"/>
    <w:rsid w:val="0055603C"/>
    <w:rsid w:val="00560F4D"/>
    <w:rsid w:val="00563096"/>
    <w:rsid w:val="00565115"/>
    <w:rsid w:val="0056674A"/>
    <w:rsid w:val="00567D25"/>
    <w:rsid w:val="00582272"/>
    <w:rsid w:val="00585675"/>
    <w:rsid w:val="005924E5"/>
    <w:rsid w:val="00596F32"/>
    <w:rsid w:val="005A6A09"/>
    <w:rsid w:val="005B40A9"/>
    <w:rsid w:val="005C3F74"/>
    <w:rsid w:val="005E1A1F"/>
    <w:rsid w:val="005E4508"/>
    <w:rsid w:val="005E4853"/>
    <w:rsid w:val="005E6044"/>
    <w:rsid w:val="005F4BC7"/>
    <w:rsid w:val="006103A5"/>
    <w:rsid w:val="00611487"/>
    <w:rsid w:val="00612165"/>
    <w:rsid w:val="0061256D"/>
    <w:rsid w:val="00612F25"/>
    <w:rsid w:val="00621AF1"/>
    <w:rsid w:val="00625991"/>
    <w:rsid w:val="0063480A"/>
    <w:rsid w:val="006358B7"/>
    <w:rsid w:val="00641362"/>
    <w:rsid w:val="0064449B"/>
    <w:rsid w:val="00644CDC"/>
    <w:rsid w:val="0064746D"/>
    <w:rsid w:val="00660FC4"/>
    <w:rsid w:val="00666744"/>
    <w:rsid w:val="00667794"/>
    <w:rsid w:val="00677116"/>
    <w:rsid w:val="00677FB4"/>
    <w:rsid w:val="00684B6C"/>
    <w:rsid w:val="00685F8F"/>
    <w:rsid w:val="00691622"/>
    <w:rsid w:val="006A089D"/>
    <w:rsid w:val="006A62FF"/>
    <w:rsid w:val="006C06D7"/>
    <w:rsid w:val="006C1E33"/>
    <w:rsid w:val="006F1F2B"/>
    <w:rsid w:val="00711F00"/>
    <w:rsid w:val="00713FB2"/>
    <w:rsid w:val="00725C0F"/>
    <w:rsid w:val="00730FB5"/>
    <w:rsid w:val="00741953"/>
    <w:rsid w:val="00755283"/>
    <w:rsid w:val="00757B28"/>
    <w:rsid w:val="00760E9F"/>
    <w:rsid w:val="00761D08"/>
    <w:rsid w:val="00783007"/>
    <w:rsid w:val="00784DFB"/>
    <w:rsid w:val="00787FBF"/>
    <w:rsid w:val="007903D0"/>
    <w:rsid w:val="0079159A"/>
    <w:rsid w:val="007A6F92"/>
    <w:rsid w:val="007B1C49"/>
    <w:rsid w:val="007B281C"/>
    <w:rsid w:val="007B4984"/>
    <w:rsid w:val="007B6FA2"/>
    <w:rsid w:val="007C42D5"/>
    <w:rsid w:val="007D17FF"/>
    <w:rsid w:val="007D6C49"/>
    <w:rsid w:val="007E0465"/>
    <w:rsid w:val="007E0CE8"/>
    <w:rsid w:val="007E1EC4"/>
    <w:rsid w:val="007E4F76"/>
    <w:rsid w:val="007E7A26"/>
    <w:rsid w:val="007E7B53"/>
    <w:rsid w:val="008009D4"/>
    <w:rsid w:val="00803366"/>
    <w:rsid w:val="008063D4"/>
    <w:rsid w:val="00837684"/>
    <w:rsid w:val="00856693"/>
    <w:rsid w:val="00857CA9"/>
    <w:rsid w:val="00861BF0"/>
    <w:rsid w:val="00863792"/>
    <w:rsid w:val="008715E1"/>
    <w:rsid w:val="00890985"/>
    <w:rsid w:val="00890E7C"/>
    <w:rsid w:val="0089411E"/>
    <w:rsid w:val="008A1411"/>
    <w:rsid w:val="008A7218"/>
    <w:rsid w:val="008B1C49"/>
    <w:rsid w:val="008B2E35"/>
    <w:rsid w:val="008C2DE5"/>
    <w:rsid w:val="008C45F3"/>
    <w:rsid w:val="008D1B7B"/>
    <w:rsid w:val="008D40A8"/>
    <w:rsid w:val="008E2D13"/>
    <w:rsid w:val="008E4FDF"/>
    <w:rsid w:val="008F4A33"/>
    <w:rsid w:val="00911F48"/>
    <w:rsid w:val="009168C1"/>
    <w:rsid w:val="009260E6"/>
    <w:rsid w:val="00933192"/>
    <w:rsid w:val="00934EEB"/>
    <w:rsid w:val="00940AAF"/>
    <w:rsid w:val="00943CDE"/>
    <w:rsid w:val="00944259"/>
    <w:rsid w:val="009543A5"/>
    <w:rsid w:val="009552A4"/>
    <w:rsid w:val="00960DF0"/>
    <w:rsid w:val="00961DB0"/>
    <w:rsid w:val="009626D8"/>
    <w:rsid w:val="00964C82"/>
    <w:rsid w:val="0096636B"/>
    <w:rsid w:val="009757CD"/>
    <w:rsid w:val="00977FAC"/>
    <w:rsid w:val="00981024"/>
    <w:rsid w:val="00981FA1"/>
    <w:rsid w:val="00983AA3"/>
    <w:rsid w:val="009867C5"/>
    <w:rsid w:val="00996EC8"/>
    <w:rsid w:val="0099774C"/>
    <w:rsid w:val="009A2662"/>
    <w:rsid w:val="009A6AA9"/>
    <w:rsid w:val="009B4748"/>
    <w:rsid w:val="009C0002"/>
    <w:rsid w:val="009C5A7A"/>
    <w:rsid w:val="009D202C"/>
    <w:rsid w:val="009D2D50"/>
    <w:rsid w:val="009D7E19"/>
    <w:rsid w:val="009E00FF"/>
    <w:rsid w:val="009E2303"/>
    <w:rsid w:val="009E526A"/>
    <w:rsid w:val="00A11429"/>
    <w:rsid w:val="00A42B7A"/>
    <w:rsid w:val="00A42C79"/>
    <w:rsid w:val="00A52006"/>
    <w:rsid w:val="00A526FD"/>
    <w:rsid w:val="00A64088"/>
    <w:rsid w:val="00A65DEB"/>
    <w:rsid w:val="00A72D63"/>
    <w:rsid w:val="00A9173F"/>
    <w:rsid w:val="00A93725"/>
    <w:rsid w:val="00A93E73"/>
    <w:rsid w:val="00AA2D8E"/>
    <w:rsid w:val="00AB6759"/>
    <w:rsid w:val="00AB712B"/>
    <w:rsid w:val="00AC126F"/>
    <w:rsid w:val="00AD0F9F"/>
    <w:rsid w:val="00AD12C9"/>
    <w:rsid w:val="00AE1956"/>
    <w:rsid w:val="00AE6C33"/>
    <w:rsid w:val="00B05C74"/>
    <w:rsid w:val="00B060AE"/>
    <w:rsid w:val="00B14928"/>
    <w:rsid w:val="00B22953"/>
    <w:rsid w:val="00B232FB"/>
    <w:rsid w:val="00B441BA"/>
    <w:rsid w:val="00B64969"/>
    <w:rsid w:val="00B665D7"/>
    <w:rsid w:val="00B701E8"/>
    <w:rsid w:val="00B85755"/>
    <w:rsid w:val="00B93FAF"/>
    <w:rsid w:val="00BA3890"/>
    <w:rsid w:val="00BB2B2D"/>
    <w:rsid w:val="00BB694B"/>
    <w:rsid w:val="00BB7E47"/>
    <w:rsid w:val="00BC15E8"/>
    <w:rsid w:val="00BC5590"/>
    <w:rsid w:val="00BE7B6E"/>
    <w:rsid w:val="00BF7CFD"/>
    <w:rsid w:val="00C01A0E"/>
    <w:rsid w:val="00C07D4E"/>
    <w:rsid w:val="00C07DD4"/>
    <w:rsid w:val="00C37C94"/>
    <w:rsid w:val="00C45ED0"/>
    <w:rsid w:val="00C500C4"/>
    <w:rsid w:val="00C6482C"/>
    <w:rsid w:val="00C64E8A"/>
    <w:rsid w:val="00C7205F"/>
    <w:rsid w:val="00C84BCA"/>
    <w:rsid w:val="00C90D75"/>
    <w:rsid w:val="00C90DBD"/>
    <w:rsid w:val="00C94EA4"/>
    <w:rsid w:val="00CA279B"/>
    <w:rsid w:val="00CB3593"/>
    <w:rsid w:val="00CB660D"/>
    <w:rsid w:val="00CC38D1"/>
    <w:rsid w:val="00CC7207"/>
    <w:rsid w:val="00CD7995"/>
    <w:rsid w:val="00CE62C2"/>
    <w:rsid w:val="00CE6C58"/>
    <w:rsid w:val="00CF464A"/>
    <w:rsid w:val="00CF6620"/>
    <w:rsid w:val="00CF6B6B"/>
    <w:rsid w:val="00D01943"/>
    <w:rsid w:val="00D11A18"/>
    <w:rsid w:val="00D127C7"/>
    <w:rsid w:val="00D1786A"/>
    <w:rsid w:val="00D23141"/>
    <w:rsid w:val="00D3149E"/>
    <w:rsid w:val="00D60D05"/>
    <w:rsid w:val="00D61250"/>
    <w:rsid w:val="00D61372"/>
    <w:rsid w:val="00D64012"/>
    <w:rsid w:val="00D91086"/>
    <w:rsid w:val="00D93C5B"/>
    <w:rsid w:val="00D95E19"/>
    <w:rsid w:val="00D973E4"/>
    <w:rsid w:val="00D9749A"/>
    <w:rsid w:val="00DB419C"/>
    <w:rsid w:val="00DB6A5A"/>
    <w:rsid w:val="00DC3EC2"/>
    <w:rsid w:val="00DD4FB3"/>
    <w:rsid w:val="00DE56A7"/>
    <w:rsid w:val="00DF0E8A"/>
    <w:rsid w:val="00DF0F63"/>
    <w:rsid w:val="00DF5E27"/>
    <w:rsid w:val="00E02982"/>
    <w:rsid w:val="00E03FA6"/>
    <w:rsid w:val="00E043A5"/>
    <w:rsid w:val="00E04E96"/>
    <w:rsid w:val="00E057F9"/>
    <w:rsid w:val="00E13487"/>
    <w:rsid w:val="00E15956"/>
    <w:rsid w:val="00E420D0"/>
    <w:rsid w:val="00E44032"/>
    <w:rsid w:val="00E448A2"/>
    <w:rsid w:val="00E45F3A"/>
    <w:rsid w:val="00E46996"/>
    <w:rsid w:val="00E536E1"/>
    <w:rsid w:val="00E65651"/>
    <w:rsid w:val="00E71211"/>
    <w:rsid w:val="00E7754A"/>
    <w:rsid w:val="00E77AF3"/>
    <w:rsid w:val="00E80D0A"/>
    <w:rsid w:val="00E81B12"/>
    <w:rsid w:val="00E87684"/>
    <w:rsid w:val="00E9232B"/>
    <w:rsid w:val="00E92D55"/>
    <w:rsid w:val="00E9395D"/>
    <w:rsid w:val="00EB0901"/>
    <w:rsid w:val="00EB209E"/>
    <w:rsid w:val="00EB4EF9"/>
    <w:rsid w:val="00EC0366"/>
    <w:rsid w:val="00ED117F"/>
    <w:rsid w:val="00ED35B7"/>
    <w:rsid w:val="00ED50B8"/>
    <w:rsid w:val="00ED705F"/>
    <w:rsid w:val="00EE219B"/>
    <w:rsid w:val="00EE3AD1"/>
    <w:rsid w:val="00EE50EB"/>
    <w:rsid w:val="00EE5D50"/>
    <w:rsid w:val="00EF60BB"/>
    <w:rsid w:val="00F0098C"/>
    <w:rsid w:val="00F02824"/>
    <w:rsid w:val="00F3542F"/>
    <w:rsid w:val="00F3749E"/>
    <w:rsid w:val="00F46FB9"/>
    <w:rsid w:val="00F52BDA"/>
    <w:rsid w:val="00F64FC5"/>
    <w:rsid w:val="00F651EB"/>
    <w:rsid w:val="00F66A31"/>
    <w:rsid w:val="00F727B2"/>
    <w:rsid w:val="00F742D5"/>
    <w:rsid w:val="00F816AB"/>
    <w:rsid w:val="00F949EF"/>
    <w:rsid w:val="00F94EFF"/>
    <w:rsid w:val="00FA3653"/>
    <w:rsid w:val="00FB5602"/>
    <w:rsid w:val="00FC3A44"/>
    <w:rsid w:val="00FD19E3"/>
    <w:rsid w:val="00FE2E43"/>
    <w:rsid w:val="00FF4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9F4D59"/>
  <w15:chartTrackingRefBased/>
  <w15:docId w15:val="{B67E2C50-3599-4379-B276-0718C294A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style>
  <w:style w:type="paragraph" w:styleId="Heading1">
    <w:name w:val="heading 1"/>
    <w:basedOn w:val="Normal"/>
    <w:link w:val="Heading1Char"/>
    <w:uiPriority w:val="9"/>
    <w:qFormat/>
    <w:rsid w:val="0028415B"/>
    <w:pPr>
      <w:widowControl/>
      <w:spacing w:before="100" w:beforeAutospacing="1" w:after="100" w:afterAutospacing="1"/>
      <w:jc w:val="left"/>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11A18"/>
    <w:pPr>
      <w:widowControl/>
      <w:spacing w:after="160" w:line="259" w:lineRule="auto"/>
      <w:jc w:val="left"/>
    </w:pPr>
    <w:rPr>
      <w:rFonts w:asciiTheme="majorHAnsi" w:eastAsia="SimHei" w:hAnsiTheme="majorHAnsi" w:cstheme="majorBidi"/>
      <w:kern w:val="0"/>
      <w:sz w:val="20"/>
      <w:szCs w:val="20"/>
      <w:lang w:eastAsia="en-US"/>
    </w:rPr>
  </w:style>
  <w:style w:type="paragraph" w:styleId="ListParagraph">
    <w:name w:val="List Paragraph"/>
    <w:basedOn w:val="Normal"/>
    <w:link w:val="ListParagraphChar"/>
    <w:uiPriority w:val="34"/>
    <w:qFormat/>
    <w:rsid w:val="00493E17"/>
    <w:pPr>
      <w:widowControl/>
      <w:ind w:left="720"/>
      <w:contextualSpacing/>
      <w:jc w:val="left"/>
    </w:pPr>
    <w:rPr>
      <w:rFonts w:ascii="Times New Roman" w:eastAsia="Times New Roman" w:hAnsi="Times New Roman" w:cs="Times New Roman"/>
      <w:kern w:val="0"/>
      <w:sz w:val="24"/>
      <w:szCs w:val="24"/>
    </w:rPr>
  </w:style>
  <w:style w:type="character" w:customStyle="1" w:styleId="ListParagraphChar">
    <w:name w:val="List Paragraph Char"/>
    <w:basedOn w:val="DefaultParagraphFont"/>
    <w:link w:val="ListParagraph"/>
    <w:uiPriority w:val="34"/>
    <w:rsid w:val="00493E17"/>
    <w:rPr>
      <w:rFonts w:ascii="Times New Roman" w:eastAsia="Times New Roman" w:hAnsi="Times New Roman" w:cs="Times New Roman"/>
      <w:kern w:val="0"/>
      <w:sz w:val="24"/>
      <w:szCs w:val="24"/>
    </w:rPr>
  </w:style>
  <w:style w:type="paragraph" w:styleId="NormalWeb">
    <w:name w:val="Normal (Web)"/>
    <w:basedOn w:val="Normal"/>
    <w:uiPriority w:val="99"/>
    <w:unhideWhenUsed/>
    <w:rsid w:val="000727E2"/>
    <w:pPr>
      <w:widowControl/>
      <w:spacing w:before="100" w:beforeAutospacing="1" w:after="100" w:afterAutospacing="1"/>
      <w:jc w:val="left"/>
    </w:pPr>
    <w:rPr>
      <w:rFonts w:ascii="Times New Roman" w:eastAsia="Times New Roman" w:hAnsi="Times New Roman" w:cs="Times New Roman"/>
      <w:kern w:val="0"/>
      <w:sz w:val="24"/>
      <w:szCs w:val="24"/>
    </w:rPr>
  </w:style>
  <w:style w:type="character" w:customStyle="1" w:styleId="apple-tab-span">
    <w:name w:val="apple-tab-span"/>
    <w:basedOn w:val="DefaultParagraphFont"/>
    <w:rsid w:val="000727E2"/>
  </w:style>
  <w:style w:type="paragraph" w:styleId="Revision">
    <w:name w:val="Revision"/>
    <w:hidden/>
    <w:uiPriority w:val="99"/>
    <w:semiHidden/>
    <w:rsid w:val="000727E2"/>
  </w:style>
  <w:style w:type="character" w:styleId="CommentReference">
    <w:name w:val="annotation reference"/>
    <w:basedOn w:val="DefaultParagraphFont"/>
    <w:uiPriority w:val="99"/>
    <w:semiHidden/>
    <w:unhideWhenUsed/>
    <w:rsid w:val="005E1A1F"/>
    <w:rPr>
      <w:sz w:val="16"/>
      <w:szCs w:val="16"/>
    </w:rPr>
  </w:style>
  <w:style w:type="paragraph" w:styleId="CommentText">
    <w:name w:val="annotation text"/>
    <w:basedOn w:val="Normal"/>
    <w:link w:val="CommentTextChar"/>
    <w:uiPriority w:val="99"/>
    <w:unhideWhenUsed/>
    <w:rsid w:val="005E1A1F"/>
    <w:rPr>
      <w:sz w:val="20"/>
      <w:szCs w:val="20"/>
    </w:rPr>
  </w:style>
  <w:style w:type="character" w:customStyle="1" w:styleId="CommentTextChar">
    <w:name w:val="Comment Text Char"/>
    <w:basedOn w:val="DefaultParagraphFont"/>
    <w:link w:val="CommentText"/>
    <w:uiPriority w:val="99"/>
    <w:rsid w:val="005E1A1F"/>
    <w:rPr>
      <w:sz w:val="20"/>
      <w:szCs w:val="20"/>
    </w:rPr>
  </w:style>
  <w:style w:type="paragraph" w:styleId="CommentSubject">
    <w:name w:val="annotation subject"/>
    <w:basedOn w:val="CommentText"/>
    <w:next w:val="CommentText"/>
    <w:link w:val="CommentSubjectChar"/>
    <w:uiPriority w:val="99"/>
    <w:semiHidden/>
    <w:unhideWhenUsed/>
    <w:rsid w:val="005E1A1F"/>
    <w:rPr>
      <w:b/>
      <w:bCs/>
    </w:rPr>
  </w:style>
  <w:style w:type="character" w:customStyle="1" w:styleId="CommentSubjectChar">
    <w:name w:val="Comment Subject Char"/>
    <w:basedOn w:val="CommentTextChar"/>
    <w:link w:val="CommentSubject"/>
    <w:uiPriority w:val="99"/>
    <w:semiHidden/>
    <w:rsid w:val="005E1A1F"/>
    <w:rPr>
      <w:b/>
      <w:bCs/>
      <w:sz w:val="20"/>
      <w:szCs w:val="20"/>
    </w:rPr>
  </w:style>
  <w:style w:type="character" w:styleId="PlaceholderText">
    <w:name w:val="Placeholder Text"/>
    <w:basedOn w:val="DefaultParagraphFont"/>
    <w:uiPriority w:val="99"/>
    <w:semiHidden/>
    <w:rsid w:val="00685F8F"/>
    <w:rPr>
      <w:color w:val="666666"/>
    </w:rPr>
  </w:style>
  <w:style w:type="paragraph" w:styleId="Header">
    <w:name w:val="header"/>
    <w:basedOn w:val="Normal"/>
    <w:link w:val="HeaderChar"/>
    <w:uiPriority w:val="99"/>
    <w:unhideWhenUsed/>
    <w:rsid w:val="00760E9F"/>
    <w:pPr>
      <w:tabs>
        <w:tab w:val="center" w:pos="4680"/>
        <w:tab w:val="right" w:pos="9360"/>
      </w:tabs>
    </w:pPr>
  </w:style>
  <w:style w:type="character" w:customStyle="1" w:styleId="HeaderChar">
    <w:name w:val="Header Char"/>
    <w:basedOn w:val="DefaultParagraphFont"/>
    <w:link w:val="Header"/>
    <w:uiPriority w:val="99"/>
    <w:rsid w:val="00760E9F"/>
  </w:style>
  <w:style w:type="paragraph" w:styleId="Footer">
    <w:name w:val="footer"/>
    <w:basedOn w:val="Normal"/>
    <w:link w:val="FooterChar"/>
    <w:uiPriority w:val="99"/>
    <w:unhideWhenUsed/>
    <w:rsid w:val="00760E9F"/>
    <w:pPr>
      <w:tabs>
        <w:tab w:val="center" w:pos="4680"/>
        <w:tab w:val="right" w:pos="9360"/>
      </w:tabs>
    </w:pPr>
  </w:style>
  <w:style w:type="character" w:customStyle="1" w:styleId="FooterChar">
    <w:name w:val="Footer Char"/>
    <w:basedOn w:val="DefaultParagraphFont"/>
    <w:link w:val="Footer"/>
    <w:uiPriority w:val="99"/>
    <w:rsid w:val="00760E9F"/>
  </w:style>
  <w:style w:type="character" w:styleId="Hyperlink">
    <w:name w:val="Hyperlink"/>
    <w:basedOn w:val="DefaultParagraphFont"/>
    <w:uiPriority w:val="99"/>
    <w:unhideWhenUsed/>
    <w:rsid w:val="001115A2"/>
    <w:rPr>
      <w:color w:val="0000FF"/>
      <w:u w:val="single"/>
    </w:rPr>
  </w:style>
  <w:style w:type="character" w:customStyle="1" w:styleId="Heading1Char">
    <w:name w:val="Heading 1 Char"/>
    <w:basedOn w:val="DefaultParagraphFont"/>
    <w:link w:val="Heading1"/>
    <w:uiPriority w:val="9"/>
    <w:rsid w:val="0028415B"/>
    <w:rPr>
      <w:rFonts w:ascii="Times New Roman" w:eastAsia="Times New Roman" w:hAnsi="Times New Roman" w:cs="Times New Roman"/>
      <w:b/>
      <w:bCs/>
      <w:kern w:val="36"/>
      <w:sz w:val="48"/>
      <w:szCs w:val="48"/>
    </w:rPr>
  </w:style>
  <w:style w:type="paragraph" w:customStyle="1" w:styleId="EndNoteBibliographyTitle">
    <w:name w:val="EndNote Bibliography Title"/>
    <w:basedOn w:val="Normal"/>
    <w:link w:val="EndNoteBibliographyTitleChar"/>
    <w:rsid w:val="00296682"/>
    <w:pPr>
      <w:jc w:val="center"/>
    </w:pPr>
    <w:rPr>
      <w:rFonts w:ascii="DengXian" w:eastAsia="DengXian" w:hAnsi="DengXian"/>
      <w:sz w:val="20"/>
    </w:rPr>
  </w:style>
  <w:style w:type="character" w:customStyle="1" w:styleId="EndNoteBibliographyTitleChar">
    <w:name w:val="EndNote Bibliography Title Char"/>
    <w:basedOn w:val="DefaultParagraphFont"/>
    <w:link w:val="EndNoteBibliographyTitle"/>
    <w:rsid w:val="00296682"/>
    <w:rPr>
      <w:rFonts w:ascii="DengXian" w:eastAsia="DengXian" w:hAnsi="DengXian"/>
      <w:sz w:val="20"/>
    </w:rPr>
  </w:style>
  <w:style w:type="paragraph" w:customStyle="1" w:styleId="EndNoteBibliography">
    <w:name w:val="EndNote Bibliography"/>
    <w:basedOn w:val="Normal"/>
    <w:link w:val="EndNoteBibliographyChar"/>
    <w:rsid w:val="00296682"/>
    <w:rPr>
      <w:rFonts w:ascii="DengXian" w:eastAsia="DengXian" w:hAnsi="DengXian"/>
      <w:sz w:val="20"/>
    </w:rPr>
  </w:style>
  <w:style w:type="character" w:customStyle="1" w:styleId="EndNoteBibliographyChar">
    <w:name w:val="EndNote Bibliography Char"/>
    <w:basedOn w:val="DefaultParagraphFont"/>
    <w:link w:val="EndNoteBibliography"/>
    <w:rsid w:val="00296682"/>
    <w:rPr>
      <w:rFonts w:ascii="DengXian" w:eastAsia="DengXian" w:hAnsi="DengXi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59148">
      <w:bodyDiv w:val="1"/>
      <w:marLeft w:val="0"/>
      <w:marRight w:val="0"/>
      <w:marTop w:val="0"/>
      <w:marBottom w:val="0"/>
      <w:divBdr>
        <w:top w:val="none" w:sz="0" w:space="0" w:color="auto"/>
        <w:left w:val="none" w:sz="0" w:space="0" w:color="auto"/>
        <w:bottom w:val="none" w:sz="0" w:space="0" w:color="auto"/>
        <w:right w:val="none" w:sz="0" w:space="0" w:color="auto"/>
      </w:divBdr>
      <w:divsChild>
        <w:div w:id="1975286949">
          <w:marLeft w:val="0"/>
          <w:marRight w:val="0"/>
          <w:marTop w:val="0"/>
          <w:marBottom w:val="0"/>
          <w:divBdr>
            <w:top w:val="none" w:sz="0" w:space="0" w:color="auto"/>
            <w:left w:val="none" w:sz="0" w:space="0" w:color="auto"/>
            <w:bottom w:val="none" w:sz="0" w:space="0" w:color="auto"/>
            <w:right w:val="none" w:sz="0" w:space="0" w:color="auto"/>
          </w:divBdr>
          <w:divsChild>
            <w:div w:id="672531332">
              <w:marLeft w:val="0"/>
              <w:marRight w:val="0"/>
              <w:marTop w:val="0"/>
              <w:marBottom w:val="0"/>
              <w:divBdr>
                <w:top w:val="none" w:sz="0" w:space="0" w:color="auto"/>
                <w:left w:val="none" w:sz="0" w:space="0" w:color="auto"/>
                <w:bottom w:val="none" w:sz="0" w:space="0" w:color="auto"/>
                <w:right w:val="none" w:sz="0" w:space="0" w:color="auto"/>
              </w:divBdr>
              <w:divsChild>
                <w:div w:id="1613366106">
                  <w:marLeft w:val="0"/>
                  <w:marRight w:val="0"/>
                  <w:marTop w:val="0"/>
                  <w:marBottom w:val="0"/>
                  <w:divBdr>
                    <w:top w:val="none" w:sz="0" w:space="0" w:color="auto"/>
                    <w:left w:val="none" w:sz="0" w:space="0" w:color="auto"/>
                    <w:bottom w:val="none" w:sz="0" w:space="0" w:color="auto"/>
                    <w:right w:val="none" w:sz="0" w:space="0" w:color="auto"/>
                  </w:divBdr>
                  <w:divsChild>
                    <w:div w:id="14061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99963">
      <w:bodyDiv w:val="1"/>
      <w:marLeft w:val="0"/>
      <w:marRight w:val="0"/>
      <w:marTop w:val="0"/>
      <w:marBottom w:val="0"/>
      <w:divBdr>
        <w:top w:val="none" w:sz="0" w:space="0" w:color="auto"/>
        <w:left w:val="none" w:sz="0" w:space="0" w:color="auto"/>
        <w:bottom w:val="none" w:sz="0" w:space="0" w:color="auto"/>
        <w:right w:val="none" w:sz="0" w:space="0" w:color="auto"/>
      </w:divBdr>
    </w:div>
    <w:div w:id="452746653">
      <w:bodyDiv w:val="1"/>
      <w:marLeft w:val="0"/>
      <w:marRight w:val="0"/>
      <w:marTop w:val="0"/>
      <w:marBottom w:val="0"/>
      <w:divBdr>
        <w:top w:val="none" w:sz="0" w:space="0" w:color="auto"/>
        <w:left w:val="none" w:sz="0" w:space="0" w:color="auto"/>
        <w:bottom w:val="none" w:sz="0" w:space="0" w:color="auto"/>
        <w:right w:val="none" w:sz="0" w:space="0" w:color="auto"/>
      </w:divBdr>
    </w:div>
    <w:div w:id="483741272">
      <w:bodyDiv w:val="1"/>
      <w:marLeft w:val="0"/>
      <w:marRight w:val="0"/>
      <w:marTop w:val="0"/>
      <w:marBottom w:val="0"/>
      <w:divBdr>
        <w:top w:val="none" w:sz="0" w:space="0" w:color="auto"/>
        <w:left w:val="none" w:sz="0" w:space="0" w:color="auto"/>
        <w:bottom w:val="none" w:sz="0" w:space="0" w:color="auto"/>
        <w:right w:val="none" w:sz="0" w:space="0" w:color="auto"/>
      </w:divBdr>
    </w:div>
    <w:div w:id="612827745">
      <w:bodyDiv w:val="1"/>
      <w:marLeft w:val="0"/>
      <w:marRight w:val="0"/>
      <w:marTop w:val="0"/>
      <w:marBottom w:val="0"/>
      <w:divBdr>
        <w:top w:val="none" w:sz="0" w:space="0" w:color="auto"/>
        <w:left w:val="none" w:sz="0" w:space="0" w:color="auto"/>
        <w:bottom w:val="none" w:sz="0" w:space="0" w:color="auto"/>
        <w:right w:val="none" w:sz="0" w:space="0" w:color="auto"/>
      </w:divBdr>
      <w:divsChild>
        <w:div w:id="1938053677">
          <w:marLeft w:val="0"/>
          <w:marRight w:val="0"/>
          <w:marTop w:val="0"/>
          <w:marBottom w:val="0"/>
          <w:divBdr>
            <w:top w:val="none" w:sz="0" w:space="0" w:color="auto"/>
            <w:left w:val="none" w:sz="0" w:space="0" w:color="auto"/>
            <w:bottom w:val="none" w:sz="0" w:space="0" w:color="auto"/>
            <w:right w:val="none" w:sz="0" w:space="0" w:color="auto"/>
          </w:divBdr>
          <w:divsChild>
            <w:div w:id="1865746058">
              <w:marLeft w:val="0"/>
              <w:marRight w:val="0"/>
              <w:marTop w:val="0"/>
              <w:marBottom w:val="0"/>
              <w:divBdr>
                <w:top w:val="none" w:sz="0" w:space="0" w:color="auto"/>
                <w:left w:val="none" w:sz="0" w:space="0" w:color="auto"/>
                <w:bottom w:val="none" w:sz="0" w:space="0" w:color="auto"/>
                <w:right w:val="none" w:sz="0" w:space="0" w:color="auto"/>
              </w:divBdr>
              <w:divsChild>
                <w:div w:id="1212376214">
                  <w:marLeft w:val="0"/>
                  <w:marRight w:val="0"/>
                  <w:marTop w:val="0"/>
                  <w:marBottom w:val="0"/>
                  <w:divBdr>
                    <w:top w:val="none" w:sz="0" w:space="0" w:color="auto"/>
                    <w:left w:val="none" w:sz="0" w:space="0" w:color="auto"/>
                    <w:bottom w:val="none" w:sz="0" w:space="0" w:color="auto"/>
                    <w:right w:val="none" w:sz="0" w:space="0" w:color="auto"/>
                  </w:divBdr>
                  <w:divsChild>
                    <w:div w:id="10451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863291">
      <w:bodyDiv w:val="1"/>
      <w:marLeft w:val="0"/>
      <w:marRight w:val="0"/>
      <w:marTop w:val="0"/>
      <w:marBottom w:val="0"/>
      <w:divBdr>
        <w:top w:val="none" w:sz="0" w:space="0" w:color="auto"/>
        <w:left w:val="none" w:sz="0" w:space="0" w:color="auto"/>
        <w:bottom w:val="none" w:sz="0" w:space="0" w:color="auto"/>
        <w:right w:val="none" w:sz="0" w:space="0" w:color="auto"/>
      </w:divBdr>
    </w:div>
    <w:div w:id="997540810">
      <w:bodyDiv w:val="1"/>
      <w:marLeft w:val="0"/>
      <w:marRight w:val="0"/>
      <w:marTop w:val="0"/>
      <w:marBottom w:val="0"/>
      <w:divBdr>
        <w:top w:val="none" w:sz="0" w:space="0" w:color="auto"/>
        <w:left w:val="none" w:sz="0" w:space="0" w:color="auto"/>
        <w:bottom w:val="none" w:sz="0" w:space="0" w:color="auto"/>
        <w:right w:val="none" w:sz="0" w:space="0" w:color="auto"/>
      </w:divBdr>
    </w:div>
    <w:div w:id="1081296594">
      <w:bodyDiv w:val="1"/>
      <w:marLeft w:val="0"/>
      <w:marRight w:val="0"/>
      <w:marTop w:val="0"/>
      <w:marBottom w:val="0"/>
      <w:divBdr>
        <w:top w:val="none" w:sz="0" w:space="0" w:color="auto"/>
        <w:left w:val="none" w:sz="0" w:space="0" w:color="auto"/>
        <w:bottom w:val="none" w:sz="0" w:space="0" w:color="auto"/>
        <w:right w:val="none" w:sz="0" w:space="0" w:color="auto"/>
      </w:divBdr>
    </w:div>
    <w:div w:id="1254044828">
      <w:bodyDiv w:val="1"/>
      <w:marLeft w:val="0"/>
      <w:marRight w:val="0"/>
      <w:marTop w:val="0"/>
      <w:marBottom w:val="0"/>
      <w:divBdr>
        <w:top w:val="none" w:sz="0" w:space="0" w:color="auto"/>
        <w:left w:val="none" w:sz="0" w:space="0" w:color="auto"/>
        <w:bottom w:val="none" w:sz="0" w:space="0" w:color="auto"/>
        <w:right w:val="none" w:sz="0" w:space="0" w:color="auto"/>
      </w:divBdr>
    </w:div>
    <w:div w:id="1594850481">
      <w:bodyDiv w:val="1"/>
      <w:marLeft w:val="0"/>
      <w:marRight w:val="0"/>
      <w:marTop w:val="0"/>
      <w:marBottom w:val="0"/>
      <w:divBdr>
        <w:top w:val="none" w:sz="0" w:space="0" w:color="auto"/>
        <w:left w:val="none" w:sz="0" w:space="0" w:color="auto"/>
        <w:bottom w:val="none" w:sz="0" w:space="0" w:color="auto"/>
        <w:right w:val="none" w:sz="0" w:space="0" w:color="auto"/>
      </w:divBdr>
      <w:divsChild>
        <w:div w:id="1247963299">
          <w:marLeft w:val="0"/>
          <w:marRight w:val="0"/>
          <w:marTop w:val="0"/>
          <w:marBottom w:val="0"/>
          <w:divBdr>
            <w:top w:val="none" w:sz="0" w:space="0" w:color="auto"/>
            <w:left w:val="none" w:sz="0" w:space="0" w:color="auto"/>
            <w:bottom w:val="none" w:sz="0" w:space="0" w:color="auto"/>
            <w:right w:val="none" w:sz="0" w:space="0" w:color="auto"/>
          </w:divBdr>
        </w:div>
      </w:divsChild>
    </w:div>
    <w:div w:id="209770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z48@iu.edu" TargetMode="External"/><Relationship Id="rId13" Type="http://schemas.openxmlformats.org/officeDocument/2006/relationships/hyperlink" Target="https://www.cbioportal.org/study/summary?id=ov_tcga" TargetMode="External"/><Relationship Id="rId18" Type="http://schemas.openxmlformats.org/officeDocument/2006/relationships/image" Target="media/image1.e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s://www.cbioportal.org/study/summary?id=ccle_broad_2019" TargetMode="External"/><Relationship Id="rId17" Type="http://schemas.openxmlformats.org/officeDocument/2006/relationships/hyperlink" Target="https://adknowledgeportal.synapse.org/Explore/Studies/DetailsPage/StudyDetails?Study=syn3219045" TargetMode="External"/><Relationship Id="rId2" Type="http://schemas.openxmlformats.org/officeDocument/2006/relationships/numbering" Target="numbering.xml"/><Relationship Id="rId16" Type="http://schemas.openxmlformats.org/officeDocument/2006/relationships/hyperlink" Target="https://www.10xgenomics.com/datasets/human-prostate-cancer-adjacent-normal-section-with-if-staining-ffpe-1-standard-1-3-0"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nglecell.broadinstitute.org/single_cell/study/SCP1064/multi-modal-pooled-perturb-cite-seq-screens-in-patient-models-define-novel-mechanisms-of-cancer-immune-evasion" TargetMode="External"/><Relationship Id="rId5" Type="http://schemas.openxmlformats.org/officeDocument/2006/relationships/webSettings" Target="webSettings.xml"/><Relationship Id="rId15" Type="http://schemas.openxmlformats.org/officeDocument/2006/relationships/hyperlink" Target="https://support.10xgenomics.com/spatial-gene-expression/datasets" TargetMode="External"/><Relationship Id="rId23" Type="http://schemas.openxmlformats.org/officeDocument/2006/relationships/theme" Target="theme/theme1.xml"/><Relationship Id="rId10" Type="http://schemas.openxmlformats.org/officeDocument/2006/relationships/hyperlink" Target="mailto:zhangchi@ohsu.edu" TargetMode="External"/><Relationship Id="rId19"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caosh@ohsu.edu" TargetMode="External"/><Relationship Id="rId14" Type="http://schemas.openxmlformats.org/officeDocument/2006/relationships/hyperlink" Target="https://www.10xgenomics.com/datasets/human-melanoma-if-stained-ffpe-2-standard"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BEBBD-67EB-40F9-9D21-3F7EC730E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16</Pages>
  <Words>5147</Words>
  <Characters>29342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Chi</dc:creator>
  <cp:keywords/>
  <dc:description/>
  <cp:lastModifiedBy>Zhang, Chi</cp:lastModifiedBy>
  <cp:revision>7</cp:revision>
  <dcterms:created xsi:type="dcterms:W3CDTF">2024-12-11T06:33:00Z</dcterms:created>
  <dcterms:modified xsi:type="dcterms:W3CDTF">2024-12-11T08:43:00Z</dcterms:modified>
</cp:coreProperties>
</file>