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3299"/>
        <w:gridCol w:w="3621"/>
      </w:tblGrid>
      <w:tr w:rsidR="00781EE9" w:rsidRPr="000C387F" w14:paraId="2FB2A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5BF2" w14:textId="77777777" w:rsidR="00781EE9" w:rsidRPr="000C387F" w:rsidRDefault="00000000">
            <w:pPr>
              <w:pStyle w:val="EstilodeTabela2"/>
            </w:pPr>
            <w:r w:rsidRPr="000C387F">
              <w:rPr>
                <w:rFonts w:ascii="Arial" w:hAnsi="Arial"/>
              </w:rPr>
              <w:t xml:space="preserve">Article | Newcastle-Ottawa Scale Score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4209" w14:textId="77777777" w:rsidR="00781EE9" w:rsidRPr="000C387F" w:rsidRDefault="00000000">
            <w:pPr>
              <w:pStyle w:val="EstilodeTabela2"/>
            </w:pPr>
            <w:r w:rsidRPr="000C387F">
              <w:t xml:space="preserve">Strong Points 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1510" w14:textId="77777777" w:rsidR="00781EE9" w:rsidRPr="000C387F" w:rsidRDefault="00000000">
            <w:pPr>
              <w:pStyle w:val="EstilodeTabela2"/>
            </w:pPr>
            <w:r w:rsidRPr="000C387F">
              <w:t xml:space="preserve">Limitations </w:t>
            </w:r>
          </w:p>
        </w:tc>
      </w:tr>
      <w:tr w:rsidR="00781EE9" w:rsidRPr="000C387F" w14:paraId="5A804389" w14:textId="77777777" w:rsidTr="000C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DCF4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Clinical Impact of Rapid Species Identification </w:t>
            </w:r>
            <w:proofErr w:type="gramStart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From</w:t>
            </w:r>
            <w:proofErr w:type="gramEnd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Positive Blood Cultures With Same-day Phenotypic Antimicrobial Susceptibility Testing on the Management and Outcome of Bloodstream Infections | 9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6C10" w14:textId="77777777" w:rsidR="00781EE9" w:rsidRPr="000C387F" w:rsidRDefault="00000000">
            <w:pPr>
              <w:pStyle w:val="Corpo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Quasi-experimental study with a control group, allowing evaluation of the impact of the new technology (ADX). </w:t>
            </w:r>
          </w:p>
          <w:p w14:paraId="7BE7592E" w14:textId="77777777" w:rsidR="00781EE9" w:rsidRPr="000C387F" w:rsidRDefault="00000000">
            <w:pPr>
              <w:pStyle w:val="Corpo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 of important variables, such as implementation of antimicrobial stewardship program (ASP).</w:t>
            </w:r>
          </w:p>
          <w:p w14:paraId="755542D4" w14:textId="77777777" w:rsidR="00781EE9" w:rsidRPr="000C387F" w:rsidRDefault="00000000">
            <w:pPr>
              <w:pStyle w:val="Corpo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Evaluation of relevant clinical outcomes.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A84A" w14:textId="77777777" w:rsidR="00781EE9" w:rsidRPr="000C387F" w:rsidRDefault="00000000">
            <w:pPr>
              <w:pStyle w:val="Corpo"/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Absence of randomization of patients in different groups. </w:t>
            </w:r>
          </w:p>
          <w:p w14:paraId="6BD200A9" w14:textId="77777777" w:rsidR="00781EE9" w:rsidRPr="000C387F" w:rsidRDefault="00000000">
            <w:pPr>
              <w:pStyle w:val="Corpo"/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Exclusion of patients with specific criteria. </w:t>
            </w:r>
          </w:p>
          <w:p w14:paraId="7270552B" w14:textId="77777777" w:rsidR="00781EE9" w:rsidRPr="000C387F" w:rsidRDefault="00000000">
            <w:pPr>
              <w:pStyle w:val="Corpo"/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Lack of assessment.</w:t>
            </w:r>
          </w:p>
        </w:tc>
      </w:tr>
      <w:tr w:rsidR="00781EE9" w:rsidRPr="000C387F" w14:paraId="40C752B8" w14:textId="77777777" w:rsidTr="000C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D4C9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European Practices of Infections with Staphylococcus aureus (SEPIA) Study Group. Adequacy of antimicrobial treatment and outcome of Staphylococcus aureus bacteremia in 9 Western European countries |NOS Score not applicable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D9B8" w14:textId="77777777" w:rsidR="00781EE9" w:rsidRPr="000C387F" w:rsidRDefault="00000000">
            <w:pPr>
              <w:pStyle w:val="Corpo"/>
              <w:numPr>
                <w:ilvl w:val="1"/>
                <w:numId w:val="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Multicenter study involving 9 European countries, increasing sample representativeness.</w:t>
            </w:r>
          </w:p>
          <w:p w14:paraId="50C3323F" w14:textId="77777777" w:rsidR="00781EE9" w:rsidRPr="000C387F" w:rsidRDefault="00000000">
            <w:pPr>
              <w:pStyle w:val="Corpo"/>
              <w:numPr>
                <w:ilvl w:val="1"/>
                <w:numId w:val="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Validation of collected data quality. </w:t>
            </w:r>
          </w:p>
          <w:p w14:paraId="6B6B82E3" w14:textId="77777777" w:rsidR="00781EE9" w:rsidRPr="000C387F" w:rsidRDefault="00000000">
            <w:pPr>
              <w:pStyle w:val="Corpo"/>
              <w:numPr>
                <w:ilvl w:val="1"/>
                <w:numId w:val="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Multivariate analysis controlling for potential confounding factors.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1CCD" w14:textId="77777777" w:rsidR="00781EE9" w:rsidRPr="000C387F" w:rsidRDefault="00000000">
            <w:pPr>
              <w:pStyle w:val="Corpo"/>
              <w:numPr>
                <w:ilvl w:val="1"/>
                <w:numId w:val="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Selection of participating hospitals does not clarify criteria used. </w:t>
            </w:r>
          </w:p>
          <w:p w14:paraId="2522B253" w14:textId="77777777" w:rsidR="00781EE9" w:rsidRPr="000C387F" w:rsidRDefault="00000000">
            <w:pPr>
              <w:pStyle w:val="Corpo"/>
              <w:numPr>
                <w:ilvl w:val="1"/>
                <w:numId w:val="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Lack of information about outcome (mortality) ascertainment and whether it was present at study start. </w:t>
            </w:r>
          </w:p>
          <w:p w14:paraId="3F1FE96D" w14:textId="77777777" w:rsidR="00781EE9" w:rsidRPr="000C387F" w:rsidRDefault="00000000">
            <w:pPr>
              <w:pStyle w:val="Corpo"/>
              <w:numPr>
                <w:ilvl w:val="1"/>
                <w:numId w:val="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High dropout rate of participating hospitals during follow-up. </w:t>
            </w:r>
          </w:p>
          <w:p w14:paraId="464ADB2E" w14:textId="77777777" w:rsidR="00781EE9" w:rsidRPr="000C387F" w:rsidRDefault="00000000">
            <w:pPr>
              <w:pStyle w:val="Corpo"/>
              <w:numPr>
                <w:ilvl w:val="1"/>
                <w:numId w:val="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Follow-up limited to hospitalization period.</w:t>
            </w:r>
          </w:p>
        </w:tc>
      </w:tr>
      <w:tr w:rsidR="00781EE9" w:rsidRPr="000C387F" w14:paraId="6EE07226" w14:textId="77777777" w:rsidTr="000C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D42F9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Antimicrobial agent prescription: a prospective cohort study in patients with sepsis and septic shock | 8 stars|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140A" w14:textId="77777777" w:rsidR="00781EE9" w:rsidRPr="000C387F" w:rsidRDefault="00000000">
            <w:pPr>
              <w:pStyle w:val="Corpo"/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Prospective study with rigorous patient identification based on clinical histories. </w:t>
            </w:r>
          </w:p>
          <w:p w14:paraId="39708558" w14:textId="77777777" w:rsidR="00781EE9" w:rsidRPr="000C387F" w:rsidRDefault="00000000">
            <w:pPr>
              <w:pStyle w:val="Corpo"/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Antibiotic prescription evaluation conducted independently by infectious disease specialists. </w:t>
            </w:r>
          </w:p>
          <w:p w14:paraId="2CB86646" w14:textId="77777777" w:rsidR="00781EE9" w:rsidRPr="000C387F" w:rsidRDefault="00000000">
            <w:pPr>
              <w:pStyle w:val="Corpo"/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loss to follow-up. Adjustment of analyses for known prognostic factors in sepsis.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5516" w14:textId="77777777" w:rsidR="00781EE9" w:rsidRPr="000C387F" w:rsidRDefault="00000000">
            <w:pPr>
              <w:pStyle w:val="Corpo"/>
              <w:numPr>
                <w:ilvl w:val="1"/>
                <w:numId w:val="6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Antibiotic prescription evaluation process different for patients with positive and negative cultures. </w:t>
            </w:r>
          </w:p>
          <w:p w14:paraId="4124F5AC" w14:textId="77777777" w:rsidR="00781EE9" w:rsidRPr="000C387F" w:rsidRDefault="00000000">
            <w:pPr>
              <w:pStyle w:val="Corpo"/>
              <w:numPr>
                <w:ilvl w:val="1"/>
                <w:numId w:val="6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Initially estimated sample size may have been insufficient to detect differences in outcomes. </w:t>
            </w:r>
          </w:p>
          <w:p w14:paraId="41F1A8AB" w14:textId="77777777" w:rsidR="00781EE9" w:rsidRPr="000C387F" w:rsidRDefault="00000000">
            <w:pPr>
              <w:pStyle w:val="Corpo"/>
              <w:numPr>
                <w:ilvl w:val="1"/>
                <w:numId w:val="6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control group of patients without severe sepsis or septic shock.</w:t>
            </w:r>
          </w:p>
        </w:tc>
      </w:tr>
      <w:tr w:rsidR="00781EE9" w:rsidRPr="000C387F" w14:paraId="05F07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0754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Surgical Site Infections: Does Inadequate Antibiotic Therapy Affect Patient Outcomes? | 9 stars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EE2C" w14:textId="77777777" w:rsidR="00781EE9" w:rsidRPr="000C387F" w:rsidRDefault="00000000">
            <w:pPr>
              <w:pStyle w:val="Corpo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Retrospective cohort design allowing evaluation of inadequate antibiotic therapy impact on outcomes of interest. </w:t>
            </w:r>
          </w:p>
          <w:p w14:paraId="53F6BA7E" w14:textId="77777777" w:rsidR="00781EE9" w:rsidRPr="000C387F" w:rsidRDefault="00000000">
            <w:pPr>
              <w:pStyle w:val="Corpo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 for important confounding factors such as disease severity (APACHE II) and infection site. Evaluation of relevant outcomes such as length of hospitalization and costs.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4991" w14:textId="77777777" w:rsidR="00781EE9" w:rsidRPr="000C387F" w:rsidRDefault="00000000">
            <w:pPr>
              <w:pStyle w:val="Corpo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Relatively small sample from a single center limiting result generalization. </w:t>
            </w:r>
          </w:p>
          <w:p w14:paraId="04DC18B2" w14:textId="77777777" w:rsidR="00781EE9" w:rsidRPr="000C387F" w:rsidRDefault="00000000">
            <w:pPr>
              <w:pStyle w:val="Corpo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Possible selection bias as only patients with positive cultures included. </w:t>
            </w:r>
          </w:p>
          <w:p w14:paraId="0AAC100D" w14:textId="77777777" w:rsidR="00781EE9" w:rsidRPr="000C387F" w:rsidRDefault="00000000">
            <w:pPr>
              <w:pStyle w:val="Corpo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Lack of assessment of other factors influencing outcomes such as surgical infection control adequacy and nursing care.</w:t>
            </w:r>
          </w:p>
        </w:tc>
      </w:tr>
      <w:tr w:rsidR="00781EE9" w:rsidRPr="000C387F" w14:paraId="00E45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68F2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Epidemiology and Economic Outcomes Associated with Timely versus Delayed Receipt of Appropriate Antibiotic Therapy among US Patients Hospitalized for Native Septic Arthritis | 8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FE68" w14:textId="77777777" w:rsidR="00781EE9" w:rsidRPr="000C387F" w:rsidRDefault="00000000">
            <w:pPr>
              <w:pStyle w:val="Corpo"/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Study utilized large database (Premier Healthcare Database) with detailed information on hospitalized patients, enhancing sample representativeness. </w:t>
            </w:r>
          </w:p>
          <w:p w14:paraId="3F2FA43D" w14:textId="77777777" w:rsidR="00781EE9" w:rsidRPr="000C387F" w:rsidRDefault="00000000">
            <w:pPr>
              <w:pStyle w:val="Corpo"/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Authors adjusted for relevant confounding factors using inverse probability treatment weighting (IPTW) technique.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C8470" w14:textId="77777777" w:rsidR="00781EE9" w:rsidRPr="000C387F" w:rsidRDefault="00000000">
            <w:pPr>
              <w:pStyle w:val="Corpo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Definition of timely antimicrobial therapy (within 2 days of admission) may be restrictive. Important clinical outcomes such as mortality and complications not assessed due to database limitations. </w:t>
            </w:r>
          </w:p>
          <w:p w14:paraId="58319314" w14:textId="77777777" w:rsidR="00781EE9" w:rsidRPr="000C387F" w:rsidRDefault="00000000">
            <w:pPr>
              <w:pStyle w:val="Corpo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Unable to evaluate initial empiric treatment adequacy.</w:t>
            </w:r>
          </w:p>
        </w:tc>
      </w:tr>
      <w:tr w:rsidR="00781EE9" w:rsidRPr="000C387F" w14:paraId="6F613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60E6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Gram-negative </w:t>
            </w:r>
            <w:proofErr w:type="spellStart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bacteraemia</w:t>
            </w:r>
            <w:proofErr w:type="spellEnd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 non-ICU patients: factors associated with inadequate antibiotic therapy and impact on outcomes | 9 stars|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3AEA" w14:textId="77777777" w:rsidR="00781EE9" w:rsidRPr="000C387F" w:rsidRDefault="00000000">
            <w:pPr>
              <w:pStyle w:val="Corpo"/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Prospective study reducing memory and selection biases. </w:t>
            </w:r>
          </w:p>
          <w:p w14:paraId="1FD9DC68" w14:textId="77777777" w:rsidR="00781EE9" w:rsidRPr="000C387F" w:rsidRDefault="00000000">
            <w:pPr>
              <w:pStyle w:val="Corpo"/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Detailed collection of clinical and microbiological data including antibiotic therapy. Separate analysis of empiric and definitive therapy. </w:t>
            </w:r>
          </w:p>
          <w:p w14:paraId="03E93A82" w14:textId="77777777" w:rsidR="00781EE9" w:rsidRPr="000C387F" w:rsidRDefault="00000000">
            <w:pPr>
              <w:pStyle w:val="Corpo"/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Assessment of treatment adequacy at different timepoints. Control of relevant confounding factors.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62D99" w14:textId="77777777" w:rsidR="00781EE9" w:rsidRPr="000C387F" w:rsidRDefault="00000000">
            <w:pPr>
              <w:pStyle w:val="Corpo"/>
              <w:numPr>
                <w:ilvl w:val="0"/>
                <w:numId w:val="1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Single-center study limiting result generalization. Infection-attributable mortality not assessed.</w:t>
            </w:r>
          </w:p>
          <w:p w14:paraId="41C00C0A" w14:textId="77777777" w:rsidR="00781EE9" w:rsidRPr="000C387F" w:rsidRDefault="00000000">
            <w:pPr>
              <w:pStyle w:val="Corpo"/>
              <w:numPr>
                <w:ilvl w:val="0"/>
                <w:numId w:val="1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Sample size possibly insufficient. </w:t>
            </w:r>
          </w:p>
          <w:p w14:paraId="7F9AC414" w14:textId="77777777" w:rsidR="00781EE9" w:rsidRPr="000C387F" w:rsidRDefault="00000000">
            <w:pPr>
              <w:pStyle w:val="Corpo"/>
              <w:numPr>
                <w:ilvl w:val="0"/>
                <w:numId w:val="1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Definitive antibiotic therapy adequacy not evaluated in all patients.</w:t>
            </w:r>
          </w:p>
        </w:tc>
      </w:tr>
      <w:tr w:rsidR="00781EE9" w:rsidRPr="000C387F" w14:paraId="586D2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106A3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Impact of an antimicrobial stewardship </w:t>
            </w:r>
            <w:proofErr w:type="spellStart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programme</w:t>
            </w:r>
            <w:proofErr w:type="spellEnd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on patient safety in Singapore General Hospital | 9 stars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4672" w14:textId="77777777" w:rsidR="00781EE9" w:rsidRPr="000C387F" w:rsidRDefault="00000000">
            <w:pPr>
              <w:pStyle w:val="Corpo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Retrospective cohort observational study design allowing analysis of ASP intervention impact on patient safety. </w:t>
            </w:r>
          </w:p>
          <w:p w14:paraId="4B137C33" w14:textId="77777777" w:rsidR="00781EE9" w:rsidRPr="000C387F" w:rsidRDefault="00000000">
            <w:pPr>
              <w:pStyle w:val="Corpo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Control of relevant confounding variables. </w:t>
            </w:r>
          </w:p>
          <w:p w14:paraId="45909142" w14:textId="77777777" w:rsidR="00781EE9" w:rsidRPr="000C387F" w:rsidRDefault="00000000">
            <w:pPr>
              <w:pStyle w:val="Corpo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Evaluation of important clinical outcomes like length of stay, readmission and mortality. </w:t>
            </w:r>
          </w:p>
          <w:p w14:paraId="56217DEC" w14:textId="77777777" w:rsidR="00781EE9" w:rsidRPr="000C387F" w:rsidRDefault="00000000">
            <w:pPr>
              <w:pStyle w:val="Corpo"/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Two-year follow-up period.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A49E" w14:textId="77777777" w:rsidR="00781EE9" w:rsidRPr="000C387F" w:rsidRDefault="00000000">
            <w:pPr>
              <w:pStyle w:val="Corpo"/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Single hospital center limiting result generalization. </w:t>
            </w:r>
          </w:p>
          <w:p w14:paraId="41003217" w14:textId="77777777" w:rsidR="00781EE9" w:rsidRPr="000C387F" w:rsidRDefault="00000000">
            <w:pPr>
              <w:pStyle w:val="Corpo"/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Possible selection bias as physicians may have rejected ASP interventions in more severe patients. </w:t>
            </w:r>
          </w:p>
          <w:p w14:paraId="3F8E7D63" w14:textId="77777777" w:rsidR="00781EE9" w:rsidRPr="000C387F" w:rsidRDefault="00000000">
            <w:pPr>
              <w:pStyle w:val="Corpo"/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Outcomes evaluated through medical records with possible underreporting or recording errors.</w:t>
            </w:r>
          </w:p>
        </w:tc>
      </w:tr>
      <w:tr w:rsidR="00781EE9" w:rsidRPr="000C387F" w14:paraId="62958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F9A2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Inadequate Antibiotic Therapy Results in Higher Recurrence Rate after Drainage of Complicated Peri-Rectal Abscess | 8 points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AE0A" w14:textId="77777777" w:rsidR="00781EE9" w:rsidRPr="000C387F" w:rsidRDefault="00000000">
            <w:pPr>
              <w:pStyle w:val="Corpo"/>
              <w:numPr>
                <w:ilvl w:val="0"/>
                <w:numId w:val="15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Retrospective cohort design analyzing data from prospective database enhancing methodological quality. </w:t>
            </w:r>
          </w:p>
          <w:p w14:paraId="60C1AEF1" w14:textId="77777777" w:rsidR="00781EE9" w:rsidRPr="000C387F" w:rsidRDefault="00000000">
            <w:pPr>
              <w:pStyle w:val="Corpo"/>
              <w:numPr>
                <w:ilvl w:val="0"/>
                <w:numId w:val="15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Evaluation of antibiotic therapy adequacy based on microbiological results. </w:t>
            </w:r>
          </w:p>
          <w:p w14:paraId="01613051" w14:textId="77777777" w:rsidR="00781EE9" w:rsidRPr="000C387F" w:rsidRDefault="00000000">
            <w:pPr>
              <w:pStyle w:val="Corpo"/>
              <w:numPr>
                <w:ilvl w:val="0"/>
                <w:numId w:val="15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Multivariate analysis controlling possible confounding factors. Inclusion of relevant demographic and clinical data.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41F6" w14:textId="77777777" w:rsidR="00781EE9" w:rsidRPr="000C387F" w:rsidRDefault="00000000">
            <w:pPr>
              <w:pStyle w:val="Corpo"/>
              <w:numPr>
                <w:ilvl w:val="0"/>
                <w:numId w:val="16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Single-center study limiting result generalization. Relatively small patient number especially regarding recurrence outcome. </w:t>
            </w:r>
          </w:p>
          <w:p w14:paraId="47FA2620" w14:textId="77777777" w:rsidR="00781EE9" w:rsidRPr="000C387F" w:rsidRDefault="00000000">
            <w:pPr>
              <w:pStyle w:val="Corpo"/>
              <w:numPr>
                <w:ilvl w:val="0"/>
                <w:numId w:val="16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Absence of standardized long-term follow-up protocol potentially leading to recurrence underreporting.</w:t>
            </w:r>
          </w:p>
        </w:tc>
      </w:tr>
      <w:tr w:rsidR="00781EE9" w:rsidRPr="000C387F" w14:paraId="649352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A4EB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Inappropriate empiric antifungal therapy for candidemia in the ICU and hospital resource utilization: a retrospective cohort study | 9 points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8A16" w14:textId="77777777" w:rsidR="00781EE9" w:rsidRPr="000C387F" w:rsidRDefault="00000000">
            <w:pPr>
              <w:pStyle w:val="Corpo"/>
              <w:numPr>
                <w:ilvl w:val="0"/>
                <w:numId w:val="17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Retrospective cohort design allowing evaluation of inappropriate therapy impact on hospital resource utilization. </w:t>
            </w:r>
          </w:p>
          <w:p w14:paraId="39B4491B" w14:textId="77777777" w:rsidR="00781EE9" w:rsidRPr="000C387F" w:rsidRDefault="00000000">
            <w:pPr>
              <w:pStyle w:val="Corpo"/>
              <w:numPr>
                <w:ilvl w:val="0"/>
                <w:numId w:val="17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Adjustment for potential confounding factors. Evaluation of relevant clinical outcomes like hospital mortality and length of stay. </w:t>
            </w:r>
          </w:p>
          <w:p w14:paraId="546565DA" w14:textId="77777777" w:rsidR="00781EE9" w:rsidRPr="000C387F" w:rsidRDefault="00000000">
            <w:pPr>
              <w:pStyle w:val="Corpo"/>
              <w:numPr>
                <w:ilvl w:val="0"/>
                <w:numId w:val="17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Economic analysis considering hospital costs.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13C41" w14:textId="77777777" w:rsidR="00781EE9" w:rsidRPr="000C387F" w:rsidRDefault="00000000">
            <w:pPr>
              <w:pStyle w:val="Corpo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Single-center study limiting result generalization. Possible selection bias as unexposed cohort not clearly defined. </w:t>
            </w:r>
          </w:p>
          <w:p w14:paraId="37715E35" w14:textId="77777777" w:rsidR="00781EE9" w:rsidRPr="000C387F" w:rsidRDefault="00000000">
            <w:pPr>
              <w:pStyle w:val="Corpo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Absence of disease severity information at study start. </w:t>
            </w:r>
          </w:p>
          <w:p w14:paraId="1337F3DE" w14:textId="77777777" w:rsidR="00781EE9" w:rsidRPr="000C387F" w:rsidRDefault="00000000">
            <w:pPr>
              <w:pStyle w:val="Corpo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 hospitalization cost data without possibility to isolate candidemia-attributable costs.</w:t>
            </w:r>
          </w:p>
        </w:tc>
      </w:tr>
      <w:tr w:rsidR="00781EE9" w:rsidRPr="000C387F" w14:paraId="6F4421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DEAD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Mortality after Delay of Adequate Empiric Antimicrobial Treatment of Bloodstream Infection | 9 stars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F4892" w14:textId="77777777" w:rsidR="00781EE9" w:rsidRPr="000C387F" w:rsidRDefault="00000000">
            <w:pPr>
              <w:pStyle w:val="Corpo"/>
              <w:numPr>
                <w:ilvl w:val="0"/>
                <w:numId w:val="19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Use of propensity score matching to control confounding factors. </w:t>
            </w:r>
          </w:p>
          <w:p w14:paraId="373FEBF3" w14:textId="77777777" w:rsidR="00781EE9" w:rsidRPr="000C387F" w:rsidRDefault="00000000">
            <w:pPr>
              <w:pStyle w:val="Corpo"/>
              <w:numPr>
                <w:ilvl w:val="0"/>
                <w:numId w:val="19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Adequate 14-day follow-up for primary outcome evaluation. </w:t>
            </w:r>
          </w:p>
          <w:p w14:paraId="2A4B8AC4" w14:textId="77777777" w:rsidR="00781EE9" w:rsidRPr="000C387F" w:rsidRDefault="00000000">
            <w:pPr>
              <w:pStyle w:val="Corpo"/>
              <w:numPr>
                <w:ilvl w:val="0"/>
                <w:numId w:val="19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Low proportion of missing data.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519A" w14:textId="77777777" w:rsidR="00781EE9" w:rsidRPr="000C387F" w:rsidRDefault="00000000">
            <w:pPr>
              <w:pStyle w:val="Corpo"/>
              <w:numPr>
                <w:ilvl w:val="0"/>
                <w:numId w:val="20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Exposure definition (inadequate empiric treatment) based only on medical records without additional confirmation. </w:t>
            </w:r>
          </w:p>
          <w:p w14:paraId="2CA256F7" w14:textId="77777777" w:rsidR="00781EE9" w:rsidRPr="000C387F" w:rsidRDefault="00000000">
            <w:pPr>
              <w:pStyle w:val="Corpo"/>
              <w:numPr>
                <w:ilvl w:val="0"/>
                <w:numId w:val="20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No evaluation of mortality prior to study </w:t>
            </w:r>
            <w:proofErr w:type="gramStart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start</w:t>
            </w:r>
            <w:proofErr w:type="gramEnd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</w:p>
          <w:p w14:paraId="6AEF0949" w14:textId="77777777" w:rsidR="00781EE9" w:rsidRPr="000C387F" w:rsidRDefault="00000000">
            <w:pPr>
              <w:pStyle w:val="Corpo"/>
              <w:numPr>
                <w:ilvl w:val="0"/>
                <w:numId w:val="20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Outcome assessment limited to mortality without considering other relevant outcomes.</w:t>
            </w:r>
          </w:p>
        </w:tc>
      </w:tr>
      <w:tr w:rsidR="00781EE9" w:rsidRPr="000C387F" w14:paraId="0D2D9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0F30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Mortality and morbidity attributable to inadequate empirical antimicrobial therapy in patients admitted to the ICU with sepsis | 9 stars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640E" w14:textId="77777777" w:rsidR="00781EE9" w:rsidRPr="000C387F" w:rsidRDefault="00000000">
            <w:pPr>
              <w:pStyle w:val="Corpo"/>
              <w:numPr>
                <w:ilvl w:val="0"/>
                <w:numId w:val="2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Matched retrospective cohort study design controlling important confounding factors. </w:t>
            </w:r>
          </w:p>
          <w:p w14:paraId="3B9728BB" w14:textId="77777777" w:rsidR="00781EE9" w:rsidRPr="000C387F" w:rsidRDefault="00000000">
            <w:pPr>
              <w:pStyle w:val="Corpo"/>
              <w:numPr>
                <w:ilvl w:val="0"/>
                <w:numId w:val="2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Clear definition of exposure and outcomes. </w:t>
            </w:r>
          </w:p>
          <w:p w14:paraId="310257E4" w14:textId="77777777" w:rsidR="00781EE9" w:rsidRPr="000C387F" w:rsidRDefault="00000000">
            <w:pPr>
              <w:pStyle w:val="Corpo"/>
              <w:numPr>
                <w:ilvl w:val="0"/>
                <w:numId w:val="2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Group matching by relevant clinical characteristics. </w:t>
            </w:r>
          </w:p>
          <w:p w14:paraId="41F28405" w14:textId="77777777" w:rsidR="00781EE9" w:rsidRPr="000C387F" w:rsidRDefault="00000000">
            <w:pPr>
              <w:pStyle w:val="Corpo"/>
              <w:numPr>
                <w:ilvl w:val="0"/>
                <w:numId w:val="2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Follow-up until hospital discharge avoiding loss to follow-up. </w:t>
            </w:r>
          </w:p>
          <w:p w14:paraId="0FBF8484" w14:textId="77777777" w:rsidR="00781EE9" w:rsidRPr="000C387F" w:rsidRDefault="00000000">
            <w:pPr>
              <w:pStyle w:val="Corpo"/>
              <w:numPr>
                <w:ilvl w:val="0"/>
                <w:numId w:val="21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Additional analysis excluding nosocomial infection patients.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877B" w14:textId="77777777" w:rsidR="00781EE9" w:rsidRPr="000C387F" w:rsidRDefault="00000000">
            <w:pPr>
              <w:pStyle w:val="Corpo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Relatively small sample size though inherent to observational studies. </w:t>
            </w:r>
          </w:p>
          <w:p w14:paraId="0999571F" w14:textId="77777777" w:rsidR="00781EE9" w:rsidRPr="000C387F" w:rsidRDefault="00000000">
            <w:pPr>
              <w:pStyle w:val="Corpo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Despite matching, not all potential confounding factors could be controlled. </w:t>
            </w:r>
          </w:p>
          <w:p w14:paraId="5AB00725" w14:textId="77777777" w:rsidR="00781EE9" w:rsidRPr="000C387F" w:rsidRDefault="00000000">
            <w:pPr>
              <w:pStyle w:val="Corpo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No sensitivity analysis evaluating impact of different inadequate antimicrobial therapy definitions. </w:t>
            </w:r>
          </w:p>
          <w:p w14:paraId="2E0EE9D7" w14:textId="77777777" w:rsidR="00781EE9" w:rsidRPr="000C387F" w:rsidRDefault="00000000">
            <w:pPr>
              <w:pStyle w:val="Corpo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economic impact evaluation.</w:t>
            </w:r>
          </w:p>
        </w:tc>
      </w:tr>
      <w:tr w:rsidR="00781EE9" w:rsidRPr="000C387F" w14:paraId="641594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CACF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Right dose, right now: bedside, real-time, data-driven, and </w:t>
            </w:r>
            <w:proofErr w:type="spellStart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personalised</w:t>
            </w:r>
            <w:proofErr w:type="spellEnd"/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antibiotic dosing in critically ill patients | 9 stars | 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3B92" w14:textId="77777777" w:rsidR="00781EE9" w:rsidRPr="000C387F" w:rsidRDefault="00000000">
            <w:pPr>
              <w:pStyle w:val="Corpo"/>
              <w:numPr>
                <w:ilvl w:val="0"/>
                <w:numId w:val="2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Randomized controlled study with random patient allocation. </w:t>
            </w:r>
          </w:p>
          <w:p w14:paraId="702B17BE" w14:textId="77777777" w:rsidR="00781EE9" w:rsidRPr="000C387F" w:rsidRDefault="00000000">
            <w:pPr>
              <w:pStyle w:val="Corpo"/>
              <w:numPr>
                <w:ilvl w:val="0"/>
                <w:numId w:val="2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Control of relevant potential confounding factors. </w:t>
            </w:r>
          </w:p>
          <w:p w14:paraId="403ACDB5" w14:textId="77777777" w:rsidR="00781EE9" w:rsidRPr="000C387F" w:rsidRDefault="00000000">
            <w:pPr>
              <w:pStyle w:val="Corpo"/>
              <w:numPr>
                <w:ilvl w:val="0"/>
                <w:numId w:val="2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Use of electronic medical record data and rigorous patient monitoring. </w:t>
            </w:r>
          </w:p>
          <w:p w14:paraId="2AF271FF" w14:textId="77777777" w:rsidR="00781EE9" w:rsidRPr="000C387F" w:rsidRDefault="00000000">
            <w:pPr>
              <w:pStyle w:val="Corpo"/>
              <w:numPr>
                <w:ilvl w:val="0"/>
                <w:numId w:val="23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Evaluation of relevant clinical outcomes including mortality and adverse events.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C03ED" w14:textId="77777777" w:rsidR="00781EE9" w:rsidRPr="000C387F" w:rsidRDefault="00000000">
            <w:pPr>
              <w:pStyle w:val="Corpo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Early study interruption due to COVID-19 pandemic resulting in reduced sample size. </w:t>
            </w:r>
          </w:p>
          <w:p w14:paraId="11FF6F18" w14:textId="77777777" w:rsidR="00781EE9" w:rsidRPr="000C387F" w:rsidRDefault="00000000">
            <w:pPr>
              <w:pStyle w:val="Corpo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No healthcare professional blinding regarding patient allocation. </w:t>
            </w:r>
          </w:p>
          <w:p w14:paraId="0F55B6F3" w14:textId="77777777" w:rsidR="00781EE9" w:rsidRPr="000C387F" w:rsidRDefault="00000000">
            <w:pPr>
              <w:pStyle w:val="Corpo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No evaluation of relationship between clinical and pharmacokinetic outcomes. </w:t>
            </w:r>
          </w:p>
          <w:p w14:paraId="665849D6" w14:textId="77777777" w:rsidR="00781EE9" w:rsidRPr="000C387F" w:rsidRDefault="00000000">
            <w:pPr>
              <w:pStyle w:val="Corpo"/>
              <w:numPr>
                <w:ilvl w:val="0"/>
                <w:numId w:val="24"/>
              </w:numP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Potential selection bias.</w:t>
            </w:r>
          </w:p>
        </w:tc>
      </w:tr>
      <w:tr w:rsidR="00781EE9" w:rsidRPr="000C387F" w14:paraId="3B5273F4" w14:textId="77777777" w:rsidTr="000C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6"/>
        </w:trPr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A7A7A7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DB7DB" w14:textId="77777777" w:rsidR="00781EE9" w:rsidRPr="000C387F" w:rsidRDefault="00000000">
            <w:pPr>
              <w:pStyle w:val="Corpo"/>
              <w:rPr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Antimicrobial agent prescription: a prospective cohort study in patients with sepsis and septic shock | 7 stars |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147D" w14:textId="77777777" w:rsidR="00781EE9" w:rsidRPr="000C387F" w:rsidRDefault="00000000">
            <w:pPr>
              <w:pStyle w:val="Padro"/>
              <w:numPr>
                <w:ilvl w:val="0"/>
                <w:numId w:val="25"/>
              </w:numPr>
              <w:spacing w:before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</w:rPr>
              <w:t xml:space="preserve">The prospective design is a significant strength, minimizing recall and selection bias. </w:t>
            </w:r>
          </w:p>
          <w:p w14:paraId="7D25E7A2" w14:textId="77777777" w:rsidR="00781EE9" w:rsidRPr="000C387F" w:rsidRDefault="00000000">
            <w:pPr>
              <w:pStyle w:val="Padro"/>
              <w:numPr>
                <w:ilvl w:val="0"/>
                <w:numId w:val="25"/>
              </w:numPr>
              <w:spacing w:before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</w:rPr>
              <w:t xml:space="preserve">The relatively large sample size (705 patients) provided reasonable statistical power.  </w:t>
            </w:r>
          </w:p>
          <w:p w14:paraId="3234252B" w14:textId="77777777" w:rsidR="00781EE9" w:rsidRPr="000C387F" w:rsidRDefault="00000000">
            <w:pPr>
              <w:pStyle w:val="Padro"/>
              <w:numPr>
                <w:ilvl w:val="0"/>
                <w:numId w:val="25"/>
              </w:numPr>
              <w:spacing w:before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</w:rPr>
              <w:t xml:space="preserve">The study employed logistic regression analyses to account for confounding factors, enhancing internal validity. </w:t>
            </w:r>
          </w:p>
          <w:p w14:paraId="1582AB14" w14:textId="77777777" w:rsidR="00781EE9" w:rsidRPr="000C387F" w:rsidRDefault="00000000">
            <w:pPr>
              <w:pStyle w:val="Padro"/>
              <w:numPr>
                <w:ilvl w:val="0"/>
                <w:numId w:val="25"/>
              </w:numPr>
              <w:spacing w:before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0C387F">
              <w:rPr>
                <w:rFonts w:ascii="Arial" w:hAnsi="Arial"/>
                <w:sz w:val="20"/>
                <w:szCs w:val="20"/>
                <w:lang w:val="en-US"/>
              </w:rPr>
              <w:t>The inclusion of three different hospitals reduced the risk of bias associated with single-center studies.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EA8B" w14:textId="77777777" w:rsidR="00781EE9" w:rsidRPr="000C387F" w:rsidRDefault="00000000">
            <w:pPr>
              <w:pStyle w:val="EstilodeTabela2"/>
              <w:numPr>
                <w:ilvl w:val="0"/>
                <w:numId w:val="26"/>
              </w:numPr>
              <w:rPr>
                <w:rFonts w:ascii="Helvetica" w:hAnsi="Helvetica"/>
              </w:rPr>
            </w:pPr>
            <w:r w:rsidRPr="000C387F">
              <w:rPr>
                <w:rFonts w:ascii="Arial" w:hAnsi="Arial"/>
              </w:rPr>
              <w:t xml:space="preserve">The definition of adequate prescription was complex and depended on subjective factors, potentially introducing bias. </w:t>
            </w:r>
          </w:p>
          <w:p w14:paraId="38D7ACE4" w14:textId="77777777" w:rsidR="00781EE9" w:rsidRPr="000C387F" w:rsidRDefault="00000000">
            <w:pPr>
              <w:pStyle w:val="EstilodeTabela2"/>
              <w:numPr>
                <w:ilvl w:val="0"/>
                <w:numId w:val="26"/>
              </w:numPr>
              <w:rPr>
                <w:rFonts w:ascii="Helvetica" w:hAnsi="Helvetica"/>
              </w:rPr>
            </w:pPr>
            <w:r w:rsidRPr="000C387F">
              <w:rPr>
                <w:rFonts w:ascii="Arial" w:hAnsi="Arial"/>
              </w:rPr>
              <w:t xml:space="preserve">Inter-rater reliability was not 100%, indicating some subjectivity in the assessment of prescription adequacy.  </w:t>
            </w:r>
          </w:p>
          <w:p w14:paraId="45106ADD" w14:textId="77777777" w:rsidR="00781EE9" w:rsidRPr="000C387F" w:rsidRDefault="00000000">
            <w:pPr>
              <w:pStyle w:val="EstilodeTabela2"/>
              <w:numPr>
                <w:ilvl w:val="0"/>
                <w:numId w:val="26"/>
              </w:numPr>
              <w:rPr>
                <w:rFonts w:ascii="Helvetica" w:hAnsi="Helvetica"/>
              </w:rPr>
            </w:pPr>
            <w:r w:rsidRPr="000C387F">
              <w:rPr>
                <w:rFonts w:ascii="Arial" w:hAnsi="Arial"/>
              </w:rPr>
              <w:t xml:space="preserve">A significant exclusion rate suggests the possibility of selection bias and a potential impact on the generalizability of the results.  </w:t>
            </w:r>
          </w:p>
          <w:p w14:paraId="21E0776E" w14:textId="77777777" w:rsidR="00781EE9" w:rsidRPr="000C387F" w:rsidRDefault="00000000">
            <w:pPr>
              <w:pStyle w:val="EstilodeTabela2"/>
              <w:numPr>
                <w:ilvl w:val="0"/>
                <w:numId w:val="26"/>
              </w:numPr>
              <w:rPr>
                <w:rFonts w:ascii="Helvetica" w:hAnsi="Helvetica"/>
              </w:rPr>
            </w:pPr>
            <w:r w:rsidRPr="000C387F">
              <w:rPr>
                <w:rFonts w:ascii="Arial" w:hAnsi="Arial"/>
              </w:rPr>
              <w:t>The lack of blinding among researchers collecting the data increases the risk of assessment bias</w:t>
            </w:r>
            <w:r w:rsidRPr="000C387F">
              <w:rPr>
                <w:rFonts w:ascii="Helvetica" w:hAnsi="Helvetica"/>
              </w:rPr>
              <w:t>.</w:t>
            </w:r>
          </w:p>
        </w:tc>
      </w:tr>
    </w:tbl>
    <w:p w14:paraId="5E2B9DD0" w14:textId="77777777" w:rsidR="00781EE9" w:rsidRPr="000C387F" w:rsidRDefault="00781EE9">
      <w:pPr>
        <w:pStyle w:val="Corpo"/>
        <w:widowControl w:val="0"/>
        <w:ind w:left="108" w:hanging="108"/>
        <w:rPr>
          <w:lang w:val="en-US"/>
        </w:rPr>
      </w:pPr>
    </w:p>
    <w:sectPr w:rsidR="00781EE9" w:rsidRPr="000C387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222CF" w14:textId="77777777" w:rsidR="00A91476" w:rsidRDefault="00A91476">
      <w:r>
        <w:separator/>
      </w:r>
    </w:p>
  </w:endnote>
  <w:endnote w:type="continuationSeparator" w:id="0">
    <w:p w14:paraId="1C8F276A" w14:textId="77777777" w:rsidR="00A91476" w:rsidRDefault="00A9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0C97" w14:textId="77777777" w:rsidR="00781EE9" w:rsidRDefault="00781EE9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27F9A" w14:textId="77777777" w:rsidR="00A91476" w:rsidRDefault="00A91476">
      <w:r>
        <w:separator/>
      </w:r>
    </w:p>
  </w:footnote>
  <w:footnote w:type="continuationSeparator" w:id="0">
    <w:p w14:paraId="04536252" w14:textId="77777777" w:rsidR="00A91476" w:rsidRDefault="00A9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0EE7" w14:textId="77777777" w:rsidR="00781EE9" w:rsidRDefault="00781EE9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7F90"/>
    <w:multiLevelType w:val="hybridMultilevel"/>
    <w:tmpl w:val="2B3A9468"/>
    <w:lvl w:ilvl="0" w:tplc="C438152E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2A2E6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480562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A6DB2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3A3E3C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CADD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8A852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EAF90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CE5416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0F11A0"/>
    <w:multiLevelType w:val="hybridMultilevel"/>
    <w:tmpl w:val="BFFA78C2"/>
    <w:lvl w:ilvl="0" w:tplc="507288CA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22F94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2A1C34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08314C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A5306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A84BA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A1F24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644FE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4C3060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B16DDE"/>
    <w:multiLevelType w:val="hybridMultilevel"/>
    <w:tmpl w:val="59A449D8"/>
    <w:lvl w:ilvl="0" w:tplc="3B105680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C8A322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22A828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E410E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D2C08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CE71A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4ADE2C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C20B2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9015E8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652BEB"/>
    <w:multiLevelType w:val="hybridMultilevel"/>
    <w:tmpl w:val="2322100E"/>
    <w:lvl w:ilvl="0" w:tplc="64E8ADCC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E309A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87922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4ABDA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1CB254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C81A00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7497FE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E6CF2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487F8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D87392"/>
    <w:multiLevelType w:val="hybridMultilevel"/>
    <w:tmpl w:val="ED80F19A"/>
    <w:lvl w:ilvl="0" w:tplc="64384384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4DB5C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DCBAFC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26BB30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92BFB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90346C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A3DAE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1C5000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82E376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F315DD"/>
    <w:multiLevelType w:val="hybridMultilevel"/>
    <w:tmpl w:val="D952A830"/>
    <w:lvl w:ilvl="0" w:tplc="A6C45AE0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AE54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9CA5D8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4AFD00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0C141C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86883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A81F1E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449054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D27CAE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951466"/>
    <w:multiLevelType w:val="hybridMultilevel"/>
    <w:tmpl w:val="A0A69F32"/>
    <w:lvl w:ilvl="0" w:tplc="B35085DE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24782A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1012FA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280CCE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3A10C6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4A31C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C0E57C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EEFB1A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C0B8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6A4064"/>
    <w:multiLevelType w:val="hybridMultilevel"/>
    <w:tmpl w:val="1F6CF8F8"/>
    <w:lvl w:ilvl="0" w:tplc="E900242E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45C92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0CFE4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B2B75E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7810F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F00CA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50ACE0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9C57E0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CAAFC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AF51A7"/>
    <w:multiLevelType w:val="hybridMultilevel"/>
    <w:tmpl w:val="7EE82642"/>
    <w:lvl w:ilvl="0" w:tplc="25B87CDC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8EA7C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06DCFE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AB8B6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6E76EA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ABA0C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2F6C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0ECF50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DA8252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EE4BF3"/>
    <w:multiLevelType w:val="hybridMultilevel"/>
    <w:tmpl w:val="E45E8586"/>
    <w:lvl w:ilvl="0" w:tplc="0EE6F910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DEBAA2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9C6A60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055F4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B41204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22275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EC88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42B36A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B076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B65DE0"/>
    <w:multiLevelType w:val="hybridMultilevel"/>
    <w:tmpl w:val="3BC08866"/>
    <w:lvl w:ilvl="0" w:tplc="352650BA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48278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A007C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AD746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ED0A2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604D7A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48932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D590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E65A4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010D73"/>
    <w:multiLevelType w:val="hybridMultilevel"/>
    <w:tmpl w:val="5B10FF78"/>
    <w:lvl w:ilvl="0" w:tplc="34004BB4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23D8A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58F6AE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6C3C24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DAA914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02886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D572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E462D2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E87EF0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DA6206D"/>
    <w:multiLevelType w:val="hybridMultilevel"/>
    <w:tmpl w:val="38FA1A18"/>
    <w:lvl w:ilvl="0" w:tplc="72489E4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6C7C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4443F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AF2A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C9A1C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45662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8BD1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EF0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E8E4F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AD0332"/>
    <w:multiLevelType w:val="hybridMultilevel"/>
    <w:tmpl w:val="84E82712"/>
    <w:lvl w:ilvl="0" w:tplc="637608DA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2E612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A6D50C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EE423E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36223A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E4E56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8DEC6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D8A50E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2E8032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DB64F18"/>
    <w:multiLevelType w:val="hybridMultilevel"/>
    <w:tmpl w:val="045ED6EE"/>
    <w:lvl w:ilvl="0" w:tplc="0D3AA4B2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A07CCA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788A18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9434CA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1C6DC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0115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CCEB0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4C6138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F88CC0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FFB64CC"/>
    <w:multiLevelType w:val="hybridMultilevel"/>
    <w:tmpl w:val="45148182"/>
    <w:lvl w:ilvl="0" w:tplc="B6CADFE8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06E5C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A814E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A8B2A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1651E4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6AE738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1605D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46AB46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D84692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06831A7"/>
    <w:multiLevelType w:val="hybridMultilevel"/>
    <w:tmpl w:val="2D4299C8"/>
    <w:lvl w:ilvl="0" w:tplc="2D16211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4EB3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0A3C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54B35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C62A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CA33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287E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7E12A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0831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5ED0237"/>
    <w:multiLevelType w:val="hybridMultilevel"/>
    <w:tmpl w:val="3CFC09F0"/>
    <w:lvl w:ilvl="0" w:tplc="BF7CADF4">
      <w:start w:val="1"/>
      <w:numFmt w:val="bullet"/>
      <w:lvlText w:val="•"/>
      <w:lvlJc w:val="left"/>
      <w:pPr>
        <w:ind w:left="2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E2555A">
      <w:start w:val="1"/>
      <w:numFmt w:val="bullet"/>
      <w:lvlText w:val="•"/>
      <w:lvlJc w:val="left"/>
      <w:pPr>
        <w:ind w:left="4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00032">
      <w:start w:val="1"/>
      <w:numFmt w:val="bullet"/>
      <w:lvlText w:val="•"/>
      <w:lvlJc w:val="left"/>
      <w:pPr>
        <w:ind w:left="6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667ECC">
      <w:start w:val="1"/>
      <w:numFmt w:val="bullet"/>
      <w:lvlText w:val="•"/>
      <w:lvlJc w:val="left"/>
      <w:pPr>
        <w:ind w:left="8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0E590">
      <w:start w:val="1"/>
      <w:numFmt w:val="bullet"/>
      <w:lvlText w:val="•"/>
      <w:lvlJc w:val="left"/>
      <w:pPr>
        <w:ind w:left="9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CC851A">
      <w:start w:val="1"/>
      <w:numFmt w:val="bullet"/>
      <w:lvlText w:val="•"/>
      <w:lvlJc w:val="left"/>
      <w:pPr>
        <w:ind w:left="11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1233BE">
      <w:start w:val="1"/>
      <w:numFmt w:val="bullet"/>
      <w:lvlText w:val="•"/>
      <w:lvlJc w:val="left"/>
      <w:pPr>
        <w:ind w:left="13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4417A">
      <w:start w:val="1"/>
      <w:numFmt w:val="bullet"/>
      <w:lvlText w:val="•"/>
      <w:lvlJc w:val="left"/>
      <w:pPr>
        <w:ind w:left="15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3ACD22">
      <w:start w:val="1"/>
      <w:numFmt w:val="bullet"/>
      <w:lvlText w:val="•"/>
      <w:lvlJc w:val="left"/>
      <w:pPr>
        <w:ind w:left="17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6604954"/>
    <w:multiLevelType w:val="hybridMultilevel"/>
    <w:tmpl w:val="A0A212A0"/>
    <w:lvl w:ilvl="0" w:tplc="F9DE3BAE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009E8E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A85DBE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430EE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C884E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9C9BF4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AEFD4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2564C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6BD62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4764D7"/>
    <w:multiLevelType w:val="hybridMultilevel"/>
    <w:tmpl w:val="9BA82852"/>
    <w:lvl w:ilvl="0" w:tplc="5C50EA76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904980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447538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6A746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6B5D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C6BAAA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F2A92E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F086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4F360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DA66ED"/>
    <w:multiLevelType w:val="hybridMultilevel"/>
    <w:tmpl w:val="DF267056"/>
    <w:lvl w:ilvl="0" w:tplc="F45E6302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CE8E2E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2B336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839B0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CADD0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4B52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72228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20BACC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A92F6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CED0D7F"/>
    <w:multiLevelType w:val="hybridMultilevel"/>
    <w:tmpl w:val="C89E0004"/>
    <w:lvl w:ilvl="0" w:tplc="EE0AB66C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44998E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ADD1C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F2AEE0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0CAC62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6E4EDE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CF1C6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264C38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E88D16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D4E0554"/>
    <w:multiLevelType w:val="hybridMultilevel"/>
    <w:tmpl w:val="46A22056"/>
    <w:lvl w:ilvl="0" w:tplc="EC866F26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245D4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444280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4E601A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DC07FA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E8AF6A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7C568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98489C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343982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8A572C"/>
    <w:multiLevelType w:val="hybridMultilevel"/>
    <w:tmpl w:val="FDC86946"/>
    <w:lvl w:ilvl="0" w:tplc="1280338A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4D31E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1E9A10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1E5EA6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A225A2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7E05A0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24116C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08220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8193A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284C1B"/>
    <w:multiLevelType w:val="hybridMultilevel"/>
    <w:tmpl w:val="D2FCC5F6"/>
    <w:lvl w:ilvl="0" w:tplc="0B18D3C0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F66466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66A34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643DFC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40EB34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09D96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2F310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C6FADC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84A2C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EB63AC"/>
    <w:multiLevelType w:val="hybridMultilevel"/>
    <w:tmpl w:val="1A660D26"/>
    <w:lvl w:ilvl="0" w:tplc="E334D848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4D008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D88854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9EA91C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8F7D6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1242AC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54FDB2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DC550E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1625F6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E9D13DF"/>
    <w:multiLevelType w:val="hybridMultilevel"/>
    <w:tmpl w:val="1E4461C8"/>
    <w:lvl w:ilvl="0" w:tplc="B9382B56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0EE212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466C32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E965C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8D4C0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527A34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4F50C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9C19BE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A43E0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F7D2F8A"/>
    <w:multiLevelType w:val="hybridMultilevel"/>
    <w:tmpl w:val="163EB416"/>
    <w:lvl w:ilvl="0" w:tplc="27568080">
      <w:start w:val="1"/>
      <w:numFmt w:val="bullet"/>
      <w:lvlText w:val="•"/>
      <w:lvlJc w:val="left"/>
      <w:pPr>
        <w:ind w:left="1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6AFEA">
      <w:start w:val="1"/>
      <w:numFmt w:val="bullet"/>
      <w:lvlText w:val="•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A6692">
      <w:start w:val="1"/>
      <w:numFmt w:val="bullet"/>
      <w:lvlText w:val="•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48202">
      <w:start w:val="1"/>
      <w:numFmt w:val="bullet"/>
      <w:lvlText w:val="•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E21278">
      <w:start w:val="1"/>
      <w:numFmt w:val="bullet"/>
      <w:lvlText w:val="•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9E89D0">
      <w:start w:val="1"/>
      <w:numFmt w:val="bullet"/>
      <w:lvlText w:val="•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F06A48">
      <w:start w:val="1"/>
      <w:numFmt w:val="bullet"/>
      <w:lvlText w:val="•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EAE7C">
      <w:start w:val="1"/>
      <w:numFmt w:val="bullet"/>
      <w:lvlText w:val="•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24F64">
      <w:start w:val="1"/>
      <w:numFmt w:val="bullet"/>
      <w:lvlText w:val="•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7233542">
    <w:abstractNumId w:val="9"/>
  </w:num>
  <w:num w:numId="2" w16cid:durableId="2001959605">
    <w:abstractNumId w:val="2"/>
  </w:num>
  <w:num w:numId="3" w16cid:durableId="599799368">
    <w:abstractNumId w:val="6"/>
  </w:num>
  <w:num w:numId="4" w16cid:durableId="341054845">
    <w:abstractNumId w:val="25"/>
  </w:num>
  <w:num w:numId="5" w16cid:durableId="207884431">
    <w:abstractNumId w:val="4"/>
  </w:num>
  <w:num w:numId="6" w16cid:durableId="996151914">
    <w:abstractNumId w:val="20"/>
  </w:num>
  <w:num w:numId="7" w16cid:durableId="1412850119">
    <w:abstractNumId w:val="24"/>
  </w:num>
  <w:num w:numId="8" w16cid:durableId="1799760658">
    <w:abstractNumId w:val="23"/>
  </w:num>
  <w:num w:numId="9" w16cid:durableId="125007924">
    <w:abstractNumId w:val="15"/>
  </w:num>
  <w:num w:numId="10" w16cid:durableId="1913538498">
    <w:abstractNumId w:val="22"/>
  </w:num>
  <w:num w:numId="11" w16cid:durableId="1598555724">
    <w:abstractNumId w:val="26"/>
  </w:num>
  <w:num w:numId="12" w16cid:durableId="719012885">
    <w:abstractNumId w:val="7"/>
  </w:num>
  <w:num w:numId="13" w16cid:durableId="1440641019">
    <w:abstractNumId w:val="19"/>
  </w:num>
  <w:num w:numId="14" w16cid:durableId="112796054">
    <w:abstractNumId w:val="0"/>
  </w:num>
  <w:num w:numId="15" w16cid:durableId="268507129">
    <w:abstractNumId w:val="13"/>
  </w:num>
  <w:num w:numId="16" w16cid:durableId="1873609505">
    <w:abstractNumId w:val="14"/>
  </w:num>
  <w:num w:numId="17" w16cid:durableId="888149870">
    <w:abstractNumId w:val="8"/>
  </w:num>
  <w:num w:numId="18" w16cid:durableId="370228174">
    <w:abstractNumId w:val="5"/>
  </w:num>
  <w:num w:numId="19" w16cid:durableId="2035186964">
    <w:abstractNumId w:val="21"/>
  </w:num>
  <w:num w:numId="20" w16cid:durableId="2090031035">
    <w:abstractNumId w:val="11"/>
  </w:num>
  <w:num w:numId="21" w16cid:durableId="832794283">
    <w:abstractNumId w:val="18"/>
  </w:num>
  <w:num w:numId="22" w16cid:durableId="1672877225">
    <w:abstractNumId w:val="3"/>
  </w:num>
  <w:num w:numId="23" w16cid:durableId="1415738013">
    <w:abstractNumId w:val="10"/>
  </w:num>
  <w:num w:numId="24" w16cid:durableId="2024744136">
    <w:abstractNumId w:val="1"/>
  </w:num>
  <w:num w:numId="25" w16cid:durableId="387993527">
    <w:abstractNumId w:val="27"/>
  </w:num>
  <w:num w:numId="26" w16cid:durableId="1164593518">
    <w:abstractNumId w:val="17"/>
  </w:num>
  <w:num w:numId="27" w16cid:durableId="72121084">
    <w:abstractNumId w:val="16"/>
  </w:num>
  <w:num w:numId="28" w16cid:durableId="945889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E9"/>
    <w:rsid w:val="000C387F"/>
    <w:rsid w:val="002201DC"/>
    <w:rsid w:val="00781EE9"/>
    <w:rsid w:val="00A9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D8785"/>
  <w15:docId w15:val="{35C26979-3467-5B43-8D6B-A309248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ela2">
    <w:name w:val="Estilo de Tabela 2"/>
    <w:rPr>
      <w:rFonts w:ascii="Helvetica Neue" w:hAnsi="Helvetica Neue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Francisco Bondan Tuon</cp:lastModifiedBy>
  <cp:revision>2</cp:revision>
  <dcterms:created xsi:type="dcterms:W3CDTF">2024-11-11T12:58:00Z</dcterms:created>
  <dcterms:modified xsi:type="dcterms:W3CDTF">2024-11-11T12:59:00Z</dcterms:modified>
</cp:coreProperties>
</file>