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3BD87" w14:textId="1C9C3DFA" w:rsidR="00AA4A5C" w:rsidRDefault="00AA4A5C"/>
    <w:p w14:paraId="4EE1EE50" w14:textId="3CF32D69" w:rsidR="00857FB5" w:rsidRPr="00857FB5" w:rsidRDefault="00857FB5" w:rsidP="00857FB5">
      <w:pPr>
        <w:rPr>
          <w:rFonts w:ascii="新細明體" w:eastAsia="新細明體" w:hAnsi="新細明體" w:cs="新細明體"/>
          <w:szCs w:val="24"/>
          <w:lang w:eastAsia="zh-TW"/>
        </w:rPr>
      </w:pPr>
      <w:r>
        <w:rPr>
          <w:rFonts w:ascii="新細明體" w:eastAsia="新細明體" w:hAnsi="新細明體" w:cs="新細明體"/>
          <w:noProof/>
          <w:szCs w:val="24"/>
          <w:lang w:eastAsia="zh-TW"/>
        </w:rPr>
        <w:drawing>
          <wp:inline distT="0" distB="0" distL="0" distR="0" wp14:anchorId="5821F247" wp14:editId="5C54D2AB">
            <wp:extent cx="5274310" cy="3046730"/>
            <wp:effectExtent l="0" t="0" r="0" b="127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48FEDC" w14:textId="09076B12" w:rsidR="00AD6F0D" w:rsidRPr="00D45071" w:rsidRDefault="00860360" w:rsidP="00AD6F0D">
      <w:pPr>
        <w:spacing w:line="360" w:lineRule="auto"/>
        <w:jc w:val="both"/>
        <w:rPr>
          <w:rFonts w:eastAsia="新細明體"/>
          <w:szCs w:val="24"/>
        </w:rPr>
      </w:pPr>
      <w:r>
        <w:rPr>
          <w:rFonts w:eastAsia="新細明體"/>
          <w:color w:val="000000"/>
          <w:szCs w:val="24"/>
          <w:lang w:eastAsia="zh-TW"/>
        </w:rPr>
        <w:t xml:space="preserve">Supplementary Figure </w:t>
      </w:r>
      <w:r w:rsidR="00857FB5">
        <w:rPr>
          <w:rFonts w:eastAsia="新細明體"/>
          <w:color w:val="000000"/>
          <w:szCs w:val="24"/>
          <w:lang w:eastAsia="zh-TW"/>
        </w:rPr>
        <w:t xml:space="preserve">1. </w:t>
      </w:r>
      <w:r w:rsidR="00857FB5" w:rsidRPr="00857FB5">
        <w:rPr>
          <w:rFonts w:eastAsia="新細明體"/>
          <w:color w:val="000000"/>
          <w:szCs w:val="24"/>
          <w:lang w:eastAsia="zh-TW"/>
        </w:rPr>
        <w:t>Identification of anti-IFN-γ autoantibodies in plasma</w:t>
      </w:r>
      <w:r w:rsidR="00AD6F0D">
        <w:rPr>
          <w:rFonts w:eastAsia="新細明體"/>
          <w:color w:val="000000"/>
          <w:szCs w:val="24"/>
          <w:lang w:eastAsia="zh-TW"/>
        </w:rPr>
        <w:t xml:space="preserve">. </w:t>
      </w:r>
      <w:r w:rsidR="00AD6F0D" w:rsidRPr="00D45071">
        <w:rPr>
          <w:rFonts w:eastAsia="新細明體"/>
          <w:szCs w:val="24"/>
        </w:rPr>
        <w:t xml:space="preserve">A 96-well, flat-bottomed plates (Nunc) were coated by incubation with 50 </w:t>
      </w:r>
      <w:proofErr w:type="spellStart"/>
      <w:r w:rsidR="00AD6F0D" w:rsidRPr="00D45071">
        <w:rPr>
          <w:rFonts w:eastAsia="新細明體"/>
          <w:szCs w:val="24"/>
        </w:rPr>
        <w:t>μ</w:t>
      </w:r>
      <w:r w:rsidR="00BA379C">
        <w:rPr>
          <w:rFonts w:eastAsia="新細明體"/>
          <w:szCs w:val="24"/>
        </w:rPr>
        <w:t>L</w:t>
      </w:r>
      <w:proofErr w:type="spellEnd"/>
      <w:r w:rsidR="00AD6F0D" w:rsidRPr="00D45071">
        <w:rPr>
          <w:rFonts w:eastAsia="新細明體"/>
          <w:szCs w:val="24"/>
        </w:rPr>
        <w:t xml:space="preserve"> of recombinant human IFN-γ (2 </w:t>
      </w:r>
      <w:proofErr w:type="spellStart"/>
      <w:r w:rsidR="00AD6F0D" w:rsidRPr="00D45071">
        <w:rPr>
          <w:rFonts w:eastAsia="新細明體"/>
          <w:szCs w:val="24"/>
        </w:rPr>
        <w:t>μg</w:t>
      </w:r>
      <w:proofErr w:type="spellEnd"/>
      <w:r w:rsidR="00AD6F0D" w:rsidRPr="00D45071">
        <w:rPr>
          <w:rFonts w:eastAsia="新細明體"/>
          <w:szCs w:val="24"/>
        </w:rPr>
        <w:t>/m</w:t>
      </w:r>
      <w:r w:rsidR="00BA379C">
        <w:rPr>
          <w:rFonts w:eastAsia="新細明體"/>
          <w:szCs w:val="24"/>
        </w:rPr>
        <w:t>L</w:t>
      </w:r>
      <w:r w:rsidR="00AD6F0D" w:rsidRPr="00D45071">
        <w:rPr>
          <w:rFonts w:eastAsia="新細明體"/>
          <w:szCs w:val="24"/>
        </w:rPr>
        <w:t xml:space="preserve">, R&amp;D) in bicarbonate buffer (pH 9.5) at 4 °C overnight. The </w:t>
      </w:r>
      <w:r w:rsidR="00F902D9">
        <w:rPr>
          <w:rFonts w:eastAsia="新細明體"/>
          <w:szCs w:val="24"/>
        </w:rPr>
        <w:t>plate was</w:t>
      </w:r>
      <w:r w:rsidR="00AD6F0D" w:rsidRPr="00D45071">
        <w:rPr>
          <w:rFonts w:eastAsia="新細明體"/>
          <w:szCs w:val="24"/>
        </w:rPr>
        <w:t xml:space="preserve"> incubat</w:t>
      </w:r>
      <w:r w:rsidR="00F902D9">
        <w:rPr>
          <w:rFonts w:eastAsia="新細明體"/>
          <w:szCs w:val="24"/>
        </w:rPr>
        <w:t>ed</w:t>
      </w:r>
      <w:r w:rsidR="00AD6F0D" w:rsidRPr="00D45071">
        <w:rPr>
          <w:rFonts w:eastAsia="新細明體"/>
          <w:szCs w:val="24"/>
        </w:rPr>
        <w:t xml:space="preserve"> with 5% human normal serum albumin (Aventis) in phosphate-buffered saline (PBS)</w:t>
      </w:r>
      <w:r w:rsidR="00F902D9">
        <w:rPr>
          <w:rFonts w:eastAsia="新細明體"/>
          <w:szCs w:val="24"/>
        </w:rPr>
        <w:t xml:space="preserve"> </w:t>
      </w:r>
      <w:r w:rsidR="00AD6F0D" w:rsidRPr="00D45071">
        <w:rPr>
          <w:rFonts w:eastAsia="新細明體"/>
          <w:szCs w:val="24"/>
        </w:rPr>
        <w:t>at room temperature (RT) for 2 hours then washed three times with 0.05% Tween 20 in PBS</w:t>
      </w:r>
      <w:r w:rsidR="00F902D9">
        <w:rPr>
          <w:rFonts w:eastAsia="新細明體"/>
          <w:szCs w:val="24"/>
        </w:rPr>
        <w:t xml:space="preserve"> (PBST)</w:t>
      </w:r>
      <w:r w:rsidR="00AD6F0D" w:rsidRPr="00D45071">
        <w:rPr>
          <w:rFonts w:eastAsia="新細明體"/>
          <w:szCs w:val="24"/>
        </w:rPr>
        <w:t xml:space="preserve">. </w:t>
      </w:r>
      <w:r w:rsidR="00AD6F0D" w:rsidRPr="00AD6F0D">
        <w:rPr>
          <w:rFonts w:eastAsia="新細明體"/>
          <w:szCs w:val="24"/>
        </w:rPr>
        <w:t xml:space="preserve">The plasma of healthy control (HC) and patients were 1:100 diluted with PBS supplemented with 5% human normal serum albumin, then added this sample mixture 100 </w:t>
      </w:r>
      <w:proofErr w:type="spellStart"/>
      <w:r w:rsidR="00AD6F0D" w:rsidRPr="00AD6F0D">
        <w:rPr>
          <w:rFonts w:eastAsia="新細明體"/>
          <w:szCs w:val="24"/>
        </w:rPr>
        <w:t>μ</w:t>
      </w:r>
      <w:r w:rsidR="00BA379C">
        <w:rPr>
          <w:rFonts w:eastAsia="新細明體"/>
          <w:szCs w:val="24"/>
        </w:rPr>
        <w:t>L</w:t>
      </w:r>
      <w:proofErr w:type="spellEnd"/>
      <w:r w:rsidR="00AD6F0D" w:rsidRPr="00AD6F0D">
        <w:rPr>
          <w:rFonts w:eastAsia="新細明體"/>
          <w:szCs w:val="24"/>
        </w:rPr>
        <w:t xml:space="preserve"> per well.</w:t>
      </w:r>
      <w:r w:rsidR="00AD6F0D" w:rsidRPr="00D45071">
        <w:rPr>
          <w:rFonts w:eastAsia="新細明體"/>
          <w:szCs w:val="24"/>
        </w:rPr>
        <w:t xml:space="preserve"> After incubation at RT for 2 hours, the plates were washed, following alkaline phosphate-conjugated </w:t>
      </w:r>
      <w:proofErr w:type="spellStart"/>
      <w:r w:rsidR="00AD6F0D" w:rsidRPr="00D45071">
        <w:rPr>
          <w:rFonts w:eastAsia="新細明體"/>
          <w:szCs w:val="24"/>
        </w:rPr>
        <w:t>Fcγ</w:t>
      </w:r>
      <w:proofErr w:type="spellEnd"/>
      <w:r w:rsidR="00AD6F0D" w:rsidRPr="00D45071">
        <w:rPr>
          <w:rFonts w:eastAsia="新細明體"/>
          <w:szCs w:val="24"/>
        </w:rPr>
        <w:t xml:space="preserve"> fragment-specific goat anti-human IgG (Jackson </w:t>
      </w:r>
      <w:proofErr w:type="spellStart"/>
      <w:r w:rsidR="00AD6F0D" w:rsidRPr="00D45071">
        <w:rPr>
          <w:rFonts w:eastAsia="新細明體"/>
          <w:szCs w:val="24"/>
        </w:rPr>
        <w:t>ImmunoResearch</w:t>
      </w:r>
      <w:proofErr w:type="spellEnd"/>
      <w:r w:rsidR="00AD6F0D" w:rsidRPr="00D45071">
        <w:rPr>
          <w:rFonts w:eastAsia="新細明體"/>
          <w:szCs w:val="24"/>
        </w:rPr>
        <w:t xml:space="preserve"> Laboratories) was added at a dilution of 1:12000. The plate was incubated at RT for 1 hour and then washed</w:t>
      </w:r>
      <w:r w:rsidR="00F902D9">
        <w:rPr>
          <w:rFonts w:eastAsia="新細明體"/>
          <w:szCs w:val="24"/>
        </w:rPr>
        <w:t xml:space="preserve"> with PBST</w:t>
      </w:r>
      <w:r w:rsidR="00AD6F0D" w:rsidRPr="00D45071">
        <w:rPr>
          <w:rFonts w:eastAsia="新細明體"/>
          <w:szCs w:val="24"/>
        </w:rPr>
        <w:t xml:space="preserve">. We added 100 </w:t>
      </w:r>
      <w:proofErr w:type="spellStart"/>
      <w:r w:rsidR="00AD6F0D" w:rsidRPr="00D45071">
        <w:rPr>
          <w:rFonts w:eastAsia="新細明體"/>
          <w:szCs w:val="24"/>
        </w:rPr>
        <w:t>μ</w:t>
      </w:r>
      <w:r w:rsidR="00BA379C">
        <w:rPr>
          <w:rFonts w:eastAsia="新細明體"/>
          <w:szCs w:val="24"/>
        </w:rPr>
        <w:t>L</w:t>
      </w:r>
      <w:proofErr w:type="spellEnd"/>
      <w:r w:rsidR="00AD6F0D" w:rsidRPr="00D45071">
        <w:rPr>
          <w:rFonts w:eastAsia="新細明體"/>
          <w:szCs w:val="24"/>
        </w:rPr>
        <w:t xml:space="preserve"> of </w:t>
      </w:r>
      <w:r w:rsidR="00AD6F0D" w:rsidRPr="00D45071">
        <w:rPr>
          <w:rFonts w:eastAsia="新細明體"/>
          <w:i/>
          <w:iCs/>
          <w:color w:val="0E101A"/>
          <w:szCs w:val="24"/>
        </w:rPr>
        <w:t>p</w:t>
      </w:r>
      <w:r w:rsidR="00AD6F0D" w:rsidRPr="00D45071">
        <w:rPr>
          <w:rFonts w:eastAsia="新細明體"/>
          <w:szCs w:val="24"/>
        </w:rPr>
        <w:t>-nitrophenyl phosphate (</w:t>
      </w:r>
      <w:proofErr w:type="spellStart"/>
      <w:r w:rsidR="00AD6F0D" w:rsidRPr="00D45071">
        <w:rPr>
          <w:rFonts w:eastAsia="新細明體"/>
          <w:szCs w:val="24"/>
        </w:rPr>
        <w:t>pNPP</w:t>
      </w:r>
      <w:proofErr w:type="spellEnd"/>
      <w:r w:rsidR="00AD6F0D" w:rsidRPr="00D45071">
        <w:rPr>
          <w:rFonts w:eastAsia="新細明體"/>
          <w:szCs w:val="24"/>
        </w:rPr>
        <w:t>)</w:t>
      </w:r>
      <w:r w:rsidR="00F902D9">
        <w:rPr>
          <w:rFonts w:eastAsia="新細明體"/>
          <w:szCs w:val="24"/>
        </w:rPr>
        <w:t xml:space="preserve"> and</w:t>
      </w:r>
      <w:r w:rsidR="00AD6F0D" w:rsidRPr="00D45071">
        <w:rPr>
          <w:rFonts w:eastAsia="新細明體"/>
          <w:szCs w:val="24"/>
        </w:rPr>
        <w:t xml:space="preserve"> incubated for 1 hour at 37 °C, and then determined absorbance at 405 nm with a VICTOR </w:t>
      </w:r>
      <w:r w:rsidR="00AD6F0D" w:rsidRPr="00D45071">
        <w:rPr>
          <w:rFonts w:eastAsia="新細明體"/>
          <w:i/>
          <w:iCs/>
          <w:color w:val="0E101A"/>
          <w:szCs w:val="24"/>
        </w:rPr>
        <w:t>X</w:t>
      </w:r>
      <w:r w:rsidR="00AD6F0D" w:rsidRPr="00D45071">
        <w:rPr>
          <w:rFonts w:eastAsia="新細明體"/>
          <w:szCs w:val="24"/>
        </w:rPr>
        <w:t>3 Multilabel Plate Reader (PerkinElmer). Data from a representative experiment are shown. </w:t>
      </w:r>
    </w:p>
    <w:p w14:paraId="678220A4" w14:textId="036613DF" w:rsidR="00857FB5" w:rsidRDefault="00857FB5" w:rsidP="00857FB5">
      <w:pPr>
        <w:jc w:val="both"/>
      </w:pPr>
    </w:p>
    <w:sectPr w:rsidR="00857FB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5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FB5"/>
    <w:rsid w:val="003311D6"/>
    <w:rsid w:val="003A3B70"/>
    <w:rsid w:val="004C2EB6"/>
    <w:rsid w:val="00637993"/>
    <w:rsid w:val="006437F5"/>
    <w:rsid w:val="00857FB5"/>
    <w:rsid w:val="00860360"/>
    <w:rsid w:val="00A13113"/>
    <w:rsid w:val="00AA4A5C"/>
    <w:rsid w:val="00AD6F0D"/>
    <w:rsid w:val="00B77387"/>
    <w:rsid w:val="00BA379C"/>
    <w:rsid w:val="00BB3C53"/>
    <w:rsid w:val="00F22DA0"/>
    <w:rsid w:val="00F90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9EFDB1"/>
  <w15:chartTrackingRefBased/>
  <w15:docId w15:val="{F5019074-EDD6-B843-873F-C0F74A472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7FB5"/>
    <w:rPr>
      <w:rFonts w:ascii="Times New Roman" w:eastAsia="Times New Roman" w:hAnsi="Times New Roman" w:cs="Times New Roman"/>
      <w:kern w:val="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165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Hsu</dc:creator>
  <cp:keywords/>
  <dc:description/>
  <cp:lastModifiedBy>Ken Hsu</cp:lastModifiedBy>
  <cp:revision>6</cp:revision>
  <dcterms:created xsi:type="dcterms:W3CDTF">2021-08-09T03:32:00Z</dcterms:created>
  <dcterms:modified xsi:type="dcterms:W3CDTF">2021-08-12T14:28:00Z</dcterms:modified>
</cp:coreProperties>
</file>