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418" w:rsidRPr="003A7E1F" w:rsidRDefault="00BF6418" w:rsidP="00BF6418">
      <w:pPr>
        <w:rPr>
          <w:rFonts w:ascii="Times New Roman" w:hAnsi="Times New Roman" w:cs="Times New Roman"/>
          <w:sz w:val="24"/>
          <w:szCs w:val="24"/>
        </w:rPr>
      </w:pPr>
      <w:r w:rsidRPr="003A7E1F">
        <w:rPr>
          <w:rFonts w:ascii="Times New Roman" w:hAnsi="Times New Roman" w:cs="Times New Roman"/>
          <w:sz w:val="24"/>
          <w:szCs w:val="24"/>
        </w:rPr>
        <w:t>Supplement</w:t>
      </w:r>
    </w:p>
    <w:p w:rsidR="00BF6418" w:rsidRPr="003A7E1F" w:rsidRDefault="00BF6418" w:rsidP="00BF6418">
      <w:pPr>
        <w:rPr>
          <w:rFonts w:ascii="Times New Roman" w:hAnsi="Times New Roman" w:cs="Times New Roman"/>
          <w:sz w:val="24"/>
          <w:szCs w:val="24"/>
        </w:rPr>
      </w:pPr>
      <w:r w:rsidRPr="003A7E1F">
        <w:rPr>
          <w:rFonts w:ascii="Times New Roman" w:hAnsi="Times New Roman" w:cs="Times New Roman"/>
          <w:sz w:val="24"/>
          <w:szCs w:val="24"/>
        </w:rPr>
        <w:t xml:space="preserve">Supplementary table 1: Sensitivity analysis adjusting on incident fractures, heart attack, cancer and stroke. </w:t>
      </w:r>
      <w:proofErr w:type="gramStart"/>
      <w:r w:rsidRPr="003A7E1F">
        <w:rPr>
          <w:rFonts w:ascii="Times New Roman" w:hAnsi="Times New Roman" w:cs="Times New Roman"/>
          <w:sz w:val="24"/>
          <w:szCs w:val="24"/>
        </w:rPr>
        <w:t>Hazard ratio and 95 % confidence intervals for cardiovascular risk-factors and the risk of VTE, and VTE subtypes.</w:t>
      </w:r>
      <w:proofErr w:type="gramEnd"/>
    </w:p>
    <w:tbl>
      <w:tblPr>
        <w:tblStyle w:val="Ombrageclair"/>
        <w:tblW w:w="0" w:type="auto"/>
        <w:tblLook w:val="04A0" w:firstRow="1" w:lastRow="0" w:firstColumn="1" w:lastColumn="0" w:noHBand="0" w:noVBand="1"/>
      </w:tblPr>
      <w:tblGrid>
        <w:gridCol w:w="1586"/>
        <w:gridCol w:w="712"/>
        <w:gridCol w:w="1638"/>
        <w:gridCol w:w="221"/>
        <w:gridCol w:w="712"/>
        <w:gridCol w:w="1638"/>
        <w:gridCol w:w="221"/>
        <w:gridCol w:w="712"/>
        <w:gridCol w:w="1638"/>
        <w:gridCol w:w="221"/>
        <w:gridCol w:w="712"/>
        <w:gridCol w:w="1638"/>
        <w:gridCol w:w="221"/>
        <w:gridCol w:w="712"/>
        <w:gridCol w:w="1638"/>
      </w:tblGrid>
      <w:tr w:rsidR="00002593" w:rsidRPr="00B52212" w:rsidTr="008E4F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noWrap/>
          </w:tcPr>
          <w:p w:rsidR="00002593" w:rsidRPr="00B52212" w:rsidRDefault="00002593" w:rsidP="008E4F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All VTE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noWrap/>
          </w:tcPr>
          <w:p w:rsidR="00002593" w:rsidRPr="00B52212" w:rsidRDefault="00002593" w:rsidP="008E4F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Pulmonary embolism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noWrap/>
          </w:tcPr>
          <w:p w:rsidR="00002593" w:rsidRPr="00B52212" w:rsidRDefault="00002593" w:rsidP="008E4F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DVT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noWrap/>
          </w:tcPr>
          <w:p w:rsidR="00002593" w:rsidRPr="00B52212" w:rsidRDefault="00002593" w:rsidP="008E4F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noWrap/>
          </w:tcPr>
          <w:p w:rsidR="00002593" w:rsidRPr="00B52212" w:rsidRDefault="00002593" w:rsidP="008E4F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Secondary</w:t>
            </w:r>
          </w:p>
        </w:tc>
      </w:tr>
      <w:tr w:rsidR="00002593" w:rsidRPr="00B52212" w:rsidTr="008E4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Cases</w:t>
            </w:r>
          </w:p>
        </w:tc>
        <w:tc>
          <w:tcPr>
            <w:tcW w:w="0" w:type="auto"/>
            <w:noWrap/>
            <w:hideMark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adjusted HR*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Cases</w:t>
            </w:r>
          </w:p>
        </w:tc>
        <w:tc>
          <w:tcPr>
            <w:tcW w:w="0" w:type="auto"/>
            <w:noWrap/>
            <w:hideMark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adjusted HR*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Cases</w:t>
            </w:r>
          </w:p>
        </w:tc>
        <w:tc>
          <w:tcPr>
            <w:tcW w:w="0" w:type="auto"/>
            <w:noWrap/>
            <w:hideMark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adjusted HR*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Cases</w:t>
            </w:r>
          </w:p>
        </w:tc>
        <w:tc>
          <w:tcPr>
            <w:tcW w:w="0" w:type="auto"/>
            <w:noWrap/>
            <w:hideMark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adjusted HR*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Cases</w:t>
            </w:r>
          </w:p>
        </w:tc>
        <w:tc>
          <w:tcPr>
            <w:tcW w:w="0" w:type="auto"/>
            <w:noWrap/>
            <w:hideMark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adjusted HR*</w:t>
            </w:r>
          </w:p>
        </w:tc>
      </w:tr>
      <w:tr w:rsidR="00002593" w:rsidRPr="00B52212" w:rsidTr="008E4F52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physical act T1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545</w:t>
            </w:r>
          </w:p>
        </w:tc>
        <w:tc>
          <w:tcPr>
            <w:tcW w:w="0" w:type="auto"/>
            <w:noWrap/>
          </w:tcPr>
          <w:p w:rsidR="00002593" w:rsidRPr="008E4F5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4F5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0" w:type="auto"/>
            <w:vMerge w:val="restart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0" w:type="auto"/>
            <w:noWrap/>
          </w:tcPr>
          <w:p w:rsidR="00002593" w:rsidRPr="008E4F5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4F5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379</w:t>
            </w:r>
          </w:p>
        </w:tc>
        <w:tc>
          <w:tcPr>
            <w:tcW w:w="0" w:type="auto"/>
            <w:noWrap/>
          </w:tcPr>
          <w:p w:rsidR="00002593" w:rsidRPr="008E4F5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4F5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0" w:type="auto"/>
            <w:noWrap/>
          </w:tcPr>
          <w:p w:rsidR="00002593" w:rsidRPr="008E4F5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4F5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382</w:t>
            </w:r>
          </w:p>
        </w:tc>
        <w:tc>
          <w:tcPr>
            <w:tcW w:w="0" w:type="auto"/>
            <w:noWrap/>
          </w:tcPr>
          <w:p w:rsidR="00002593" w:rsidRPr="008E4F5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4F5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002593" w:rsidRPr="00B52212" w:rsidTr="008E4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PA T2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545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4F52">
              <w:rPr>
                <w:rFonts w:ascii="Times New Roman" w:hAnsi="Times New Roman" w:cs="Times New Roman"/>
                <w:sz w:val="24"/>
                <w:szCs w:val="24"/>
              </w:rPr>
              <w:t>1.02 (0.90: 1.15)</w:t>
            </w:r>
          </w:p>
        </w:tc>
        <w:tc>
          <w:tcPr>
            <w:tcW w:w="0" w:type="auto"/>
            <w:vMerge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1.04 (0.84: 1.30)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387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1.03 (0.89: 1.19)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0.98 (0.78: 1.22)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389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1.06 (0.92: 1.22)</w:t>
            </w:r>
          </w:p>
        </w:tc>
      </w:tr>
      <w:tr w:rsidR="00002593" w:rsidRPr="00B52212" w:rsidTr="008E4F52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PA T3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559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1.02 (0.91: 1.16)</w:t>
            </w:r>
          </w:p>
        </w:tc>
        <w:tc>
          <w:tcPr>
            <w:tcW w:w="0" w:type="auto"/>
            <w:vMerge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1.01 (0.81: 1.25)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381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1.01 (0.88: 1.17)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0.71 (0.56: 0.91)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1.14 (1.00: 1.31)</w:t>
            </w:r>
          </w:p>
        </w:tc>
      </w:tr>
      <w:tr w:rsidR="00002593" w:rsidRPr="00B52212" w:rsidTr="008E4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15"/>
            <w:noWrap/>
          </w:tcPr>
          <w:p w:rsidR="00002593" w:rsidRPr="008E4F5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593" w:rsidRPr="00B52212" w:rsidTr="008E4F52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Never smoker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946</w:t>
            </w:r>
          </w:p>
        </w:tc>
        <w:tc>
          <w:tcPr>
            <w:tcW w:w="0" w:type="auto"/>
            <w:noWrap/>
          </w:tcPr>
          <w:p w:rsidR="00002593" w:rsidRPr="008E4F5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4F5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0" w:type="auto"/>
            <w:vMerge w:val="restart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295</w:t>
            </w:r>
          </w:p>
        </w:tc>
        <w:tc>
          <w:tcPr>
            <w:tcW w:w="0" w:type="auto"/>
            <w:noWrap/>
          </w:tcPr>
          <w:p w:rsidR="00002593" w:rsidRPr="008E4F5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4F5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662</w:t>
            </w:r>
          </w:p>
        </w:tc>
        <w:tc>
          <w:tcPr>
            <w:tcW w:w="0" w:type="auto"/>
            <w:noWrap/>
          </w:tcPr>
          <w:p w:rsidR="00002593" w:rsidRPr="008E4F5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4F5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0" w:type="auto"/>
            <w:noWrap/>
          </w:tcPr>
          <w:p w:rsidR="00002593" w:rsidRPr="008E4F5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4F5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0" w:type="auto"/>
            <w:noWrap/>
          </w:tcPr>
          <w:p w:rsidR="00002593" w:rsidRPr="008E4F5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4F5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002593" w:rsidRPr="00B52212" w:rsidTr="008E4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X smoker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557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0.95 (0.86: 1.06)</w:t>
            </w:r>
          </w:p>
        </w:tc>
        <w:tc>
          <w:tcPr>
            <w:tcW w:w="0" w:type="auto"/>
            <w:vMerge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0.94 (0.78: 1.14)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0.94 (0.83: 1.07)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0.84 (0.68: 1.04)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0.81 (0.66: 1.01)</w:t>
            </w:r>
          </w:p>
        </w:tc>
      </w:tr>
      <w:tr w:rsidR="00002593" w:rsidRPr="00B52212" w:rsidTr="008E4F52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smoker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0.87 (0.73: 1.03)</w:t>
            </w:r>
          </w:p>
        </w:tc>
        <w:tc>
          <w:tcPr>
            <w:tcW w:w="0" w:type="auto"/>
            <w:vMerge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0.96 (0.70: 1.33)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0.84 (0.68: 1.03)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0.99 (0.73: 1.36)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0.96 (0.88: 1.12)</w:t>
            </w:r>
          </w:p>
        </w:tc>
      </w:tr>
      <w:tr w:rsidR="00002593" w:rsidRPr="00B52212" w:rsidTr="008E4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15"/>
            <w:noWrap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593" w:rsidRPr="00B52212" w:rsidTr="008E4F52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827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1.05 (0.95: 1.16)</w:t>
            </w:r>
          </w:p>
        </w:tc>
        <w:tc>
          <w:tcPr>
            <w:tcW w:w="0" w:type="auto"/>
            <w:vMerge w:val="restart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296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1.20 (1.00: 1.45)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0.99 (0.88: 1.12)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1.02 (0.84: 1.26)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623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1.07 (0.95: 1.21)</w:t>
            </w:r>
          </w:p>
        </w:tc>
      </w:tr>
      <w:tr w:rsidR="00002593" w:rsidRPr="00B52212" w:rsidTr="008E4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dyslipidaemia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354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0.90 (0.79: 1.01)</w:t>
            </w:r>
          </w:p>
        </w:tc>
        <w:tc>
          <w:tcPr>
            <w:tcW w:w="0" w:type="auto"/>
            <w:vMerge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1.03 (0.84: 1.26)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0.83 (0.71: 0.97)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0.68 (0.52: 0.89)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0.97 (0.85: 1.12)</w:t>
            </w:r>
          </w:p>
        </w:tc>
      </w:tr>
      <w:tr w:rsidR="00002593" w:rsidRPr="00B52212" w:rsidTr="008E4F52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0.73 (0.52: 1.02)</w:t>
            </w:r>
          </w:p>
        </w:tc>
        <w:tc>
          <w:tcPr>
            <w:tcW w:w="0" w:type="auto"/>
            <w:vMerge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0.88 (0.54: 1.44)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0.62 (0.40: 0.99)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0.95 (0.52: 1.75)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0.66 (0.44: 0.99)</w:t>
            </w:r>
          </w:p>
        </w:tc>
      </w:tr>
    </w:tbl>
    <w:p w:rsidR="00BF6418" w:rsidRPr="003A7E1F" w:rsidRDefault="00BF6418" w:rsidP="00BF6418">
      <w:pPr>
        <w:rPr>
          <w:rFonts w:ascii="Times New Roman" w:hAnsi="Times New Roman" w:cs="Times New Roman"/>
          <w:sz w:val="24"/>
          <w:szCs w:val="24"/>
        </w:rPr>
      </w:pPr>
      <w:r w:rsidRPr="003A7E1F">
        <w:rPr>
          <w:rFonts w:ascii="Times New Roman" w:hAnsi="Times New Roman" w:cs="Times New Roman"/>
          <w:sz w:val="24"/>
          <w:szCs w:val="24"/>
        </w:rPr>
        <w:t>*adjusted on education level,</w:t>
      </w:r>
      <w:r>
        <w:rPr>
          <w:rFonts w:ascii="Times New Roman" w:hAnsi="Times New Roman" w:cs="Times New Roman"/>
          <w:sz w:val="24"/>
          <w:szCs w:val="24"/>
        </w:rPr>
        <w:t xml:space="preserve"> statin use,</w:t>
      </w:r>
      <w:r w:rsidRPr="003A7E1F">
        <w:rPr>
          <w:rFonts w:ascii="Times New Roman" w:hAnsi="Times New Roman" w:cs="Times New Roman"/>
          <w:sz w:val="24"/>
          <w:szCs w:val="24"/>
        </w:rPr>
        <w:t xml:space="preserve"> menopause, MHT use, parity, type of menopause, family history of CVD, BMI, incident fractures, stroke</w:t>
      </w:r>
      <w:r>
        <w:rPr>
          <w:rFonts w:ascii="Times New Roman" w:hAnsi="Times New Roman" w:cs="Times New Roman"/>
          <w:sz w:val="24"/>
          <w:szCs w:val="24"/>
        </w:rPr>
        <w:t>, cancer</w:t>
      </w:r>
      <w:r w:rsidRPr="003A7E1F">
        <w:rPr>
          <w:rFonts w:ascii="Times New Roman" w:hAnsi="Times New Roman" w:cs="Times New Roman"/>
          <w:sz w:val="24"/>
          <w:szCs w:val="24"/>
        </w:rPr>
        <w:t xml:space="preserve"> and myocardial infarction</w:t>
      </w:r>
      <w:r w:rsidRPr="003B014D" w:rsidDel="001760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F6418" w:rsidRPr="003A7E1F" w:rsidRDefault="00BF6418" w:rsidP="00BF6418">
      <w:pPr>
        <w:rPr>
          <w:rFonts w:ascii="Times New Roman" w:hAnsi="Times New Roman" w:cs="Times New Roman"/>
          <w:sz w:val="24"/>
          <w:szCs w:val="24"/>
        </w:rPr>
      </w:pPr>
      <w:r w:rsidRPr="003A7E1F"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:rsidR="00BF6418" w:rsidRPr="003A7E1F" w:rsidRDefault="00BF6418" w:rsidP="00BF6418">
      <w:pPr>
        <w:rPr>
          <w:rFonts w:ascii="Times New Roman" w:hAnsi="Times New Roman" w:cs="Times New Roman"/>
          <w:sz w:val="24"/>
          <w:szCs w:val="24"/>
        </w:rPr>
      </w:pPr>
      <w:r w:rsidRPr="003A7E1F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2: Sensitivity analysis excluding cases occurring after 2005 which were not strictly validated via mailing. </w:t>
      </w:r>
      <w:proofErr w:type="gramStart"/>
      <w:r w:rsidRPr="003A7E1F">
        <w:rPr>
          <w:rFonts w:ascii="Times New Roman" w:hAnsi="Times New Roman" w:cs="Times New Roman"/>
          <w:sz w:val="24"/>
          <w:szCs w:val="24"/>
        </w:rPr>
        <w:t>Hazard ratio and 95 % confidence intervals for cardiovascular risk-factors and the risk of VTE, and VTE subtypes.</w:t>
      </w:r>
      <w:proofErr w:type="gramEnd"/>
    </w:p>
    <w:tbl>
      <w:tblPr>
        <w:tblStyle w:val="Ombrageclair"/>
        <w:tblW w:w="0" w:type="auto"/>
        <w:tblLook w:val="04A0" w:firstRow="1" w:lastRow="0" w:firstColumn="1" w:lastColumn="0" w:noHBand="0" w:noVBand="1"/>
      </w:tblPr>
      <w:tblGrid>
        <w:gridCol w:w="1586"/>
        <w:gridCol w:w="712"/>
        <w:gridCol w:w="1638"/>
        <w:gridCol w:w="221"/>
        <w:gridCol w:w="712"/>
        <w:gridCol w:w="1638"/>
        <w:gridCol w:w="221"/>
        <w:gridCol w:w="712"/>
        <w:gridCol w:w="1638"/>
        <w:gridCol w:w="221"/>
        <w:gridCol w:w="712"/>
        <w:gridCol w:w="1638"/>
        <w:gridCol w:w="221"/>
        <w:gridCol w:w="712"/>
        <w:gridCol w:w="1638"/>
      </w:tblGrid>
      <w:tr w:rsidR="00002593" w:rsidRPr="00B52212" w:rsidTr="008E4F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noWrap/>
          </w:tcPr>
          <w:p w:rsidR="00002593" w:rsidRPr="00B52212" w:rsidRDefault="00002593" w:rsidP="008E4F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All VTE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noWrap/>
          </w:tcPr>
          <w:p w:rsidR="00002593" w:rsidRPr="00B52212" w:rsidRDefault="00002593" w:rsidP="008E4F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Pulmonary embolism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noWrap/>
          </w:tcPr>
          <w:p w:rsidR="00002593" w:rsidRPr="00B52212" w:rsidRDefault="00002593" w:rsidP="008E4F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DVT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noWrap/>
          </w:tcPr>
          <w:p w:rsidR="00002593" w:rsidRPr="00B52212" w:rsidRDefault="00002593" w:rsidP="008E4F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noWrap/>
          </w:tcPr>
          <w:p w:rsidR="00002593" w:rsidRPr="00B52212" w:rsidRDefault="00002593" w:rsidP="008E4F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Secondary</w:t>
            </w:r>
          </w:p>
        </w:tc>
      </w:tr>
      <w:tr w:rsidR="00002593" w:rsidRPr="00B52212" w:rsidTr="008E4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Cases</w:t>
            </w:r>
          </w:p>
        </w:tc>
        <w:tc>
          <w:tcPr>
            <w:tcW w:w="0" w:type="auto"/>
            <w:noWrap/>
            <w:hideMark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adjusted HR*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Cases</w:t>
            </w:r>
          </w:p>
        </w:tc>
        <w:tc>
          <w:tcPr>
            <w:tcW w:w="0" w:type="auto"/>
            <w:noWrap/>
            <w:hideMark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adjusted HR*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Cases</w:t>
            </w:r>
          </w:p>
        </w:tc>
        <w:tc>
          <w:tcPr>
            <w:tcW w:w="0" w:type="auto"/>
            <w:noWrap/>
            <w:hideMark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adjusted HR*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Cases</w:t>
            </w:r>
          </w:p>
        </w:tc>
        <w:tc>
          <w:tcPr>
            <w:tcW w:w="0" w:type="auto"/>
            <w:noWrap/>
            <w:hideMark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adjusted HR*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Cases</w:t>
            </w:r>
          </w:p>
        </w:tc>
        <w:tc>
          <w:tcPr>
            <w:tcW w:w="0" w:type="auto"/>
            <w:noWrap/>
            <w:hideMark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adjusted HR*</w:t>
            </w:r>
          </w:p>
        </w:tc>
      </w:tr>
      <w:tr w:rsidR="00002593" w:rsidRPr="00B52212" w:rsidTr="008E4F52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physical act T1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413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0" w:type="auto"/>
            <w:vMerge w:val="restart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316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259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002593" w:rsidRPr="00B52212" w:rsidTr="008E4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PA T2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422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1.04 (0.90: 1.19)</w:t>
            </w:r>
          </w:p>
        </w:tc>
        <w:tc>
          <w:tcPr>
            <w:tcW w:w="0" w:type="auto"/>
            <w:vMerge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1.05 (0.79: 1.39)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325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1.03 (0.88: 1.21)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0.97 (0.77: 1.22)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274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1.08 (0.91: 1.28)</w:t>
            </w:r>
          </w:p>
        </w:tc>
      </w:tr>
      <w:tr w:rsidR="00002593" w:rsidRPr="00B52212" w:rsidTr="008E4F52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PA T3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394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0.98 (0.85: 1.12)</w:t>
            </w:r>
          </w:p>
        </w:tc>
        <w:tc>
          <w:tcPr>
            <w:tcW w:w="0" w:type="auto"/>
            <w:vMerge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1.00 (0.75: 1.33)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0.97 (0.83: 1.14)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0.70 (0.54: 0.90)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1.14 (0.96: 1.34)</w:t>
            </w:r>
          </w:p>
        </w:tc>
      </w:tr>
      <w:tr w:rsidR="00002593" w:rsidRPr="00B52212" w:rsidTr="008E4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15"/>
            <w:noWrap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593" w:rsidRPr="00B52212" w:rsidTr="008E4F52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Never smoker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721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0" w:type="auto"/>
            <w:vMerge w:val="restart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549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002593" w:rsidRPr="00B52212" w:rsidTr="008E4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X smoker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383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0.92 (0.82: 1.05)</w:t>
            </w:r>
          </w:p>
        </w:tc>
        <w:tc>
          <w:tcPr>
            <w:tcW w:w="0" w:type="auto"/>
            <w:vMerge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0.93 (0.72: 1.20)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295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0.92 (0.80; 1.07)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0.87 (0.71: 1.09)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263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0.95 (0.82: 1.10)</w:t>
            </w:r>
          </w:p>
        </w:tc>
      </w:tr>
      <w:tr w:rsidR="00002593" w:rsidRPr="00B52212" w:rsidTr="008E4F52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smoker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0.89 (0.74: 1.08)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0.99 (0.67: 1.47)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0.86 (0.69: 1.07)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1.05 (0.77: 1.44)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0.81 (0.64: 1.04)</w:t>
            </w:r>
          </w:p>
        </w:tc>
      </w:tr>
      <w:tr w:rsidR="00002593" w:rsidRPr="00B52212" w:rsidTr="008E4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15"/>
            <w:noWrap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593" w:rsidRPr="00B52212" w:rsidTr="008E4F52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583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1.02 (0.91: 1.15)</w:t>
            </w:r>
          </w:p>
        </w:tc>
        <w:tc>
          <w:tcPr>
            <w:tcW w:w="0" w:type="auto"/>
            <w:vMerge w:val="restart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1.22 (0.95: 1.56)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421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0.97 (0.84: 1.11)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0.96 (0.78: 1.18)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1.05 (0.91: 1.22)</w:t>
            </w:r>
          </w:p>
        </w:tc>
      </w:tr>
      <w:tr w:rsidR="00002593" w:rsidRPr="00B52212" w:rsidTr="008E4F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dyslipidaemia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0.86 (0.73: 1.01)</w:t>
            </w:r>
          </w:p>
        </w:tc>
        <w:tc>
          <w:tcPr>
            <w:tcW w:w="0" w:type="auto"/>
            <w:vMerge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0.87 (0.64: 1.19)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0.86 (0.71: 1.04)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0.74 (0.56: 0.99)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0.93 (0.76: 1.13)</w:t>
            </w:r>
          </w:p>
        </w:tc>
      </w:tr>
      <w:tr w:rsidR="00002593" w:rsidRPr="00B52212" w:rsidTr="008E4F52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002593" w:rsidRPr="00B52212" w:rsidRDefault="00002593" w:rsidP="008E4F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0.71 (0.46: 1.11)</w:t>
            </w:r>
          </w:p>
        </w:tc>
        <w:tc>
          <w:tcPr>
            <w:tcW w:w="0" w:type="auto"/>
            <w:vMerge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0.68 (0.30: 1.54)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0.73 (0.44: 1.22)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1.01 (0.54: 1.92)</w:t>
            </w:r>
          </w:p>
        </w:tc>
        <w:tc>
          <w:tcPr>
            <w:tcW w:w="0" w:type="auto"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noWrap/>
          </w:tcPr>
          <w:p w:rsidR="00002593" w:rsidRPr="00B52212" w:rsidRDefault="00002593" w:rsidP="008E4F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212">
              <w:rPr>
                <w:rFonts w:ascii="Times New Roman" w:hAnsi="Times New Roman" w:cs="Times New Roman"/>
                <w:sz w:val="24"/>
                <w:szCs w:val="24"/>
              </w:rPr>
              <w:t>0.56 (0.31: 1.03)</w:t>
            </w:r>
          </w:p>
        </w:tc>
      </w:tr>
    </w:tbl>
    <w:p w:rsidR="00BF6418" w:rsidRDefault="00BF6418" w:rsidP="00BF6418">
      <w:pPr>
        <w:rPr>
          <w:rFonts w:ascii="Times New Roman" w:eastAsia="Times New Roman" w:hAnsi="Times New Roman" w:cs="Times New Roman"/>
          <w:sz w:val="24"/>
          <w:szCs w:val="24"/>
        </w:rPr>
      </w:pPr>
      <w:r w:rsidRPr="003A7E1F">
        <w:rPr>
          <w:rFonts w:ascii="Times New Roman" w:hAnsi="Times New Roman" w:cs="Times New Roman"/>
          <w:sz w:val="24"/>
          <w:szCs w:val="24"/>
        </w:rPr>
        <w:t xml:space="preserve">*adjusted on education level, </w:t>
      </w:r>
      <w:r>
        <w:rPr>
          <w:rFonts w:ascii="Times New Roman" w:hAnsi="Times New Roman" w:cs="Times New Roman"/>
          <w:sz w:val="24"/>
          <w:szCs w:val="24"/>
        </w:rPr>
        <w:t xml:space="preserve">statin use, </w:t>
      </w:r>
      <w:r w:rsidRPr="003A7E1F">
        <w:rPr>
          <w:rFonts w:ascii="Times New Roman" w:hAnsi="Times New Roman" w:cs="Times New Roman"/>
          <w:sz w:val="24"/>
          <w:szCs w:val="24"/>
        </w:rPr>
        <w:t>menopause, MHT use, parity, type of menopause, family history of CVD and BMI</w:t>
      </w:r>
      <w:r w:rsidRPr="003B014D" w:rsidDel="001760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B7131" w:rsidRDefault="000B7131" w:rsidP="00BF64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All cases validated by imaging procedures</w:t>
      </w:r>
    </w:p>
    <w:p w:rsidR="00CC2E6D" w:rsidRDefault="0081547F">
      <w:r>
        <w:lastRenderedPageBreak/>
        <w:t>Supplementary figures</w:t>
      </w:r>
    </w:p>
    <w:p w:rsidR="0081547F" w:rsidRDefault="0081547F">
      <w:r>
        <w:rPr>
          <w:noProof/>
          <w:lang w:val="fr-FR"/>
        </w:rPr>
        <w:lastRenderedPageBreak/>
        <w:drawing>
          <wp:inline distT="0" distB="0" distL="0" distR="0" wp14:anchorId="073B34AC">
            <wp:extent cx="7879080" cy="5758415"/>
            <wp:effectExtent l="0" t="0" r="762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6909" cy="57568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1547F" w:rsidRDefault="0081547F">
      <w:r>
        <w:lastRenderedPageBreak/>
        <w:br w:type="page"/>
      </w:r>
    </w:p>
    <w:p w:rsidR="0081547F" w:rsidRDefault="0081547F" w:rsidP="0081547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Supplementary Figures</w:t>
      </w:r>
    </w:p>
    <w:p w:rsidR="0081547F" w:rsidRDefault="0081547F" w:rsidP="0081547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 Figure 2: Causal diagrams showing assumed relations between cardiovascular risk-factors and VTE</w:t>
      </w:r>
    </w:p>
    <w:p w:rsidR="0081547F" w:rsidRPr="003A4E90" w:rsidRDefault="0081547F" w:rsidP="0081547F">
      <w:pPr>
        <w:pStyle w:val="Paragraphedeliste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Cardiometabolic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factors including diabetes, hypertension and dyslipidaemia</w:t>
      </w:r>
    </w:p>
    <w:p w:rsidR="0081547F" w:rsidRDefault="0081547F" w:rsidP="0081547F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fr-FR"/>
        </w:rPr>
        <w:drawing>
          <wp:inline distT="0" distB="0" distL="0" distR="0" wp14:anchorId="2E285464" wp14:editId="5C3A41E4">
            <wp:extent cx="5635256" cy="4393592"/>
            <wp:effectExtent l="0" t="0" r="3810" b="698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7829" t="14619" r="71174" b="35566"/>
                    <a:stretch/>
                  </pic:blipFill>
                  <pic:spPr bwMode="auto">
                    <a:xfrm>
                      <a:off x="0" y="0"/>
                      <a:ext cx="5632718" cy="43916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547F" w:rsidRPr="003A4E90" w:rsidRDefault="0081547F" w:rsidP="0081547F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Physical activity</w:t>
      </w:r>
    </w:p>
    <w:p w:rsidR="0081547F" w:rsidRDefault="0081547F" w:rsidP="0081547F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fr-FR"/>
        </w:rPr>
        <w:lastRenderedPageBreak/>
        <w:drawing>
          <wp:inline distT="0" distB="0" distL="0" distR="0" wp14:anchorId="629E14BE" wp14:editId="658EA53F">
            <wp:extent cx="5635256" cy="4226440"/>
            <wp:effectExtent l="0" t="0" r="3810" b="317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7829" t="8664" r="67260" b="34482"/>
                    <a:stretch/>
                  </pic:blipFill>
                  <pic:spPr bwMode="auto">
                    <a:xfrm>
                      <a:off x="0" y="0"/>
                      <a:ext cx="5632723" cy="42245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547F" w:rsidRPr="003A4E90" w:rsidRDefault="0081547F" w:rsidP="0081547F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smoking</w:t>
      </w:r>
    </w:p>
    <w:p w:rsidR="0081547F" w:rsidRPr="00B14923" w:rsidRDefault="0081547F" w:rsidP="0081547F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fr-FR"/>
        </w:rPr>
        <w:lastRenderedPageBreak/>
        <w:drawing>
          <wp:inline distT="0" distB="0" distL="0" distR="0" wp14:anchorId="6535FCD9" wp14:editId="6331EAF8">
            <wp:extent cx="5635256" cy="3984934"/>
            <wp:effectExtent l="0" t="0" r="381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8007" t="8121" r="67082" b="38274"/>
                    <a:stretch/>
                  </pic:blipFill>
                  <pic:spPr bwMode="auto">
                    <a:xfrm>
                      <a:off x="0" y="0"/>
                      <a:ext cx="5632720" cy="3983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547F" w:rsidRDefault="0081547F" w:rsidP="0081547F"/>
    <w:p w:rsidR="0081547F" w:rsidRDefault="0081547F">
      <w:bookmarkStart w:id="0" w:name="_GoBack"/>
      <w:bookmarkEnd w:id="0"/>
    </w:p>
    <w:sectPr w:rsidR="0081547F" w:rsidSect="00BF641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D01C3"/>
    <w:multiLevelType w:val="hybridMultilevel"/>
    <w:tmpl w:val="A0A8ED8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18"/>
    <w:rsid w:val="00002593"/>
    <w:rsid w:val="000B7131"/>
    <w:rsid w:val="0081547F"/>
    <w:rsid w:val="009E6367"/>
    <w:rsid w:val="009F7D6D"/>
    <w:rsid w:val="00BF6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6418"/>
    <w:rPr>
      <w:rFonts w:ascii="Calibri" w:eastAsia="Calibri" w:hAnsi="Calibri" w:cs="Calibri"/>
      <w:lang w:val="en-GB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Ombrageclair">
    <w:name w:val="Light Shading"/>
    <w:basedOn w:val="TableauNormal"/>
    <w:uiPriority w:val="60"/>
    <w:rsid w:val="00BF6418"/>
    <w:pPr>
      <w:spacing w:after="0" w:line="240" w:lineRule="auto"/>
    </w:pPr>
    <w:rPr>
      <w:rFonts w:ascii="Calibri" w:eastAsia="Calibri" w:hAnsi="Calibri" w:cs="Calibri"/>
      <w:color w:val="000000" w:themeColor="text1" w:themeShade="BF"/>
      <w:lang w:val="en-GB" w:eastAsia="fr-FR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8154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1547F"/>
    <w:rPr>
      <w:rFonts w:ascii="Tahoma" w:eastAsia="Calibri" w:hAnsi="Tahoma" w:cs="Tahoma"/>
      <w:sz w:val="16"/>
      <w:szCs w:val="16"/>
      <w:lang w:val="en-GB" w:eastAsia="fr-FR"/>
    </w:rPr>
  </w:style>
  <w:style w:type="paragraph" w:styleId="Paragraphedeliste">
    <w:name w:val="List Paragraph"/>
    <w:basedOn w:val="Normal"/>
    <w:uiPriority w:val="34"/>
    <w:qFormat/>
    <w:rsid w:val="008154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6418"/>
    <w:rPr>
      <w:rFonts w:ascii="Calibri" w:eastAsia="Calibri" w:hAnsi="Calibri" w:cs="Calibri"/>
      <w:lang w:val="en-GB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Ombrageclair">
    <w:name w:val="Light Shading"/>
    <w:basedOn w:val="TableauNormal"/>
    <w:uiPriority w:val="60"/>
    <w:rsid w:val="00BF6418"/>
    <w:pPr>
      <w:spacing w:after="0" w:line="240" w:lineRule="auto"/>
    </w:pPr>
    <w:rPr>
      <w:rFonts w:ascii="Calibri" w:eastAsia="Calibri" w:hAnsi="Calibri" w:cs="Calibri"/>
      <w:color w:val="000000" w:themeColor="text1" w:themeShade="BF"/>
      <w:lang w:val="en-GB" w:eastAsia="fr-FR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8154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1547F"/>
    <w:rPr>
      <w:rFonts w:ascii="Tahoma" w:eastAsia="Calibri" w:hAnsi="Tahoma" w:cs="Tahoma"/>
      <w:sz w:val="16"/>
      <w:szCs w:val="16"/>
      <w:lang w:val="en-GB" w:eastAsia="fr-FR"/>
    </w:rPr>
  </w:style>
  <w:style w:type="paragraph" w:styleId="Paragraphedeliste">
    <w:name w:val="List Paragraph"/>
    <w:basedOn w:val="Normal"/>
    <w:uiPriority w:val="34"/>
    <w:qFormat/>
    <w:rsid w:val="008154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514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Conor MacDonald</dc:creator>
  <cp:lastModifiedBy>Conor MacDonald</cp:lastModifiedBy>
  <cp:revision>3</cp:revision>
  <dcterms:created xsi:type="dcterms:W3CDTF">2021-03-26T10:43:00Z</dcterms:created>
  <dcterms:modified xsi:type="dcterms:W3CDTF">2021-05-26T14:32:00Z</dcterms:modified>
</cp:coreProperties>
</file>