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72F" w:rsidRPr="00064D11" w:rsidRDefault="0027072F" w:rsidP="0027072F">
      <w:pPr>
        <w:keepNext/>
        <w:spacing w:after="0" w:line="480" w:lineRule="auto"/>
        <w:outlineLvl w:val="3"/>
        <w:rPr>
          <w:rFonts w:ascii="Times New Roman" w:hAnsi="Times New Roman" w:cs="Times New Roman"/>
          <w:b/>
          <w:szCs w:val="22"/>
        </w:rPr>
      </w:pPr>
      <w:r w:rsidRPr="00E1288A">
        <w:rPr>
          <w:rFonts w:ascii="Times New Roman" w:hAnsi="Times New Roman" w:cs="Times New Roman"/>
          <w:b/>
          <w:szCs w:val="22"/>
        </w:rPr>
        <w:t>Supplementary Appendix 1</w:t>
      </w:r>
    </w:p>
    <w:p w:rsidR="0027072F" w:rsidRPr="00064D11" w:rsidRDefault="0027072F" w:rsidP="0027072F">
      <w:pPr>
        <w:keepNext/>
        <w:spacing w:after="0" w:line="480" w:lineRule="auto"/>
        <w:outlineLvl w:val="3"/>
        <w:rPr>
          <w:rFonts w:ascii="Times New Roman" w:hAnsi="Times New Roman" w:cs="Times New Roman"/>
          <w:b/>
          <w:szCs w:val="22"/>
        </w:rPr>
      </w:pPr>
      <w:r w:rsidRPr="00064D11">
        <w:rPr>
          <w:rFonts w:ascii="Times New Roman" w:hAnsi="Times New Roman" w:cs="Times New Roman"/>
          <w:b/>
          <w:szCs w:val="22"/>
        </w:rPr>
        <w:t xml:space="preserve">SEPSIS study group collaborators </w:t>
      </w:r>
    </w:p>
    <w:p w:rsidR="0027072F" w:rsidRPr="00064D11" w:rsidRDefault="0027072F" w:rsidP="0027072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</w:pPr>
      <w:r w:rsidRPr="00064D11">
        <w:rPr>
          <w:rFonts w:ascii="Times New Roman" w:eastAsia="Arial Unicode MS" w:hAnsi="Times New Roman" w:cs="Times New Roman"/>
          <w:b/>
          <w:color w:val="000000"/>
          <w:szCs w:val="22"/>
          <w:u w:color="000000"/>
          <w:bdr w:val="nil"/>
          <w:lang w:eastAsia="fr-FR" w:bidi="ar-SA"/>
        </w:rPr>
        <w:t>For IRCB:</w:t>
      </w:r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Darius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Sossou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Aurax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Fernando,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Rodolphe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Ladekpo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,</w:t>
      </w:r>
      <w:r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Urbain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Ahouayito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Basile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Agossou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Caleb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Ezinmegnon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Anauel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Fortunato,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Josué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Fiagbenou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Achille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Massougbodji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Komi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Gbedande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Djamirou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Dossa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Dramane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Abdou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Canisius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Fantodji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Nawal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Sare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Wilisto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Bara,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Razack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Monde,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Erasme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Gbag</w:t>
      </w:r>
      <w:r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u</w:t>
      </w:r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idi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Larissa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Allokpe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Armand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Housemenou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Landry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Assongba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Manfred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Accrombessi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Florent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Kouhouenou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Armand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Hounsemenou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Amour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Ridagba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.</w:t>
      </w:r>
    </w:p>
    <w:p w:rsidR="0027072F" w:rsidRPr="0027072F" w:rsidRDefault="0027072F" w:rsidP="0027072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</w:pPr>
      <w:r w:rsidRPr="0027072F">
        <w:rPr>
          <w:rFonts w:ascii="Times New Roman" w:eastAsia="Arial Unicode MS" w:hAnsi="Times New Roman" w:cs="Times New Roman"/>
          <w:b/>
          <w:color w:val="000000"/>
          <w:szCs w:val="22"/>
          <w:u w:color="000000"/>
          <w:bdr w:val="nil"/>
          <w:lang w:val="fr-FR" w:eastAsia="fr-FR" w:bidi="ar-SA"/>
        </w:rPr>
        <w:t>For CNHU</w:t>
      </w:r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 xml:space="preserve">: Christiane </w:t>
      </w:r>
      <w:proofErr w:type="spellStart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Aguemon</w:t>
      </w:r>
      <w:proofErr w:type="spellEnd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 xml:space="preserve">, </w:t>
      </w:r>
      <w:proofErr w:type="spellStart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Dissou</w:t>
      </w:r>
      <w:proofErr w:type="spellEnd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 xml:space="preserve"> </w:t>
      </w:r>
      <w:proofErr w:type="spellStart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Affolabi</w:t>
      </w:r>
      <w:proofErr w:type="spellEnd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 xml:space="preserve">, </w:t>
      </w:r>
      <w:proofErr w:type="spellStart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Lehila</w:t>
      </w:r>
      <w:proofErr w:type="spellEnd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 xml:space="preserve"> </w:t>
      </w:r>
      <w:proofErr w:type="spellStart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Bagnan</w:t>
      </w:r>
      <w:proofErr w:type="spellEnd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, Marceline D’Almeida</w:t>
      </w:r>
    </w:p>
    <w:p w:rsidR="0027072F" w:rsidRPr="00064D11" w:rsidRDefault="0027072F" w:rsidP="0027072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</w:pPr>
      <w:r w:rsidRPr="00064D11">
        <w:rPr>
          <w:rFonts w:ascii="Times New Roman" w:eastAsia="Arial Unicode MS" w:hAnsi="Times New Roman" w:cs="Times New Roman"/>
          <w:b/>
          <w:color w:val="000000"/>
          <w:szCs w:val="22"/>
          <w:u w:color="000000"/>
          <w:bdr w:val="nil"/>
          <w:lang w:eastAsia="fr-FR" w:bidi="ar-SA"/>
        </w:rPr>
        <w:t>For CHUMEL</w:t>
      </w:r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: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Réné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 Perrin, Benjamin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Hounkpatin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Nicole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Tchiakpe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 xml:space="preserve">, Jules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eastAsia="fr-FR" w:bidi="ar-SA"/>
        </w:rPr>
        <w:t>Alao</w:t>
      </w:r>
      <w:proofErr w:type="spellEnd"/>
    </w:p>
    <w:p w:rsidR="0027072F" w:rsidRPr="00064D11" w:rsidRDefault="0027072F" w:rsidP="0027072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pt-PT" w:eastAsia="fr-FR" w:bidi="ar-SA"/>
        </w:rPr>
      </w:pPr>
      <w:r w:rsidRPr="00064D11">
        <w:rPr>
          <w:rFonts w:ascii="Times New Roman" w:eastAsia="Arial Unicode MS" w:hAnsi="Times New Roman" w:cs="Times New Roman"/>
          <w:b/>
          <w:color w:val="000000"/>
          <w:szCs w:val="22"/>
          <w:u w:color="000000"/>
          <w:bdr w:val="nil"/>
          <w:lang w:val="pt-PT" w:eastAsia="fr-FR" w:bidi="ar-SA"/>
        </w:rPr>
        <w:t>For Calavi Hospital</w:t>
      </w:r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pt-PT" w:eastAsia="fr-FR" w:bidi="ar-SA"/>
        </w:rPr>
        <w:t>: Dossou D</w:t>
      </w:r>
      <w:r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pt-PT" w:eastAsia="fr-FR" w:bidi="ar-SA"/>
        </w:rPr>
        <w:t>agba</w:t>
      </w:r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pt-PT" w:eastAsia="fr-FR" w:bidi="ar-SA"/>
        </w:rPr>
        <w:t>, Ida Dossou Yovo</w:t>
      </w:r>
    </w:p>
    <w:p w:rsidR="0027072F" w:rsidRPr="00064D11" w:rsidRDefault="0027072F" w:rsidP="0027072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pt-PT" w:eastAsia="fr-FR" w:bidi="ar-SA"/>
        </w:rPr>
      </w:pPr>
      <w:r w:rsidRPr="00064D11">
        <w:rPr>
          <w:rFonts w:ascii="Times New Roman" w:eastAsia="Arial Unicode MS" w:hAnsi="Times New Roman" w:cs="Times New Roman"/>
          <w:b/>
          <w:color w:val="000000"/>
          <w:szCs w:val="22"/>
          <w:u w:color="000000"/>
          <w:bdr w:val="nil"/>
          <w:lang w:val="pt-PT" w:eastAsia="fr-FR" w:bidi="ar-SA"/>
        </w:rPr>
        <w:t>For Université de Paris, MERIT, IRD</w:t>
      </w:r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pt-PT" w:eastAsia="fr-FR" w:bidi="ar-SA"/>
        </w:rPr>
        <w:t> : Nadine Fievet, Gino Agbota, Valérie Briand, Gilles Cottrel</w:t>
      </w:r>
    </w:p>
    <w:p w:rsidR="0027072F" w:rsidRPr="00064D11" w:rsidRDefault="0027072F" w:rsidP="0027072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en-GB" w:eastAsia="fr-FR" w:bidi="ar-SA"/>
        </w:rPr>
      </w:pPr>
      <w:r w:rsidRPr="00064D11">
        <w:rPr>
          <w:rFonts w:ascii="Times New Roman" w:eastAsia="Arial Unicode MS" w:hAnsi="Times New Roman" w:cs="Times New Roman"/>
          <w:b/>
          <w:color w:val="000000"/>
          <w:szCs w:val="22"/>
          <w:u w:color="000000"/>
          <w:bdr w:val="nil"/>
          <w:lang w:val="en-GB" w:eastAsia="fr-FR" w:bidi="ar-SA"/>
        </w:rPr>
        <w:t xml:space="preserve">For the Institute of Integrative Biology of the Cell and AP-HP Paris </w:t>
      </w:r>
      <w:proofErr w:type="spellStart"/>
      <w:r w:rsidRPr="00064D11">
        <w:rPr>
          <w:rFonts w:ascii="Times New Roman" w:eastAsia="Arial Unicode MS" w:hAnsi="Times New Roman" w:cs="Times New Roman"/>
          <w:b/>
          <w:color w:val="000000"/>
          <w:szCs w:val="22"/>
          <w:u w:color="000000"/>
          <w:bdr w:val="nil"/>
          <w:lang w:val="en-GB" w:eastAsia="fr-FR" w:bidi="ar-SA"/>
        </w:rPr>
        <w:t>Saclay</w:t>
      </w:r>
      <w:proofErr w:type="spellEnd"/>
      <w:r w:rsidRPr="00064D11">
        <w:rPr>
          <w:rFonts w:ascii="Times New Roman" w:eastAsia="Arial Unicode MS" w:hAnsi="Times New Roman" w:cs="Times New Roman"/>
          <w:b/>
          <w:color w:val="000000"/>
          <w:szCs w:val="22"/>
          <w:u w:color="000000"/>
          <w:bdr w:val="nil"/>
          <w:lang w:val="en-GB" w:eastAsia="fr-FR" w:bidi="ar-SA"/>
        </w:rPr>
        <w:t xml:space="preserve"> University</w:t>
      </w:r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en-GB" w:eastAsia="fr-FR" w:bidi="ar-SA"/>
        </w:rPr>
        <w:t xml:space="preserve">: Pierre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en-GB" w:eastAsia="fr-FR" w:bidi="ar-SA"/>
        </w:rPr>
        <w:t>Tissieres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en-GB" w:eastAsia="fr-FR" w:bidi="ar-SA"/>
        </w:rPr>
        <w:t xml:space="preserve">, </w:t>
      </w:r>
      <w:proofErr w:type="spellStart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en-GB" w:eastAsia="fr-FR" w:bidi="ar-SA"/>
        </w:rPr>
        <w:t>Ulrik</w:t>
      </w:r>
      <w:proofErr w:type="spellEnd"/>
      <w:r w:rsidRPr="00064D11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en-GB" w:eastAsia="fr-FR" w:bidi="ar-SA"/>
        </w:rPr>
        <w:t xml:space="preserve"> </w:t>
      </w:r>
      <w:proofErr w:type="spellStart"/>
      <w:r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en-GB" w:eastAsia="fr-FR" w:bidi="ar-SA"/>
        </w:rPr>
        <w:t>Lausten</w:t>
      </w:r>
      <w:proofErr w:type="spellEnd"/>
      <w:r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en-GB" w:eastAsia="fr-FR" w:bidi="ar-SA"/>
        </w:rPr>
        <w:t xml:space="preserve">-Thomsen, </w:t>
      </w:r>
      <w:proofErr w:type="spellStart"/>
      <w:r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en-GB" w:eastAsia="fr-FR" w:bidi="ar-SA"/>
        </w:rPr>
        <w:t>Sem</w:t>
      </w:r>
      <w:proofErr w:type="spellEnd"/>
      <w:r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en-GB" w:eastAsia="fr-FR" w:bidi="ar-SA"/>
        </w:rPr>
        <w:t xml:space="preserve"> </w:t>
      </w:r>
      <w:proofErr w:type="spellStart"/>
      <w:r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en-GB" w:eastAsia="fr-FR" w:bidi="ar-SA"/>
        </w:rPr>
        <w:t>Ezinmegnon</w:t>
      </w:r>
      <w:proofErr w:type="spellEnd"/>
      <w:r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en-GB" w:eastAsia="fr-FR" w:bidi="ar-SA"/>
        </w:rPr>
        <w:t>, Luis Augusto</w:t>
      </w:r>
    </w:p>
    <w:p w:rsidR="0027072F" w:rsidRDefault="0027072F" w:rsidP="0027072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</w:pPr>
      <w:r w:rsidRPr="0027072F">
        <w:rPr>
          <w:rFonts w:ascii="Times New Roman" w:eastAsia="Arial Unicode MS" w:hAnsi="Times New Roman" w:cs="Times New Roman"/>
          <w:b/>
          <w:color w:val="000000"/>
          <w:szCs w:val="22"/>
          <w:u w:color="000000"/>
          <w:bdr w:val="nil"/>
          <w:lang w:val="fr-FR" w:eastAsia="fr-FR" w:bidi="ar-SA"/>
        </w:rPr>
        <w:t xml:space="preserve">For </w:t>
      </w:r>
      <w:proofErr w:type="spellStart"/>
      <w:r w:rsidRPr="0027072F">
        <w:rPr>
          <w:rFonts w:ascii="Times New Roman" w:eastAsia="Arial Unicode MS" w:hAnsi="Times New Roman" w:cs="Times New Roman"/>
          <w:b/>
          <w:color w:val="000000"/>
          <w:szCs w:val="22"/>
          <w:u w:color="000000"/>
          <w:bdr w:val="nil"/>
          <w:lang w:val="fr-FR" w:eastAsia="fr-FR" w:bidi="ar-SA"/>
        </w:rPr>
        <w:t>BioMérieux</w:t>
      </w:r>
      <w:proofErr w:type="spellEnd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 xml:space="preserve">: Laurence </w:t>
      </w:r>
      <w:proofErr w:type="spellStart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Vachot</w:t>
      </w:r>
      <w:proofErr w:type="spellEnd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 xml:space="preserve">, Javier </w:t>
      </w:r>
      <w:proofErr w:type="spellStart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Yugueros</w:t>
      </w:r>
      <w:proofErr w:type="spellEnd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 xml:space="preserve"> Marcos, Sophie </w:t>
      </w:r>
      <w:proofErr w:type="spellStart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Blein</w:t>
      </w:r>
      <w:proofErr w:type="spellEnd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 xml:space="preserve">, Alexandre </w:t>
      </w:r>
      <w:proofErr w:type="spellStart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Pachot</w:t>
      </w:r>
      <w:proofErr w:type="spellEnd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 xml:space="preserve">, Julien </w:t>
      </w:r>
      <w:proofErr w:type="spellStart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Textoris</w:t>
      </w:r>
      <w:proofErr w:type="spellEnd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 xml:space="preserve">, Marine </w:t>
      </w:r>
      <w:proofErr w:type="spellStart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Mommert</w:t>
      </w:r>
      <w:proofErr w:type="spellEnd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 xml:space="preserve">, Karen </w:t>
      </w:r>
      <w:proofErr w:type="spellStart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Brengel-Pesce</w:t>
      </w:r>
      <w:proofErr w:type="spellEnd"/>
      <w:r w:rsidRPr="0027072F"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.</w:t>
      </w:r>
    </w:p>
    <w:p w:rsidR="009A32BD" w:rsidRPr="0027072F" w:rsidRDefault="009A32BD" w:rsidP="0027072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</w:pPr>
      <w:r w:rsidRPr="009A32BD">
        <w:rPr>
          <w:rFonts w:ascii="Times New Roman" w:eastAsia="Arial Unicode MS" w:hAnsi="Times New Roman" w:cs="Times New Roman"/>
          <w:b/>
          <w:color w:val="000000"/>
          <w:szCs w:val="22"/>
          <w:u w:color="000000"/>
          <w:bdr w:val="nil"/>
          <w:lang w:val="fr-FR" w:eastAsia="fr-FR" w:bidi="ar-SA"/>
        </w:rPr>
        <w:t xml:space="preserve">For </w:t>
      </w:r>
      <w:proofErr w:type="spellStart"/>
      <w:r w:rsidRPr="009A32BD">
        <w:rPr>
          <w:rFonts w:ascii="Times New Roman" w:eastAsia="Arial Unicode MS" w:hAnsi="Times New Roman" w:cs="Times New Roman"/>
          <w:b/>
          <w:color w:val="000000"/>
          <w:szCs w:val="22"/>
          <w:u w:color="000000"/>
          <w:bdr w:val="nil"/>
          <w:lang w:val="fr-FR" w:eastAsia="fr-FR" w:bidi="ar-SA"/>
        </w:rPr>
        <w:t>Soladis</w:t>
      </w:r>
      <w:proofErr w:type="spellEnd"/>
      <w:r>
        <w:rPr>
          <w:rFonts w:ascii="Times New Roman" w:eastAsia="Arial Unicode MS" w:hAnsi="Times New Roman" w:cs="Times New Roman"/>
          <w:color w:val="000000"/>
          <w:szCs w:val="22"/>
          <w:u w:color="000000"/>
          <w:bdr w:val="nil"/>
          <w:lang w:val="fr-FR" w:eastAsia="fr-FR" w:bidi="ar-SA"/>
        </w:rPr>
        <w:t> : François Bartolo</w:t>
      </w:r>
    </w:p>
    <w:p w:rsidR="0027072F" w:rsidRPr="00064D11" w:rsidRDefault="0027072F" w:rsidP="0027072F">
      <w:pPr>
        <w:tabs>
          <w:tab w:val="left" w:pos="7680"/>
        </w:tabs>
        <w:spacing w:after="0" w:line="480" w:lineRule="auto"/>
        <w:rPr>
          <w:rFonts w:ascii="Times New Roman" w:hAnsi="Times New Roman" w:cs="Times New Roman"/>
          <w:b/>
          <w:szCs w:val="22"/>
          <w:lang w:val="en-GB"/>
        </w:rPr>
      </w:pPr>
      <w:bookmarkStart w:id="0" w:name="_GoBack"/>
      <w:bookmarkEnd w:id="0"/>
      <w:r w:rsidRPr="009A32BD">
        <w:rPr>
          <w:rFonts w:ascii="Times New Roman" w:hAnsi="Times New Roman" w:cs="Times New Roman"/>
          <w:b/>
          <w:szCs w:val="22"/>
          <w:highlight w:val="yellow"/>
        </w:rPr>
        <w:br w:type="page"/>
      </w:r>
      <w:r w:rsidRPr="00E1288A">
        <w:rPr>
          <w:rFonts w:ascii="Times New Roman" w:hAnsi="Times New Roman" w:cs="Times New Roman"/>
          <w:b/>
          <w:szCs w:val="22"/>
          <w:lang w:val="en-GB"/>
        </w:rPr>
        <w:lastRenderedPageBreak/>
        <w:t>Supplementary Appendix 2</w:t>
      </w:r>
    </w:p>
    <w:p w:rsidR="0027072F" w:rsidRPr="00064D11" w:rsidRDefault="0027072F" w:rsidP="0027072F">
      <w:pPr>
        <w:tabs>
          <w:tab w:val="left" w:pos="7680"/>
        </w:tabs>
        <w:spacing w:after="0" w:line="480" w:lineRule="auto"/>
        <w:rPr>
          <w:rFonts w:ascii="Times New Roman" w:hAnsi="Times New Roman" w:cs="Times New Roman"/>
          <w:b/>
          <w:szCs w:val="22"/>
          <w:lang w:val="en-GB"/>
        </w:rPr>
      </w:pPr>
      <w:r w:rsidRPr="00064D11">
        <w:rPr>
          <w:rFonts w:ascii="Times New Roman" w:hAnsi="Times New Roman" w:cs="Times New Roman"/>
          <w:b/>
          <w:szCs w:val="22"/>
          <w:lang w:val="en-GB"/>
        </w:rPr>
        <w:t>Methods and statistical algorithms</w:t>
      </w:r>
    </w:p>
    <w:p w:rsidR="0027072F" w:rsidRPr="00064D11" w:rsidRDefault="0027072F" w:rsidP="0027072F">
      <w:pPr>
        <w:tabs>
          <w:tab w:val="left" w:pos="7680"/>
        </w:tabs>
        <w:spacing w:after="0" w:line="480" w:lineRule="auto"/>
        <w:rPr>
          <w:rFonts w:ascii="Times New Roman" w:hAnsi="Times New Roman" w:cs="Times New Roman"/>
          <w:b/>
          <w:szCs w:val="22"/>
          <w:lang w:val="en-GB"/>
        </w:rPr>
      </w:pPr>
      <w:r w:rsidRPr="00064D11">
        <w:rPr>
          <w:rFonts w:ascii="Times New Roman" w:hAnsi="Times New Roman" w:cs="Times New Roman"/>
          <w:b/>
          <w:szCs w:val="22"/>
          <w:lang w:val="en-GB"/>
        </w:rPr>
        <w:t xml:space="preserve">Sampling </w:t>
      </w:r>
    </w:p>
    <w:p w:rsidR="0027072F" w:rsidRPr="00064D11" w:rsidRDefault="0027072F" w:rsidP="0027072F">
      <w:pPr>
        <w:tabs>
          <w:tab w:val="left" w:pos="7680"/>
        </w:tabs>
        <w:spacing w:after="0" w:line="480" w:lineRule="auto"/>
        <w:rPr>
          <w:rFonts w:ascii="Times New Roman" w:hAnsi="Times New Roman" w:cs="Times New Roman"/>
          <w:szCs w:val="22"/>
          <w:lang w:val="en-GB"/>
        </w:rPr>
      </w:pPr>
      <w:r w:rsidRPr="00064D11">
        <w:rPr>
          <w:rFonts w:ascii="Times New Roman" w:hAnsi="Times New Roman" w:cs="Times New Roman"/>
          <w:szCs w:val="22"/>
          <w:lang w:val="en-GB"/>
        </w:rPr>
        <w:t xml:space="preserve">In brief, 18 mL cord blood at birth and 2 mL peripheral blood were collected in </w:t>
      </w:r>
      <w:proofErr w:type="spellStart"/>
      <w:r w:rsidRPr="00064D11">
        <w:rPr>
          <w:rFonts w:ascii="Times New Roman" w:hAnsi="Times New Roman" w:cs="Times New Roman"/>
          <w:szCs w:val="22"/>
          <w:lang w:val="en-GB"/>
        </w:rPr>
        <w:t>PAXgene</w:t>
      </w:r>
      <w:proofErr w:type="spellEnd"/>
      <w:r w:rsidRPr="00064D11">
        <w:rPr>
          <w:rFonts w:ascii="Times New Roman" w:hAnsi="Times New Roman" w:cs="Times New Roman"/>
          <w:szCs w:val="22"/>
          <w:lang w:val="en-GB"/>
        </w:rPr>
        <w:t>™ Blood RNA tubes (</w:t>
      </w:r>
      <w:proofErr w:type="spellStart"/>
      <w:r w:rsidRPr="00064D11">
        <w:rPr>
          <w:rFonts w:ascii="Times New Roman" w:hAnsi="Times New Roman" w:cs="Times New Roman"/>
          <w:szCs w:val="22"/>
          <w:lang w:val="en-GB"/>
        </w:rPr>
        <w:t>PreAnalytix</w:t>
      </w:r>
      <w:proofErr w:type="spellEnd"/>
      <w:r w:rsidRPr="00064D11">
        <w:rPr>
          <w:rFonts w:ascii="Times New Roman" w:hAnsi="Times New Roman" w:cs="Times New Roman"/>
          <w:szCs w:val="22"/>
          <w:lang w:val="en-GB"/>
        </w:rPr>
        <w:t xml:space="preserve">, Hilden, Germany) for transcriptomic biomarkers study. For protein biomarkers study 9 mL cord blood at birth and 500 µL to 1 mL peripheral blood were collected in heparin tubes. </w:t>
      </w:r>
      <w:proofErr w:type="spellStart"/>
      <w:r w:rsidRPr="00064D11">
        <w:rPr>
          <w:rFonts w:ascii="Times New Roman" w:hAnsi="Times New Roman" w:cs="Times New Roman"/>
          <w:szCs w:val="22"/>
          <w:lang w:val="en-GB"/>
        </w:rPr>
        <w:t>PAXgene</w:t>
      </w:r>
      <w:proofErr w:type="spellEnd"/>
      <w:r w:rsidRPr="00064D11">
        <w:rPr>
          <w:rFonts w:ascii="Times New Roman" w:hAnsi="Times New Roman" w:cs="Times New Roman"/>
          <w:szCs w:val="22"/>
          <w:lang w:val="en-GB"/>
        </w:rPr>
        <w:t>™ Blood samples were stabilized at least 2 h at room temperature after collection and frozen at −80 °C following the manufacturer’s guidelines. Heparin blood samples were centrifuged at 1500 to 2000 rpm for 5 min. The plasma obtained was stored at -80°C.</w:t>
      </w:r>
    </w:p>
    <w:p w:rsidR="0027072F" w:rsidRPr="00064D11" w:rsidRDefault="0027072F" w:rsidP="0027072F">
      <w:pPr>
        <w:tabs>
          <w:tab w:val="left" w:pos="7680"/>
        </w:tabs>
        <w:spacing w:after="0" w:line="480" w:lineRule="auto"/>
        <w:rPr>
          <w:rFonts w:ascii="Times New Roman" w:hAnsi="Times New Roman" w:cs="Times New Roman"/>
          <w:b/>
          <w:szCs w:val="22"/>
          <w:lang w:val="en-GB"/>
        </w:rPr>
      </w:pPr>
      <w:r w:rsidRPr="00064D11">
        <w:rPr>
          <w:rFonts w:ascii="Times New Roman" w:hAnsi="Times New Roman" w:cs="Times New Roman"/>
          <w:b/>
          <w:szCs w:val="22"/>
          <w:lang w:val="en-GB"/>
        </w:rPr>
        <w:t>RNA extraction, reverse transcription and quantitative PCR</w:t>
      </w:r>
    </w:p>
    <w:p w:rsidR="0027072F" w:rsidRPr="00064D11" w:rsidRDefault="0027072F" w:rsidP="0027072F">
      <w:pPr>
        <w:tabs>
          <w:tab w:val="left" w:pos="7680"/>
        </w:tabs>
        <w:spacing w:after="0" w:line="480" w:lineRule="auto"/>
        <w:rPr>
          <w:rFonts w:ascii="Times New Roman" w:hAnsi="Times New Roman" w:cs="Times New Roman"/>
          <w:szCs w:val="22"/>
          <w:lang w:val="en-GB"/>
        </w:rPr>
      </w:pPr>
      <w:r w:rsidRPr="00064D11">
        <w:rPr>
          <w:rFonts w:ascii="Times New Roman" w:hAnsi="Times New Roman" w:cs="Times New Roman"/>
          <w:szCs w:val="22"/>
          <w:lang w:val="en-GB"/>
        </w:rPr>
        <w:t xml:space="preserve">Total RNA was extracted from cord blood by </w:t>
      </w:r>
      <w:proofErr w:type="spellStart"/>
      <w:r w:rsidRPr="00064D11">
        <w:rPr>
          <w:rFonts w:ascii="Times New Roman" w:hAnsi="Times New Roman" w:cs="Times New Roman"/>
          <w:szCs w:val="22"/>
          <w:lang w:val="en-GB"/>
        </w:rPr>
        <w:t>QIAsymphony</w:t>
      </w:r>
      <w:proofErr w:type="spellEnd"/>
      <w:r w:rsidRPr="00064D11">
        <w:rPr>
          <w:rFonts w:ascii="Times New Roman" w:hAnsi="Times New Roman" w:cs="Times New Roman"/>
          <w:szCs w:val="22"/>
          <w:lang w:val="en-GB"/>
        </w:rPr>
        <w:t xml:space="preserve"> SP/AS (QIAGEN Hilden, Germany) using </w:t>
      </w:r>
      <w:proofErr w:type="spellStart"/>
      <w:r w:rsidRPr="00064D11">
        <w:rPr>
          <w:rFonts w:ascii="Times New Roman" w:hAnsi="Times New Roman" w:cs="Times New Roman"/>
          <w:szCs w:val="22"/>
          <w:lang w:val="en-GB"/>
        </w:rPr>
        <w:t>PAXgeneTM</w:t>
      </w:r>
      <w:proofErr w:type="spellEnd"/>
      <w:r w:rsidRPr="00064D11">
        <w:rPr>
          <w:rFonts w:ascii="Times New Roman" w:hAnsi="Times New Roman" w:cs="Times New Roman"/>
          <w:szCs w:val="22"/>
          <w:lang w:val="en-GB"/>
        </w:rPr>
        <w:t xml:space="preserve"> Blood RNA Kit (</w:t>
      </w:r>
      <w:proofErr w:type="spellStart"/>
      <w:r w:rsidRPr="00064D11">
        <w:rPr>
          <w:rFonts w:ascii="Times New Roman" w:hAnsi="Times New Roman" w:cs="Times New Roman"/>
          <w:szCs w:val="22"/>
          <w:lang w:val="en-GB"/>
        </w:rPr>
        <w:t>PreAnalytix</w:t>
      </w:r>
      <w:proofErr w:type="spellEnd"/>
      <w:r w:rsidRPr="00064D11">
        <w:rPr>
          <w:rFonts w:ascii="Times New Roman" w:hAnsi="Times New Roman" w:cs="Times New Roman"/>
          <w:szCs w:val="22"/>
          <w:lang w:val="en-GB"/>
        </w:rPr>
        <w:t xml:space="preserve">, Hilden, Germany) according manufacturer guidelines. The RNA integrity was measured prior to RNA amplification using a </w:t>
      </w:r>
      <w:proofErr w:type="spellStart"/>
      <w:r w:rsidRPr="00064D11">
        <w:rPr>
          <w:rFonts w:ascii="Times New Roman" w:hAnsi="Times New Roman" w:cs="Times New Roman"/>
          <w:szCs w:val="22"/>
          <w:lang w:val="en-GB"/>
        </w:rPr>
        <w:t>Bioanalyser</w:t>
      </w:r>
      <w:proofErr w:type="spellEnd"/>
      <w:r w:rsidRPr="00064D11">
        <w:rPr>
          <w:rFonts w:ascii="Times New Roman" w:hAnsi="Times New Roman" w:cs="Times New Roman"/>
          <w:szCs w:val="22"/>
          <w:lang w:val="en-GB"/>
        </w:rPr>
        <w:t xml:space="preserve"> 2100</w:t>
      </w:r>
      <w:r>
        <w:rPr>
          <w:rFonts w:ascii="Times New Roman" w:hAnsi="Times New Roman" w:cs="Times New Roman"/>
          <w:szCs w:val="22"/>
          <w:lang w:val="en-GB"/>
        </w:rPr>
        <w:t xml:space="preserve"> </w:t>
      </w:r>
      <w:r w:rsidRPr="00115018">
        <w:rPr>
          <w:rFonts w:ascii="Times New Roman" w:hAnsi="Times New Roman" w:cs="Times New Roman"/>
          <w:szCs w:val="22"/>
          <w:lang w:val="en-GB"/>
        </w:rPr>
        <w:t>(Agilent Technologies, Palo Alto, CA) in accordance</w:t>
      </w:r>
      <w:r w:rsidRPr="00064D11">
        <w:rPr>
          <w:rFonts w:ascii="Times New Roman" w:hAnsi="Times New Roman" w:cs="Times New Roman"/>
          <w:szCs w:val="22"/>
          <w:lang w:val="en-GB"/>
        </w:rPr>
        <w:t xml:space="preserve"> with the manufacturer’s instructions (RNA integrity number ≤ 6 w</w:t>
      </w:r>
      <w:r>
        <w:rPr>
          <w:rFonts w:ascii="Times New Roman" w:hAnsi="Times New Roman" w:cs="Times New Roman"/>
          <w:szCs w:val="22"/>
          <w:lang w:val="en-GB"/>
        </w:rPr>
        <w:t xml:space="preserve">ere excluded [min 6.5–max 9.4]). </w:t>
      </w:r>
      <w:r w:rsidRPr="00064D11">
        <w:rPr>
          <w:rFonts w:ascii="Times New Roman" w:hAnsi="Times New Roman" w:cs="Times New Roman"/>
          <w:szCs w:val="22"/>
          <w:lang w:val="en-GB"/>
        </w:rPr>
        <w:t xml:space="preserve">The expression level of </w:t>
      </w:r>
      <w:r w:rsidRPr="00B4520F">
        <w:rPr>
          <w:rFonts w:ascii="Times New Roman" w:hAnsi="Times New Roman" w:cs="Times New Roman"/>
          <w:i/>
          <w:szCs w:val="22"/>
          <w:lang w:val="en-GB"/>
        </w:rPr>
        <w:t>CX3CR1</w:t>
      </w:r>
      <w:r w:rsidRPr="00064D11">
        <w:rPr>
          <w:rFonts w:ascii="Times New Roman" w:hAnsi="Times New Roman" w:cs="Times New Roman"/>
          <w:szCs w:val="22"/>
          <w:lang w:val="en-GB"/>
        </w:rPr>
        <w:t xml:space="preserve"> and </w:t>
      </w:r>
      <w:r w:rsidRPr="00B4520F">
        <w:rPr>
          <w:rFonts w:ascii="Times New Roman" w:hAnsi="Times New Roman" w:cs="Times New Roman"/>
          <w:i/>
          <w:szCs w:val="22"/>
          <w:lang w:val="en-GB"/>
        </w:rPr>
        <w:t>CD74</w:t>
      </w:r>
      <w:r>
        <w:rPr>
          <w:rFonts w:ascii="Times New Roman" w:hAnsi="Times New Roman" w:cs="Times New Roman"/>
          <w:szCs w:val="22"/>
          <w:lang w:val="en-GB"/>
        </w:rPr>
        <w:t xml:space="preserve"> was measured by RT-q</w:t>
      </w:r>
      <w:r w:rsidRPr="00064D11">
        <w:rPr>
          <w:rFonts w:ascii="Times New Roman" w:hAnsi="Times New Roman" w:cs="Times New Roman"/>
          <w:szCs w:val="22"/>
          <w:lang w:val="en-GB"/>
        </w:rPr>
        <w:t xml:space="preserve">PCR </w:t>
      </w:r>
      <w:r>
        <w:rPr>
          <w:rFonts w:ascii="Times New Roman" w:hAnsi="Times New Roman" w:cs="Times New Roman"/>
          <w:szCs w:val="22"/>
          <w:lang w:val="en-GB"/>
        </w:rPr>
        <w:t xml:space="preserve"> using </w:t>
      </w:r>
      <w:r w:rsidRPr="000248F5">
        <w:rPr>
          <w:rFonts w:ascii="Times New Roman" w:hAnsi="Times New Roman" w:cs="Times New Roman"/>
          <w:lang w:val="en-GB"/>
        </w:rPr>
        <w:t xml:space="preserve">ABI7500 </w:t>
      </w:r>
      <w:proofErr w:type="spellStart"/>
      <w:r w:rsidRPr="000248F5">
        <w:rPr>
          <w:rFonts w:ascii="Times New Roman" w:hAnsi="Times New Roman" w:cs="Times New Roman"/>
          <w:lang w:val="en-GB"/>
        </w:rPr>
        <w:t>thermocycler</w:t>
      </w:r>
      <w:proofErr w:type="spellEnd"/>
      <w:r w:rsidRPr="000248F5">
        <w:rPr>
          <w:rFonts w:ascii="Times New Roman" w:hAnsi="Times New Roman" w:cs="Times New Roman"/>
          <w:lang w:val="en-GB"/>
        </w:rPr>
        <w:t xml:space="preserve"> (Applied </w:t>
      </w:r>
      <w:proofErr w:type="spellStart"/>
      <w:r w:rsidRPr="000248F5">
        <w:rPr>
          <w:rFonts w:ascii="Times New Roman" w:hAnsi="Times New Roman" w:cs="Times New Roman"/>
          <w:lang w:val="en-GB"/>
        </w:rPr>
        <w:t>BioSystems</w:t>
      </w:r>
      <w:proofErr w:type="spellEnd"/>
      <w:r w:rsidRPr="000248F5">
        <w:rPr>
          <w:rFonts w:ascii="Times New Roman" w:hAnsi="Times New Roman" w:cs="Times New Roman"/>
          <w:lang w:val="en-GB"/>
        </w:rPr>
        <w:t xml:space="preserve">®, </w:t>
      </w:r>
      <w:proofErr w:type="spellStart"/>
      <w:r w:rsidRPr="000248F5">
        <w:rPr>
          <w:rFonts w:ascii="Times New Roman" w:hAnsi="Times New Roman" w:cs="Times New Roman"/>
          <w:lang w:val="en-GB"/>
        </w:rPr>
        <w:t>California,USA</w:t>
      </w:r>
      <w:proofErr w:type="spellEnd"/>
      <w:r w:rsidRPr="000248F5">
        <w:rPr>
          <w:rFonts w:ascii="Times New Roman" w:hAnsi="Times New Roman" w:cs="Times New Roman"/>
          <w:lang w:val="en-GB"/>
        </w:rPr>
        <w:t xml:space="preserve">) </w:t>
      </w:r>
      <w:r w:rsidRPr="00064D11">
        <w:rPr>
          <w:rFonts w:ascii="Times New Roman" w:hAnsi="Times New Roman" w:cs="Times New Roman"/>
          <w:szCs w:val="22"/>
          <w:lang w:val="en-GB"/>
        </w:rPr>
        <w:t xml:space="preserve">from 10 ng of RNA samples using prototype </w:t>
      </w:r>
      <w:proofErr w:type="spellStart"/>
      <w:r w:rsidRPr="00064D11">
        <w:rPr>
          <w:rFonts w:ascii="Times New Roman" w:hAnsi="Times New Roman" w:cs="Times New Roman"/>
          <w:szCs w:val="22"/>
          <w:lang w:val="en-GB"/>
        </w:rPr>
        <w:t>Argene</w:t>
      </w:r>
      <w:proofErr w:type="spellEnd"/>
      <w:r w:rsidRPr="00064D11">
        <w:rPr>
          <w:rFonts w:ascii="Times New Roman" w:hAnsi="Times New Roman" w:cs="Times New Roman"/>
          <w:szCs w:val="22"/>
          <w:lang w:val="en-GB"/>
        </w:rPr>
        <w:t>® kit (</w:t>
      </w:r>
      <w:proofErr w:type="spellStart"/>
      <w:r w:rsidRPr="00064D11">
        <w:rPr>
          <w:rFonts w:ascii="Times New Roman" w:hAnsi="Times New Roman" w:cs="Times New Roman"/>
          <w:szCs w:val="22"/>
          <w:lang w:val="en-GB"/>
        </w:rPr>
        <w:t>bioMerieux</w:t>
      </w:r>
      <w:proofErr w:type="spellEnd"/>
      <w:r w:rsidRPr="00064D11">
        <w:rPr>
          <w:rFonts w:ascii="Times New Roman" w:hAnsi="Times New Roman" w:cs="Times New Roman"/>
          <w:szCs w:val="22"/>
          <w:lang w:val="en-GB"/>
        </w:rPr>
        <w:t xml:space="preserve">, France) following the manufacturer's instructions. The determination of the copy concentration of each gene is performed using a calibration curve. The results are expressed as the ratio of the concentrations of </w:t>
      </w:r>
      <w:r w:rsidRPr="00B4520F">
        <w:rPr>
          <w:rFonts w:ascii="Times New Roman" w:hAnsi="Times New Roman" w:cs="Times New Roman"/>
          <w:i/>
          <w:szCs w:val="22"/>
          <w:lang w:val="en-GB"/>
        </w:rPr>
        <w:t>CX3CR1</w:t>
      </w:r>
      <w:r w:rsidRPr="00064D11">
        <w:rPr>
          <w:rFonts w:ascii="Times New Roman" w:hAnsi="Times New Roman" w:cs="Times New Roman"/>
          <w:szCs w:val="22"/>
          <w:lang w:val="en-GB"/>
        </w:rPr>
        <w:t xml:space="preserve"> or </w:t>
      </w:r>
      <w:r w:rsidRPr="00B4520F">
        <w:rPr>
          <w:rFonts w:ascii="Times New Roman" w:hAnsi="Times New Roman" w:cs="Times New Roman"/>
          <w:i/>
          <w:szCs w:val="22"/>
          <w:lang w:val="en-GB"/>
        </w:rPr>
        <w:t>CD74</w:t>
      </w:r>
      <w:r w:rsidRPr="00064D11">
        <w:rPr>
          <w:rFonts w:ascii="Times New Roman" w:hAnsi="Times New Roman" w:cs="Times New Roman"/>
          <w:szCs w:val="22"/>
          <w:lang w:val="en-GB"/>
        </w:rPr>
        <w:t xml:space="preserve"> to those of </w:t>
      </w:r>
      <w:r w:rsidRPr="00B4520F">
        <w:rPr>
          <w:rFonts w:ascii="Times New Roman" w:hAnsi="Times New Roman" w:cs="Times New Roman"/>
          <w:i/>
          <w:szCs w:val="22"/>
          <w:lang w:val="en-GB"/>
        </w:rPr>
        <w:t>HPRT1</w:t>
      </w:r>
      <w:r w:rsidRPr="00064D11">
        <w:rPr>
          <w:rFonts w:ascii="Times New Roman" w:hAnsi="Times New Roman" w:cs="Times New Roman"/>
          <w:szCs w:val="22"/>
          <w:lang w:val="en-GB"/>
        </w:rPr>
        <w:t xml:space="preserve"> (Hypoxanthine </w:t>
      </w:r>
      <w:proofErr w:type="spellStart"/>
      <w:r w:rsidRPr="00064D11">
        <w:rPr>
          <w:rFonts w:ascii="Times New Roman" w:hAnsi="Times New Roman" w:cs="Times New Roman"/>
          <w:szCs w:val="22"/>
          <w:lang w:val="en-GB"/>
        </w:rPr>
        <w:t>Phosphoribosyltransferase</w:t>
      </w:r>
      <w:proofErr w:type="spellEnd"/>
      <w:r w:rsidRPr="00064D11">
        <w:rPr>
          <w:rFonts w:ascii="Times New Roman" w:hAnsi="Times New Roman" w:cs="Times New Roman"/>
          <w:szCs w:val="22"/>
          <w:lang w:val="en-GB"/>
        </w:rPr>
        <w:t xml:space="preserve"> 1) used to normalize the gene expression results. </w:t>
      </w:r>
    </w:p>
    <w:p w:rsidR="0027072F" w:rsidRDefault="0027072F" w:rsidP="0027072F">
      <w:pPr>
        <w:tabs>
          <w:tab w:val="left" w:pos="7680"/>
        </w:tabs>
        <w:spacing w:after="0" w:line="480" w:lineRule="auto"/>
        <w:rPr>
          <w:rFonts w:ascii="Times New Roman" w:hAnsi="Times New Roman" w:cs="Times New Roman"/>
          <w:b/>
          <w:szCs w:val="22"/>
          <w:lang w:val="en-GB"/>
        </w:rPr>
      </w:pPr>
      <w:r w:rsidRPr="00064D11">
        <w:rPr>
          <w:rFonts w:ascii="Times New Roman" w:hAnsi="Times New Roman" w:cs="Times New Roman"/>
          <w:b/>
          <w:szCs w:val="22"/>
          <w:lang w:val="en-GB"/>
        </w:rPr>
        <w:t>Protein quantification</w:t>
      </w:r>
    </w:p>
    <w:p w:rsidR="0027072F" w:rsidRPr="004C14E4" w:rsidRDefault="0027072F" w:rsidP="0027072F">
      <w:pPr>
        <w:tabs>
          <w:tab w:val="left" w:pos="7680"/>
        </w:tabs>
        <w:spacing w:after="0" w:line="480" w:lineRule="auto"/>
        <w:rPr>
          <w:rFonts w:ascii="Times New Roman" w:hAnsi="Times New Roman" w:cs="Times New Roman"/>
          <w:szCs w:val="22"/>
          <w:lang w:val="en-GB"/>
        </w:rPr>
      </w:pPr>
      <w:r w:rsidRPr="00064D11">
        <w:rPr>
          <w:rFonts w:ascii="Times New Roman" w:hAnsi="Times New Roman" w:cs="Times New Roman"/>
          <w:szCs w:val="22"/>
          <w:lang w:val="en-GB"/>
        </w:rPr>
        <w:t>PCT, IL</w:t>
      </w:r>
      <w:r>
        <w:rPr>
          <w:rFonts w:ascii="Times New Roman" w:hAnsi="Times New Roman" w:cs="Times New Roman"/>
          <w:szCs w:val="22"/>
          <w:lang w:val="en-GB"/>
        </w:rPr>
        <w:t>-</w:t>
      </w:r>
      <w:r w:rsidRPr="00064D11">
        <w:rPr>
          <w:rFonts w:ascii="Times New Roman" w:hAnsi="Times New Roman" w:cs="Times New Roman"/>
          <w:szCs w:val="22"/>
          <w:lang w:val="en-GB"/>
        </w:rPr>
        <w:t>6, IL</w:t>
      </w:r>
      <w:r>
        <w:rPr>
          <w:rFonts w:ascii="Times New Roman" w:hAnsi="Times New Roman" w:cs="Times New Roman"/>
          <w:szCs w:val="22"/>
          <w:lang w:val="en-GB"/>
        </w:rPr>
        <w:t>-</w:t>
      </w:r>
      <w:r w:rsidRPr="00064D11">
        <w:rPr>
          <w:rFonts w:ascii="Times New Roman" w:hAnsi="Times New Roman" w:cs="Times New Roman"/>
          <w:szCs w:val="22"/>
          <w:lang w:val="en-GB"/>
        </w:rPr>
        <w:t>10 and IP</w:t>
      </w:r>
      <w:r>
        <w:rPr>
          <w:rFonts w:ascii="Times New Roman" w:hAnsi="Times New Roman" w:cs="Times New Roman"/>
          <w:szCs w:val="22"/>
          <w:lang w:val="en-GB"/>
        </w:rPr>
        <w:t>-</w:t>
      </w:r>
      <w:r w:rsidRPr="00064D11">
        <w:rPr>
          <w:rFonts w:ascii="Times New Roman" w:hAnsi="Times New Roman" w:cs="Times New Roman"/>
          <w:szCs w:val="22"/>
          <w:lang w:val="en-GB"/>
        </w:rPr>
        <w:t>10</w:t>
      </w:r>
      <w:r>
        <w:rPr>
          <w:rFonts w:ascii="Times New Roman" w:hAnsi="Times New Roman" w:cs="Times New Roman"/>
          <w:szCs w:val="22"/>
          <w:lang w:val="en-GB"/>
        </w:rPr>
        <w:t xml:space="preserve"> proteins </w:t>
      </w:r>
      <w:r w:rsidRPr="00064D11">
        <w:rPr>
          <w:rFonts w:ascii="Times New Roman" w:hAnsi="Times New Roman" w:cs="Times New Roman"/>
          <w:szCs w:val="22"/>
          <w:lang w:val="en-GB"/>
        </w:rPr>
        <w:t>in plasma</w:t>
      </w:r>
      <w:r w:rsidRPr="004C14E4">
        <w:rPr>
          <w:rFonts w:ascii="Times New Roman" w:hAnsi="Times New Roman" w:cs="Times New Roman"/>
          <w:szCs w:val="22"/>
          <w:lang w:val="en-GB"/>
        </w:rPr>
        <w:t xml:space="preserve"> were </w:t>
      </w:r>
      <w:proofErr w:type="spellStart"/>
      <w:r w:rsidRPr="004C14E4">
        <w:rPr>
          <w:rFonts w:ascii="Times New Roman" w:hAnsi="Times New Roman" w:cs="Times New Roman"/>
          <w:szCs w:val="22"/>
          <w:lang w:val="en-GB"/>
        </w:rPr>
        <w:t>analyzed</w:t>
      </w:r>
      <w:proofErr w:type="spellEnd"/>
      <w:r w:rsidRPr="004C14E4">
        <w:rPr>
          <w:rFonts w:ascii="Times New Roman" w:hAnsi="Times New Roman" w:cs="Times New Roman"/>
          <w:szCs w:val="22"/>
          <w:lang w:val="en-GB"/>
        </w:rPr>
        <w:t xml:space="preserve"> </w:t>
      </w:r>
      <w:r>
        <w:rPr>
          <w:rFonts w:ascii="Times New Roman" w:hAnsi="Times New Roman" w:cs="Times New Roman"/>
          <w:szCs w:val="22"/>
          <w:lang w:val="en-GB"/>
        </w:rPr>
        <w:t xml:space="preserve">in a </w:t>
      </w:r>
      <w:r w:rsidRPr="004C14E4">
        <w:rPr>
          <w:rFonts w:ascii="Times New Roman" w:hAnsi="Times New Roman" w:cs="Times New Roman"/>
          <w:szCs w:val="22"/>
          <w:lang w:val="en-GB"/>
        </w:rPr>
        <w:t xml:space="preserve">batch by Simplex </w:t>
      </w:r>
      <w:proofErr w:type="spellStart"/>
      <w:r w:rsidRPr="004C14E4">
        <w:rPr>
          <w:rFonts w:ascii="Times New Roman" w:hAnsi="Times New Roman" w:cs="Times New Roman"/>
          <w:szCs w:val="22"/>
          <w:lang w:val="en-GB"/>
        </w:rPr>
        <w:t>AssaysTM</w:t>
      </w:r>
      <w:proofErr w:type="spellEnd"/>
      <w:r w:rsidRPr="004C14E4">
        <w:rPr>
          <w:rFonts w:ascii="Times New Roman" w:hAnsi="Times New Roman" w:cs="Times New Roman"/>
          <w:szCs w:val="22"/>
          <w:lang w:val="en-GB"/>
        </w:rPr>
        <w:t xml:space="preserve"> according to the manufacturer’s instructions as previously described </w:t>
      </w:r>
      <w:r>
        <w:rPr>
          <w:rFonts w:ascii="Times New Roman" w:hAnsi="Times New Roman" w:cs="Times New Roman"/>
          <w:szCs w:val="22"/>
          <w:vertAlign w:val="superscript"/>
          <w:lang w:val="en-GB"/>
        </w:rPr>
        <w:t>1</w:t>
      </w:r>
      <w:r w:rsidRPr="004C14E4">
        <w:rPr>
          <w:rFonts w:ascii="Times New Roman" w:hAnsi="Times New Roman" w:cs="Times New Roman"/>
          <w:szCs w:val="22"/>
          <w:lang w:val="en-GB"/>
        </w:rPr>
        <w:t xml:space="preserve">. The Ella microfluidic </w:t>
      </w:r>
      <w:proofErr w:type="spellStart"/>
      <w:r w:rsidRPr="004C14E4">
        <w:rPr>
          <w:rFonts w:ascii="Times New Roman" w:hAnsi="Times New Roman" w:cs="Times New Roman"/>
          <w:szCs w:val="22"/>
          <w:lang w:val="en-GB"/>
        </w:rPr>
        <w:t>analyzer</w:t>
      </w:r>
      <w:proofErr w:type="spellEnd"/>
      <w:r w:rsidRPr="004C14E4">
        <w:rPr>
          <w:rFonts w:ascii="Times New Roman" w:hAnsi="Times New Roman" w:cs="Times New Roman"/>
          <w:szCs w:val="22"/>
          <w:lang w:val="en-GB"/>
        </w:rPr>
        <w:t xml:space="preserve"> (Protein Simple, San Jose, CA, USA) was used to assess cytokine concentrations</w:t>
      </w:r>
      <w:r>
        <w:rPr>
          <w:rFonts w:ascii="Times New Roman" w:hAnsi="Times New Roman" w:cs="Times New Roman"/>
          <w:szCs w:val="22"/>
          <w:lang w:val="en-GB"/>
        </w:rPr>
        <w:t xml:space="preserve"> </w:t>
      </w:r>
      <w:r>
        <w:rPr>
          <w:rFonts w:ascii="Times New Roman" w:hAnsi="Times New Roman" w:cs="Times New Roman"/>
          <w:szCs w:val="22"/>
          <w:vertAlign w:val="superscript"/>
          <w:lang w:val="en-GB"/>
        </w:rPr>
        <w:t>2</w:t>
      </w:r>
      <w:r w:rsidRPr="004C14E4">
        <w:rPr>
          <w:rFonts w:ascii="Times New Roman" w:hAnsi="Times New Roman" w:cs="Times New Roman"/>
          <w:szCs w:val="22"/>
          <w:lang w:val="en-GB"/>
        </w:rPr>
        <w:t>.</w:t>
      </w:r>
    </w:p>
    <w:p w:rsidR="0027072F" w:rsidRPr="004C14E4" w:rsidRDefault="0027072F" w:rsidP="0027072F">
      <w:pPr>
        <w:tabs>
          <w:tab w:val="left" w:pos="7680"/>
        </w:tabs>
        <w:spacing w:after="0" w:line="480" w:lineRule="auto"/>
        <w:rPr>
          <w:rFonts w:ascii="Times New Roman" w:hAnsi="Times New Roman" w:cs="Times New Roman"/>
          <w:b/>
          <w:szCs w:val="22"/>
          <w:lang w:val="en-GB"/>
        </w:rPr>
      </w:pPr>
    </w:p>
    <w:p w:rsidR="0027072F" w:rsidRDefault="0027072F" w:rsidP="0027072F">
      <w:pPr>
        <w:spacing w:after="0" w:line="480" w:lineRule="auto"/>
        <w:rPr>
          <w:rFonts w:ascii="Times New Roman" w:eastAsia="Arial Unicode MS" w:hAnsi="Times New Roman" w:cs="Times New Roman"/>
          <w:b/>
          <w:szCs w:val="22"/>
          <w:u w:color="000000"/>
          <w:bdr w:val="nil"/>
          <w:lang w:val="en-GB" w:eastAsia="fr-FR" w:bidi="ar-SA"/>
        </w:rPr>
      </w:pPr>
    </w:p>
    <w:p w:rsidR="0027072F" w:rsidRPr="00064D11" w:rsidRDefault="0027072F" w:rsidP="0027072F">
      <w:pPr>
        <w:spacing w:after="0" w:line="480" w:lineRule="auto"/>
        <w:rPr>
          <w:rFonts w:ascii="Times New Roman" w:eastAsia="Arial Unicode MS" w:hAnsi="Times New Roman" w:cs="Times New Roman"/>
          <w:b/>
          <w:szCs w:val="22"/>
          <w:u w:color="000000"/>
          <w:bdr w:val="nil"/>
          <w:lang w:val="en-GB" w:eastAsia="fr-FR" w:bidi="ar-SA"/>
        </w:rPr>
      </w:pPr>
      <w:r w:rsidRPr="00064D11">
        <w:rPr>
          <w:rFonts w:ascii="Times New Roman" w:eastAsia="Arial Unicode MS" w:hAnsi="Times New Roman" w:cs="Times New Roman"/>
          <w:b/>
          <w:szCs w:val="22"/>
          <w:u w:color="000000"/>
          <w:bdr w:val="nil"/>
          <w:lang w:val="en-GB" w:eastAsia="fr-FR" w:bidi="ar-SA"/>
        </w:rPr>
        <w:lastRenderedPageBreak/>
        <w:t>Statistical Algorithms</w:t>
      </w:r>
    </w:p>
    <w:p w:rsidR="0027072F" w:rsidRDefault="0027072F" w:rsidP="0027072F">
      <w:pPr>
        <w:spacing w:after="0" w:line="480" w:lineRule="auto"/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</w:pP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We tested several algorithms: Bagged CART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ipred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CART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rpart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Naive Bayes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klaR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 and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naivebayes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Multi-Step Adaptive MCP-Net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msaenet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Bagged Flexible Discriminant Analysis and Flexible Discriminant Analysis (package earth), Multi-Layer Perceptron (package RSNNS), Regularized Random Forest (package RRF), Quadratic Discriminant Analysis and Linear Discriminant Analysis (package MASS), Robust Linear Discriminant Analysis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rrcov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Robust Mixture Discriminant Analysis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robustDA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High Dimensional Discriminant Analysis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HDclassif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 ), Random Forest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randomForest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 and ranger), Stochastic Gradient Boosting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gbm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Conditional Inference Tree (package party), Neural Network and Neural Networks with Feature Extraction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nnet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Generalized Additive Model using Splines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mgcv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Distance Weighted Discrimination with Polynomial Kernel and Distance Weighted Discrimination with Radial Basis Function Kernel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kerndwd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Support Vector Machines with Radial Basis Function Kernel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kernlab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Single C5.0 Ruleset (package C50), Boosted Logistic Regression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caTools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Oblique Random Forest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obliqueRF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Sparse Partial Least Squares (package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mixOmics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), k-Nearest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Neighbors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.</w:t>
      </w:r>
    </w:p>
    <w:p w:rsidR="0027072F" w:rsidRPr="00064D11" w:rsidRDefault="0027072F" w:rsidP="0027072F">
      <w:pPr>
        <w:spacing w:after="0" w:line="480" w:lineRule="auto"/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</w:pPr>
    </w:p>
    <w:p w:rsidR="0027072F" w:rsidRDefault="0027072F" w:rsidP="0027072F">
      <w:pPr>
        <w:spacing w:after="0" w:line="480" w:lineRule="auto"/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</w:pP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For the outcome </w:t>
      </w:r>
      <w:r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“</w:t>
      </w: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sepsis adjudicated</w:t>
      </w:r>
      <w:r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”</w:t>
      </w: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, the model Multi-Layer Perceptron was selected for </w:t>
      </w:r>
      <w:r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“</w:t>
      </w: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All biomarkers</w:t>
      </w:r>
      <w:r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”</w:t>
      </w: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, the model Quadratic Discriminant Analysis was selected for </w:t>
      </w:r>
      <w:r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“</w:t>
      </w: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Protein Biomarkers</w:t>
      </w:r>
      <w:r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”</w:t>
      </w: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 and k-Nearest </w:t>
      </w:r>
      <w:proofErr w:type="spellStart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Neighbors</w:t>
      </w:r>
      <w:proofErr w:type="spellEnd"/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 for </w:t>
      </w:r>
      <w:r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“</w:t>
      </w: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CX3CR1 &amp; CD74</w:t>
      </w:r>
      <w:r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”</w:t>
      </w: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. For the outcome </w:t>
      </w:r>
      <w:r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“clinical </w:t>
      </w: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sepsis</w:t>
      </w:r>
      <w:r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”</w:t>
      </w: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 xml:space="preserve">, the model Generalized Additive Model using Splines was selected for </w:t>
      </w:r>
      <w:r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“</w:t>
      </w: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All biomarkers</w:t>
      </w:r>
      <w:r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”</w:t>
      </w:r>
      <w:r w:rsidRPr="00064D11">
        <w:rPr>
          <w:rFonts w:ascii="Times New Roman" w:eastAsia="Arial Unicode MS" w:hAnsi="Times New Roman" w:cs="Times New Roman"/>
          <w:szCs w:val="22"/>
          <w:u w:color="000000"/>
          <w:bdr w:val="nil"/>
          <w:lang w:val="en-GB" w:eastAsia="fr-FR" w:bidi="ar-SA"/>
        </w:rPr>
        <w:t>, the model Distance Weighted Discrimination with Polyno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 xml:space="preserve">mial Kernel was selected for 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“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Protein Biomarkers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”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 xml:space="preserve"> and Support Vector Machines with Radial Basis Function Kernel for 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“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CX3CR1 &amp; CD74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”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 xml:space="preserve">. For the outcome death, the model Sparse Partial Least Squares was selected for 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“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All biomarkers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”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 xml:space="preserve">, the model Sparse Partial Least Squares was selected for 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“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Protein Biomarkers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”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 xml:space="preserve"> and Neural Network for 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“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CX3CR1 &amp; CD74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”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 xml:space="preserve">. The random forest model did not select any variables (6Biom + 16 VC). The Stochastic Gradient Boosting model selected 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“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5 Biomarkers and 6 Clinical Variables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”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 xml:space="preserve">. The Flexible Discriminant Analysis model selected 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“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3 Biomarkers and 4 Clinical Variables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”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 xml:space="preserve">. The Multi-Step Adaptive MCP-Net model 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lastRenderedPageBreak/>
        <w:t xml:space="preserve">selected 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“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1 biomarker and 2 Clinical Variables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”</w:t>
      </w:r>
      <w:r w:rsidRPr="00064D11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.</w:t>
      </w:r>
      <w:r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 xml:space="preserve"> </w:t>
      </w:r>
      <w:r w:rsidRPr="00E1288A"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  <w:t>See clinical variables legend in Supplementary Table 1.</w:t>
      </w:r>
    </w:p>
    <w:p w:rsidR="0027072F" w:rsidRDefault="0027072F" w:rsidP="0027072F">
      <w:pPr>
        <w:spacing w:after="0" w:line="480" w:lineRule="auto"/>
        <w:rPr>
          <w:rFonts w:ascii="Times New Roman" w:eastAsia="Times New Roman" w:hAnsi="Times New Roman" w:cs="Times New Roman"/>
          <w:color w:val="000000"/>
          <w:kern w:val="24"/>
          <w:szCs w:val="22"/>
          <w:lang w:val="en-GB"/>
        </w:rPr>
      </w:pPr>
    </w:p>
    <w:p w:rsidR="0027072F" w:rsidRPr="005643DE" w:rsidRDefault="0027072F" w:rsidP="0027072F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kern w:val="24"/>
          <w:szCs w:val="22"/>
          <w:lang w:val="en-GB"/>
        </w:rPr>
      </w:pPr>
      <w:r w:rsidRPr="005643DE">
        <w:rPr>
          <w:rFonts w:ascii="Times New Roman" w:eastAsia="Times New Roman" w:hAnsi="Times New Roman" w:cs="Times New Roman"/>
          <w:b/>
          <w:color w:val="000000"/>
          <w:kern w:val="24"/>
          <w:szCs w:val="22"/>
          <w:lang w:val="en-GB"/>
        </w:rPr>
        <w:t>References</w:t>
      </w:r>
    </w:p>
    <w:p w:rsidR="0027072F" w:rsidRPr="004E1EDE" w:rsidRDefault="0027072F" w:rsidP="0027072F">
      <w:pPr>
        <w:pStyle w:val="EndNoteBibliography"/>
        <w:spacing w:after="0" w:line="480" w:lineRule="auto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</w:t>
      </w:r>
      <w:r w:rsidRPr="004E1EDE">
        <w:rPr>
          <w:rFonts w:ascii="Times New Roman" w:hAnsi="Times New Roman" w:cs="Times New Roman"/>
          <w:szCs w:val="22"/>
        </w:rPr>
        <w:t>.</w:t>
      </w:r>
      <w:r w:rsidRPr="004E1EDE">
        <w:rPr>
          <w:rFonts w:ascii="Times New Roman" w:hAnsi="Times New Roman" w:cs="Times New Roman"/>
          <w:szCs w:val="22"/>
        </w:rPr>
        <w:tab/>
        <w:t>Dysinger M, Marusov G, Fraser S. Quantitative analysis of four protein biomarkers: An automated microfluidic cartridge-based method and its comparison to colorimetric ELISA. J Immunol Methods 2017;451:1-10.</w:t>
      </w:r>
    </w:p>
    <w:p w:rsidR="0027072F" w:rsidRPr="004E1EDE" w:rsidRDefault="0027072F" w:rsidP="0027072F">
      <w:pPr>
        <w:pStyle w:val="EndNoteBibliography"/>
        <w:spacing w:line="480" w:lineRule="auto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2</w:t>
      </w:r>
      <w:r w:rsidRPr="004E1EDE">
        <w:rPr>
          <w:rFonts w:ascii="Times New Roman" w:hAnsi="Times New Roman" w:cs="Times New Roman"/>
          <w:szCs w:val="22"/>
        </w:rPr>
        <w:t>.</w:t>
      </w:r>
      <w:r w:rsidRPr="004E1EDE">
        <w:rPr>
          <w:rFonts w:ascii="Times New Roman" w:hAnsi="Times New Roman" w:cs="Times New Roman"/>
          <w:szCs w:val="22"/>
        </w:rPr>
        <w:tab/>
        <w:t>Aldo P, Marusov G, Svancara D, David J, Mor G. Simple Plex() : A Novel Multi-Analyte, Automated Microfluidic Immunoassay Platform for the Detection of Human and Mouse Cytokines and Chemokines. Am J Reprod Immunol 2016;75:678-93.</w:t>
      </w:r>
    </w:p>
    <w:p w:rsidR="00AB7C1F" w:rsidRDefault="00AB7C1F"/>
    <w:sectPr w:rsidR="00AB7C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altName w:val="Microsoft Sans Serif"/>
    <w:panose1 w:val="020B0304020202020204"/>
    <w:charset w:val="DE"/>
    <w:family w:val="roman"/>
    <w:pitch w:val="variable"/>
    <w:sig w:usb0="01000000" w:usb1="00000000" w:usb2="00000000" w:usb3="00000000" w:csb0="0001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72F"/>
    <w:rsid w:val="0027072F"/>
    <w:rsid w:val="009A32BD"/>
    <w:rsid w:val="00AB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650B6"/>
  <w15:chartTrackingRefBased/>
  <w15:docId w15:val="{68C7A26F-9761-485E-A787-2C59E2643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072F"/>
    <w:pPr>
      <w:spacing w:after="200" w:line="276" w:lineRule="auto"/>
    </w:pPr>
    <w:rPr>
      <w:rFonts w:ascii="Calibri" w:eastAsia="SimSun" w:hAnsi="Calibri" w:cs="Cordia New"/>
      <w:szCs w:val="28"/>
      <w:lang w:val="en-US" w:eastAsia="zh-CN" w:bidi="th-TH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ar"/>
    <w:rsid w:val="0027072F"/>
    <w:pPr>
      <w:spacing w:line="240" w:lineRule="auto"/>
    </w:pPr>
    <w:rPr>
      <w:noProof/>
    </w:rPr>
  </w:style>
  <w:style w:type="character" w:customStyle="1" w:styleId="EndNoteBibliographyCar">
    <w:name w:val="EndNote Bibliography Car"/>
    <w:link w:val="EndNoteBibliography"/>
    <w:rsid w:val="0027072F"/>
    <w:rPr>
      <w:rFonts w:ascii="Calibri" w:eastAsia="SimSun" w:hAnsi="Calibri" w:cs="Cordia New"/>
      <w:noProof/>
      <w:szCs w:val="28"/>
      <w:lang w:val="en-US"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916</Words>
  <Characters>5041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5946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TISSIERES Pierre</dc:creator>
  <cp:keywords/>
  <dc:description/>
  <cp:lastModifiedBy>TISSIERES Pierre</cp:lastModifiedBy>
  <cp:revision>2</cp:revision>
  <dcterms:created xsi:type="dcterms:W3CDTF">2020-12-15T17:41:00Z</dcterms:created>
  <dcterms:modified xsi:type="dcterms:W3CDTF">2021-05-16T14:29:00Z</dcterms:modified>
</cp:coreProperties>
</file>