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80FBD" w14:textId="0BD95776" w:rsidR="00B07D46" w:rsidRDefault="00B07D46" w:rsidP="00695E50">
      <w:pPr>
        <w:pStyle w:val="Rubrik1"/>
        <w:rPr>
          <w:lang w:val="en-GB"/>
        </w:rPr>
      </w:pPr>
      <w:r>
        <w:rPr>
          <w:lang w:val="en-GB"/>
        </w:rPr>
        <w:t>Supplementary Information</w:t>
      </w:r>
    </w:p>
    <w:p w14:paraId="38C58057" w14:textId="77777777" w:rsidR="00B07D46" w:rsidRPr="00B07D46" w:rsidRDefault="00B07D46" w:rsidP="00B07D46">
      <w:pPr>
        <w:pStyle w:val="author"/>
        <w:rPr>
          <w:lang w:val="en-GB"/>
        </w:rPr>
      </w:pPr>
    </w:p>
    <w:p w14:paraId="0F229A17" w14:textId="347B9A8D" w:rsidR="0038124E" w:rsidRDefault="00825A87" w:rsidP="00695E50">
      <w:pPr>
        <w:pStyle w:val="Rubrik1"/>
        <w:rPr>
          <w:lang w:val="en-GB"/>
        </w:rPr>
      </w:pPr>
      <w:r w:rsidRPr="00150A31">
        <w:rPr>
          <w:lang w:val="en-GB"/>
        </w:rPr>
        <w:t>Interpreting S</w:t>
      </w:r>
      <w:r w:rsidR="00D947F9">
        <w:rPr>
          <w:lang w:val="en-GB"/>
        </w:rPr>
        <w:t>AXS</w:t>
      </w:r>
      <w:r w:rsidRPr="00150A31">
        <w:rPr>
          <w:lang w:val="en-GB"/>
        </w:rPr>
        <w:t xml:space="preserve"> data recorded on cellulose rich pulps</w:t>
      </w:r>
    </w:p>
    <w:p w14:paraId="780BE857" w14:textId="77777777" w:rsidR="00825A87" w:rsidRPr="00150A31" w:rsidRDefault="00825A87" w:rsidP="0048542D">
      <w:pPr>
        <w:pStyle w:val="author"/>
        <w:rPr>
          <w:vertAlign w:val="superscript"/>
          <w:lang w:val="en-GB"/>
        </w:rPr>
      </w:pPr>
      <w:r w:rsidRPr="00150A31">
        <w:rPr>
          <w:lang w:val="en-GB"/>
        </w:rPr>
        <w:t>Per Tomas Larsson</w:t>
      </w:r>
      <w:r w:rsidRPr="00150A31">
        <w:rPr>
          <w:vertAlign w:val="superscript"/>
          <w:lang w:val="en-GB"/>
        </w:rPr>
        <w:t>a,b,*</w:t>
      </w:r>
      <w:r w:rsidRPr="00150A31">
        <w:rPr>
          <w:lang w:val="en-GB"/>
        </w:rPr>
        <w:t xml:space="preserve">, </w:t>
      </w:r>
      <w:r w:rsidRPr="0048542D">
        <w:t>Jasna Stevanic-Srndovic</w:t>
      </w:r>
      <w:r w:rsidRPr="0048542D">
        <w:rPr>
          <w:vertAlign w:val="superscript"/>
        </w:rPr>
        <w:t>a</w:t>
      </w:r>
      <w:r w:rsidRPr="00150A31">
        <w:rPr>
          <w:lang w:val="en-GB"/>
        </w:rPr>
        <w:t>, Stephan V. Roth</w:t>
      </w:r>
      <w:r w:rsidRPr="00150A31">
        <w:rPr>
          <w:vertAlign w:val="superscript"/>
          <w:lang w:val="en-GB"/>
        </w:rPr>
        <w:t>c,d</w:t>
      </w:r>
      <w:r w:rsidRPr="00150A31">
        <w:rPr>
          <w:lang w:val="en-GB"/>
        </w:rPr>
        <w:t>, Daniel Söderberg</w:t>
      </w:r>
      <w:r w:rsidRPr="00150A31">
        <w:rPr>
          <w:vertAlign w:val="superscript"/>
          <w:lang w:val="en-GB"/>
        </w:rPr>
        <w:t>d</w:t>
      </w:r>
    </w:p>
    <w:p w14:paraId="4F75376E" w14:textId="77777777" w:rsidR="00825A87" w:rsidRPr="00150A31" w:rsidRDefault="00825A87" w:rsidP="00695E50">
      <w:pPr>
        <w:pStyle w:val="affiliation"/>
        <w:rPr>
          <w:lang w:val="en-GB"/>
        </w:rPr>
      </w:pPr>
      <w:r w:rsidRPr="00150A31">
        <w:rPr>
          <w:lang w:val="en-GB"/>
        </w:rPr>
        <w:t>(a) RISE Bioeconomy, Drottning Kristinas Väg 61, SE-114 86 Stockholm, Sweden</w:t>
      </w:r>
    </w:p>
    <w:p w14:paraId="5EDC6135" w14:textId="77777777" w:rsidR="00825A87" w:rsidRPr="00150A31" w:rsidRDefault="00825A87" w:rsidP="00695E50">
      <w:pPr>
        <w:pStyle w:val="affiliation"/>
        <w:rPr>
          <w:lang w:val="en-GB"/>
        </w:rPr>
      </w:pPr>
      <w:r w:rsidRPr="00150A31">
        <w:rPr>
          <w:lang w:val="en-GB"/>
        </w:rPr>
        <w:t>(b) Wallenberg Wood Science Center, KTH Royal Institute of Technology, Stockholm, SE-100 44, Sweden</w:t>
      </w:r>
    </w:p>
    <w:p w14:paraId="478A1DD2" w14:textId="77777777" w:rsidR="00825A87" w:rsidRPr="00150A31" w:rsidRDefault="00825A87" w:rsidP="00695E50">
      <w:pPr>
        <w:pStyle w:val="affiliation"/>
        <w:rPr>
          <w:lang w:val="en-GB"/>
        </w:rPr>
      </w:pPr>
      <w:r w:rsidRPr="00150A31">
        <w:rPr>
          <w:lang w:val="en-GB"/>
        </w:rPr>
        <w:t>(c) DESY, Notkestrasse 85, Hamburg, D-22607, Germany</w:t>
      </w:r>
    </w:p>
    <w:p w14:paraId="18A6ECE4" w14:textId="77777777" w:rsidR="00825A87" w:rsidRPr="00150A31" w:rsidRDefault="00825A87" w:rsidP="00695E50">
      <w:pPr>
        <w:pStyle w:val="affiliation"/>
        <w:rPr>
          <w:lang w:val="en-GB"/>
        </w:rPr>
      </w:pPr>
      <w:r w:rsidRPr="00150A31">
        <w:rPr>
          <w:lang w:val="en-GB"/>
        </w:rPr>
        <w:t>(d) KTH Royal Institute of Technology, Stockholm, SE-100 44, Sweden</w:t>
      </w:r>
    </w:p>
    <w:p w14:paraId="56DA9402" w14:textId="77777777" w:rsidR="00825A87" w:rsidRPr="00150A31" w:rsidRDefault="00825A87" w:rsidP="00695E50">
      <w:pPr>
        <w:pStyle w:val="affiliation"/>
        <w:rPr>
          <w:lang w:val="en-GB"/>
        </w:rPr>
      </w:pPr>
      <w:r w:rsidRPr="00150A31">
        <w:rPr>
          <w:lang w:val="en-GB"/>
        </w:rPr>
        <w:t>(*) Corresponding author, tomas.larsson@ri.se</w:t>
      </w:r>
    </w:p>
    <w:p w14:paraId="161F1BD4" w14:textId="77777777" w:rsidR="00B07D46" w:rsidRDefault="00B07D46" w:rsidP="00B07D46">
      <w:pPr>
        <w:pStyle w:val="run-in"/>
        <w:rPr>
          <w:lang w:val="en-GB"/>
        </w:rPr>
      </w:pPr>
    </w:p>
    <w:p w14:paraId="4436EC83" w14:textId="017239C6" w:rsidR="00B07D46" w:rsidRDefault="00B07D46" w:rsidP="00B07D46">
      <w:pPr>
        <w:pStyle w:val="run-in"/>
        <w:rPr>
          <w:lang w:val="en-GB"/>
        </w:rPr>
      </w:pPr>
      <w:r>
        <w:rPr>
          <w:lang w:val="en-GB"/>
        </w:rPr>
        <w:t>Supplementary Information</w:t>
      </w:r>
    </w:p>
    <w:p w14:paraId="45C010D5" w14:textId="20B89359" w:rsidR="00B07D46" w:rsidRDefault="00B07D46" w:rsidP="00B07D46">
      <w:pPr>
        <w:rPr>
          <w:lang w:val="en-GB"/>
        </w:rPr>
      </w:pPr>
      <w:r w:rsidRPr="00150A31">
        <w:rPr>
          <w:lang w:val="en-GB"/>
        </w:rPr>
        <w:t>The modelling of SAXS data was based on a conceptual representation of the distribution of cellulose fibrils and fibril aggregates in the fibre wall, which is illustrated in Figure S1. The model is conceptual in the sense that it was only used as a route to design the algorithm used for generating electron density paths.</w:t>
      </w:r>
    </w:p>
    <w:p w14:paraId="39A62B56" w14:textId="3C8E7D5D" w:rsidR="00B07D46" w:rsidRDefault="00B07D46" w:rsidP="00B07D46">
      <w:pPr>
        <w:rPr>
          <w:lang w:val="en-GB"/>
        </w:rPr>
      </w:pPr>
      <w:r w:rsidRPr="00150A31">
        <w:rPr>
          <w:noProof/>
          <w:lang w:val="en-GB"/>
        </w:rPr>
        <w:lastRenderedPageBreak/>
        <w:drawing>
          <wp:inline distT="0" distB="0" distL="0" distR="0" wp14:anchorId="4C9B953D" wp14:editId="07B91CB8">
            <wp:extent cx="4674413" cy="4013077"/>
            <wp:effectExtent l="0" t="0" r="0" b="6985"/>
            <wp:docPr id="41" name="Bildobjekt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09796" cy="4043454"/>
                    </a:xfrm>
                    <a:prstGeom prst="rect">
                      <a:avLst/>
                    </a:prstGeom>
                  </pic:spPr>
                </pic:pic>
              </a:graphicData>
            </a:graphic>
          </wp:inline>
        </w:drawing>
      </w:r>
    </w:p>
    <w:p w14:paraId="416C1D0C" w14:textId="0F1706F2" w:rsidR="00B07D46" w:rsidRDefault="00B07D46" w:rsidP="00B07D46">
      <w:pPr>
        <w:pStyle w:val="figlegend"/>
        <w:rPr>
          <w:lang w:val="en-GB"/>
        </w:rPr>
      </w:pPr>
      <w:r w:rsidRPr="00150A31">
        <w:rPr>
          <w:lang w:val="en-GB"/>
        </w:rPr>
        <w:t>Figure S1. A conceptual image describing how an electron density path (EDP) can be visualized in a two-component sample, here the solid material is cellulose. The EDPs shown at the bottom illustrates two examples of electron density paths encountered when following path A or path B through the sample. The grey cuboids can represent the solids assigned a higher electron density value, and the interstitial spaces between the grey cuboids (vacuum or water) are assigned a lower electron density value. Depending on the size-range (q-range) of modelled data the grey cuboid can represent cellulose fibrils (widths about 3 nanometres to 5 nanometres) or cellulose fibril aggregates (widths in the range of ten to several tenths of nanometres)</w:t>
      </w:r>
      <w:r>
        <w:rPr>
          <w:lang w:val="en-GB"/>
        </w:rPr>
        <w:t>.</w:t>
      </w:r>
    </w:p>
    <w:p w14:paraId="4BB9E2C8" w14:textId="353E01ED" w:rsidR="00B07D46" w:rsidRDefault="00B07D46" w:rsidP="00B07D46">
      <w:pPr>
        <w:rPr>
          <w:lang w:val="en-GB"/>
        </w:rPr>
      </w:pPr>
    </w:p>
    <w:p w14:paraId="4D8CF464" w14:textId="17E2E5E4" w:rsidR="00B07D46" w:rsidRPr="00150A31" w:rsidRDefault="00B07D46" w:rsidP="00B07D46">
      <w:pPr>
        <w:rPr>
          <w:lang w:val="en-GB"/>
        </w:rPr>
      </w:pPr>
      <w:r w:rsidRPr="00150A31">
        <w:rPr>
          <w:lang w:val="en-GB"/>
        </w:rPr>
        <w:t xml:space="preserve">The modelling of experimental SAXS data, </w:t>
      </w:r>
      <m:oMath>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EXP</m:t>
            </m:r>
          </m:sub>
        </m:sSub>
      </m:oMath>
      <w:r w:rsidRPr="00150A31">
        <w:rPr>
          <w:rFonts w:eastAsiaTheme="minorEastAsia"/>
          <w:lang w:val="en-GB"/>
        </w:rPr>
        <w:t>,</w:t>
      </w:r>
      <w:r w:rsidRPr="00150A31">
        <w:rPr>
          <w:lang w:val="en-GB"/>
        </w:rPr>
        <w:t xml:space="preserve"> was performed by superposition of simulated SAXS intensity profiles </w:t>
      </w:r>
      <m:oMath>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k</m:t>
            </m:r>
          </m:sub>
        </m:sSub>
      </m:oMath>
      <w:r w:rsidRPr="00150A31">
        <w:rPr>
          <w:rFonts w:eastAsiaTheme="minorEastAsia"/>
          <w:lang w:val="en-GB"/>
        </w:rPr>
        <w:t xml:space="preserve"> </w:t>
      </w:r>
      <w:r w:rsidRPr="00150A31">
        <w:rPr>
          <w:lang w:val="en-GB"/>
        </w:rPr>
        <w:t xml:space="preserve">weighted by </w:t>
      </w:r>
      <m:oMath>
        <m:sSub>
          <m:sSubPr>
            <m:ctrlPr>
              <w:rPr>
                <w:rFonts w:ascii="Cambria Math" w:hAnsi="Cambria Math"/>
                <w:i/>
                <w:lang w:val="en-GB"/>
              </w:rPr>
            </m:ctrlPr>
          </m:sSubPr>
          <m:e>
            <m:r>
              <w:rPr>
                <w:rFonts w:ascii="Cambria Math" w:hAnsi="Cambria Math"/>
                <w:lang w:val="en-GB"/>
              </w:rPr>
              <m:t>w</m:t>
            </m:r>
          </m:e>
          <m:sub>
            <m:r>
              <w:rPr>
                <w:rFonts w:ascii="Cambria Math" w:hAnsi="Cambria Math"/>
                <w:lang w:val="en-GB"/>
              </w:rPr>
              <m:t>k</m:t>
            </m:r>
          </m:sub>
        </m:sSub>
      </m:oMath>
      <w:r w:rsidRPr="00150A31">
        <w:rPr>
          <w:lang w:val="en-GB"/>
        </w:rPr>
        <w:t xml:space="preserve">, with the addition of a modelling parameter describing </w:t>
      </w:r>
      <w:r w:rsidR="0048542D">
        <w:rPr>
          <w:lang w:val="en-GB"/>
        </w:rPr>
        <w:t>the</w:t>
      </w:r>
      <w:r w:rsidRPr="00150A31">
        <w:rPr>
          <w:lang w:val="en-GB"/>
        </w:rPr>
        <w:t xml:space="preserve"> background intensity </w:t>
      </w:r>
      <m:oMath>
        <m:r>
          <w:rPr>
            <w:rFonts w:ascii="Cambria Math" w:hAnsi="Cambria Math"/>
            <w:lang w:val="en-GB"/>
          </w:rPr>
          <m:t>b</m:t>
        </m:r>
      </m:oMath>
      <w:r w:rsidRPr="00150A31">
        <w:rPr>
          <w:lang w:val="en-GB"/>
        </w:rPr>
        <w:t>:</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1"/>
        <w:gridCol w:w="3886"/>
      </w:tblGrid>
      <w:tr w:rsidR="00B07D46" w:rsidRPr="00150A31" w14:paraId="4C74E3E1" w14:textId="77777777" w:rsidTr="00FC21FA">
        <w:trPr>
          <w:trHeight w:val="670"/>
        </w:trPr>
        <w:tc>
          <w:tcPr>
            <w:tcW w:w="4508" w:type="dxa"/>
            <w:vAlign w:val="center"/>
          </w:tcPr>
          <w:p w14:paraId="338871C7" w14:textId="77777777" w:rsidR="00B07D46" w:rsidRPr="00150A31" w:rsidRDefault="00C47680" w:rsidP="00B07D46">
            <w:pPr>
              <w:pStyle w:val="equation"/>
              <w:rPr>
                <w:lang w:val="en-GB"/>
              </w:rPr>
            </w:pPr>
            <m:oMathPara>
              <m:oMathParaPr>
                <m:jc m:val="left"/>
              </m:oMathParaPr>
              <m:oMath>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EXP</m:t>
                    </m:r>
                  </m:sub>
                </m:sSub>
                <m:d>
                  <m:dPr>
                    <m:ctrlPr>
                      <w:rPr>
                        <w:rFonts w:ascii="Cambria Math" w:hAnsi="Cambria Math"/>
                        <w:lang w:val="en-GB"/>
                      </w:rPr>
                    </m:ctrlPr>
                  </m:dPr>
                  <m:e>
                    <m:r>
                      <w:rPr>
                        <w:rFonts w:ascii="Cambria Math" w:hAnsi="Cambria Math"/>
                        <w:lang w:val="en-GB"/>
                      </w:rPr>
                      <m:t>q</m:t>
                    </m:r>
                  </m:e>
                </m:d>
                <m:r>
                  <m:rPr>
                    <m:sty m:val="p"/>
                  </m:rPr>
                  <w:rPr>
                    <w:rFonts w:ascii="Cambria Math" w:hAnsi="Cambria Math"/>
                    <w:lang w:val="en-GB"/>
                  </w:rPr>
                  <m:t>≈</m:t>
                </m:r>
                <m:nary>
                  <m:naryPr>
                    <m:chr m:val="∑"/>
                    <m:limLoc m:val="undOvr"/>
                    <m:supHide m:val="1"/>
                    <m:ctrlPr>
                      <w:rPr>
                        <w:rFonts w:ascii="Cambria Math" w:hAnsi="Cambria Math"/>
                        <w:lang w:val="en-GB"/>
                      </w:rPr>
                    </m:ctrlPr>
                  </m:naryPr>
                  <m:sub>
                    <m:r>
                      <w:rPr>
                        <w:rFonts w:ascii="Cambria Math" w:hAnsi="Cambria Math"/>
                        <w:lang w:val="en-GB"/>
                      </w:rPr>
                      <m:t>k</m:t>
                    </m:r>
                  </m:sub>
                  <m:sup/>
                  <m:e>
                    <m:sSub>
                      <m:sSubPr>
                        <m:ctrlPr>
                          <w:rPr>
                            <w:rFonts w:ascii="Cambria Math" w:hAnsi="Cambria Math"/>
                            <w:lang w:val="en-GB"/>
                          </w:rPr>
                        </m:ctrlPr>
                      </m:sSubPr>
                      <m:e>
                        <m:r>
                          <w:rPr>
                            <w:rFonts w:ascii="Cambria Math" w:hAnsi="Cambria Math"/>
                            <w:lang w:val="en-GB"/>
                          </w:rPr>
                          <m:t>w</m:t>
                        </m:r>
                      </m:e>
                      <m:sub>
                        <m:r>
                          <w:rPr>
                            <w:rFonts w:ascii="Cambria Math" w:hAnsi="Cambria Math"/>
                            <w:lang w:val="en-GB"/>
                          </w:rPr>
                          <m:t>k</m:t>
                        </m:r>
                      </m:sub>
                    </m:sSub>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k</m:t>
                        </m:r>
                      </m:sub>
                    </m:sSub>
                    <m:d>
                      <m:dPr>
                        <m:ctrlPr>
                          <w:rPr>
                            <w:rFonts w:ascii="Cambria Math" w:hAnsi="Cambria Math"/>
                            <w:lang w:val="en-GB"/>
                          </w:rPr>
                        </m:ctrlPr>
                      </m:dPr>
                      <m:e>
                        <m:r>
                          <w:rPr>
                            <w:rFonts w:ascii="Cambria Math" w:hAnsi="Cambria Math"/>
                            <w:lang w:val="en-GB"/>
                          </w:rPr>
                          <m:t>q</m:t>
                        </m:r>
                      </m:e>
                    </m:d>
                    <m:r>
                      <m:rPr>
                        <m:sty m:val="p"/>
                      </m:rPr>
                      <w:rPr>
                        <w:rFonts w:ascii="Cambria Math" w:hAnsi="Cambria Math"/>
                        <w:lang w:val="en-GB"/>
                      </w:rPr>
                      <m:t>+</m:t>
                    </m:r>
                    <m:r>
                      <w:rPr>
                        <w:rFonts w:ascii="Cambria Math" w:hAnsi="Cambria Math"/>
                        <w:lang w:val="en-GB"/>
                      </w:rPr>
                      <m:t>b</m:t>
                    </m:r>
                  </m:e>
                </m:nary>
              </m:oMath>
            </m:oMathPara>
          </w:p>
        </w:tc>
        <w:tc>
          <w:tcPr>
            <w:tcW w:w="4508" w:type="dxa"/>
            <w:vAlign w:val="center"/>
          </w:tcPr>
          <w:p w14:paraId="1481A3C8" w14:textId="77777777" w:rsidR="00B07D46" w:rsidRPr="00150A31" w:rsidRDefault="00B07D46" w:rsidP="00614ECC">
            <w:pPr>
              <w:pStyle w:val="equation"/>
              <w:jc w:val="right"/>
              <w:rPr>
                <w:lang w:val="en-GB"/>
              </w:rPr>
            </w:pPr>
            <w:r w:rsidRPr="00150A31">
              <w:rPr>
                <w:lang w:val="en-GB"/>
              </w:rPr>
              <w:t>[S1]</w:t>
            </w:r>
          </w:p>
        </w:tc>
      </w:tr>
    </w:tbl>
    <w:p w14:paraId="290F3839" w14:textId="08552871" w:rsidR="00B07D46" w:rsidRDefault="00B07D46" w:rsidP="00B07D46">
      <w:pPr>
        <w:rPr>
          <w:lang w:val="en-GB"/>
        </w:rPr>
      </w:pPr>
      <w:r w:rsidRPr="00150A31">
        <w:rPr>
          <w:lang w:val="en-GB"/>
        </w:rPr>
        <w:t>For the case of statistically isotropic samples without long-range order, the elastic scattering intensity can be expressed in one-dimensional form (Porod 1982):</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5"/>
        <w:gridCol w:w="3762"/>
      </w:tblGrid>
      <w:tr w:rsidR="00CB6576" w:rsidRPr="00150A31" w14:paraId="10E6E4EF" w14:textId="77777777" w:rsidTr="00CB6576">
        <w:trPr>
          <w:trHeight w:val="698"/>
        </w:trPr>
        <w:tc>
          <w:tcPr>
            <w:tcW w:w="4175" w:type="dxa"/>
            <w:vAlign w:val="center"/>
          </w:tcPr>
          <w:p w14:paraId="176EA624" w14:textId="77777777" w:rsidR="00CB6576" w:rsidRPr="00150A31" w:rsidRDefault="00CB6576" w:rsidP="00CB6576">
            <w:pPr>
              <w:pStyle w:val="equation"/>
              <w:rPr>
                <w:szCs w:val="24"/>
                <w:lang w:val="en-GB"/>
              </w:rPr>
            </w:pPr>
            <m:oMathPara>
              <m:oMathParaPr>
                <m:jc m:val="left"/>
              </m:oMathParaPr>
              <m:oMath>
                <m:r>
                  <w:rPr>
                    <w:rFonts w:ascii="Cambria Math" w:hAnsi="Cambria Math"/>
                    <w:lang w:val="en-GB"/>
                  </w:rPr>
                  <m:t>I</m:t>
                </m:r>
                <m:d>
                  <m:dPr>
                    <m:ctrlPr>
                      <w:rPr>
                        <w:rFonts w:ascii="Cambria Math" w:hAnsi="Cambria Math"/>
                        <w:lang w:val="en-GB"/>
                      </w:rPr>
                    </m:ctrlPr>
                  </m:dPr>
                  <m:e>
                    <m:r>
                      <w:rPr>
                        <w:rFonts w:ascii="Cambria Math" w:hAnsi="Cambria Math"/>
                        <w:lang w:val="en-GB"/>
                      </w:rPr>
                      <m:t>q</m:t>
                    </m:r>
                  </m:e>
                </m:d>
                <m:r>
                  <m:rPr>
                    <m:sty m:val="p"/>
                  </m:rPr>
                  <w:rPr>
                    <w:rFonts w:ascii="Cambria Math" w:hAnsi="Cambria Math"/>
                    <w:lang w:val="en-GB"/>
                  </w:rPr>
                  <m:t>=</m:t>
                </m:r>
                <m:nary>
                  <m:naryPr>
                    <m:limLoc m:val="subSup"/>
                    <m:ctrlPr>
                      <w:rPr>
                        <w:rFonts w:ascii="Cambria Math" w:hAnsi="Cambria Math"/>
                        <w:lang w:val="en-GB"/>
                      </w:rPr>
                    </m:ctrlPr>
                  </m:naryPr>
                  <m:sub>
                    <m:r>
                      <m:rPr>
                        <m:sty m:val="p"/>
                      </m:rPr>
                      <w:rPr>
                        <w:rFonts w:ascii="Cambria Math" w:hAnsi="Cambria Math"/>
                        <w:lang w:val="en-GB"/>
                      </w:rPr>
                      <m:t>0</m:t>
                    </m:r>
                  </m:sub>
                  <m:sup>
                    <m:r>
                      <m:rPr>
                        <m:sty m:val="p"/>
                      </m:rPr>
                      <w:rPr>
                        <w:rFonts w:ascii="Cambria Math" w:hAnsi="Cambria Math"/>
                        <w:lang w:val="en-GB"/>
                      </w:rPr>
                      <m:t>∞</m:t>
                    </m:r>
                  </m:sup>
                  <m:e>
                    <m:sSup>
                      <m:sSupPr>
                        <m:ctrlPr>
                          <w:rPr>
                            <w:rFonts w:ascii="Cambria Math" w:hAnsi="Cambria Math"/>
                            <w:lang w:val="en-GB"/>
                          </w:rPr>
                        </m:ctrlPr>
                      </m:sSupPr>
                      <m:e>
                        <m:r>
                          <w:rPr>
                            <w:rFonts w:ascii="Cambria Math" w:hAnsi="Cambria Math"/>
                            <w:lang w:val="en-GB"/>
                          </w:rPr>
                          <m:t>x</m:t>
                        </m:r>
                      </m:e>
                      <m:sup>
                        <m:r>
                          <m:rPr>
                            <m:sty m:val="p"/>
                          </m:rPr>
                          <w:rPr>
                            <w:rFonts w:ascii="Cambria Math" w:hAnsi="Cambria Math"/>
                            <w:lang w:val="en-GB"/>
                          </w:rPr>
                          <m:t>2</m:t>
                        </m:r>
                      </m:sup>
                    </m:sSup>
                    <m:r>
                      <w:rPr>
                        <w:rFonts w:ascii="Cambria Math" w:hAnsi="Cambria Math"/>
                        <w:lang w:val="en-GB"/>
                      </w:rPr>
                      <m:t>g</m:t>
                    </m:r>
                    <m:r>
                      <m:rPr>
                        <m:sty m:val="p"/>
                      </m:rPr>
                      <w:rPr>
                        <w:rFonts w:ascii="Cambria Math" w:hAnsi="Cambria Math"/>
                        <w:lang w:val="en-GB"/>
                      </w:rPr>
                      <m:t>(</m:t>
                    </m:r>
                    <m:r>
                      <w:rPr>
                        <w:rFonts w:ascii="Cambria Math" w:hAnsi="Cambria Math"/>
                        <w:lang w:val="en-GB"/>
                      </w:rPr>
                      <m:t>x</m:t>
                    </m:r>
                    <m:r>
                      <m:rPr>
                        <m:sty m:val="p"/>
                      </m:rPr>
                      <w:rPr>
                        <w:rFonts w:ascii="Cambria Math" w:hAnsi="Cambria Math"/>
                        <w:lang w:val="en-GB"/>
                      </w:rPr>
                      <m:t>)</m:t>
                    </m:r>
                    <m:f>
                      <m:fPr>
                        <m:ctrlPr>
                          <w:rPr>
                            <w:rFonts w:ascii="Cambria Math" w:hAnsi="Cambria Math"/>
                            <w:lang w:val="en-GB"/>
                          </w:rPr>
                        </m:ctrlPr>
                      </m:fPr>
                      <m:num>
                        <m:r>
                          <m:rPr>
                            <m:sty m:val="p"/>
                          </m:rPr>
                          <w:rPr>
                            <w:rFonts w:ascii="Cambria Math" w:hAnsi="Cambria Math"/>
                            <w:lang w:val="en-GB"/>
                          </w:rPr>
                          <m:t>sin⁡(</m:t>
                        </m:r>
                        <m:r>
                          <w:rPr>
                            <w:rFonts w:ascii="Cambria Math" w:hAnsi="Cambria Math"/>
                            <w:lang w:val="en-GB"/>
                          </w:rPr>
                          <m:t>qx</m:t>
                        </m:r>
                        <m:r>
                          <m:rPr>
                            <m:sty m:val="p"/>
                          </m:rPr>
                          <w:rPr>
                            <w:rFonts w:ascii="Cambria Math" w:hAnsi="Cambria Math"/>
                            <w:lang w:val="en-GB"/>
                          </w:rPr>
                          <m:t>)</m:t>
                        </m:r>
                      </m:num>
                      <m:den>
                        <m:r>
                          <w:rPr>
                            <w:rFonts w:ascii="Cambria Math" w:hAnsi="Cambria Math"/>
                            <w:lang w:val="en-GB"/>
                          </w:rPr>
                          <m:t>qx</m:t>
                        </m:r>
                      </m:den>
                    </m:f>
                    <m:r>
                      <w:rPr>
                        <w:rFonts w:ascii="Cambria Math" w:hAnsi="Cambria Math"/>
                        <w:lang w:val="en-GB"/>
                      </w:rPr>
                      <m:t>dx</m:t>
                    </m:r>
                  </m:e>
                </m:nary>
              </m:oMath>
            </m:oMathPara>
          </w:p>
        </w:tc>
        <w:tc>
          <w:tcPr>
            <w:tcW w:w="3762" w:type="dxa"/>
            <w:vAlign w:val="center"/>
          </w:tcPr>
          <w:p w14:paraId="0AE867E8" w14:textId="77777777" w:rsidR="00CB6576" w:rsidRPr="00150A31" w:rsidRDefault="00CB6576" w:rsidP="00614ECC">
            <w:pPr>
              <w:pStyle w:val="equation"/>
              <w:jc w:val="right"/>
              <w:rPr>
                <w:szCs w:val="24"/>
                <w:lang w:val="en-GB"/>
              </w:rPr>
            </w:pPr>
            <w:r w:rsidRPr="00150A31">
              <w:rPr>
                <w:szCs w:val="24"/>
                <w:lang w:val="en-GB"/>
              </w:rPr>
              <w:t>[S2]</w:t>
            </w:r>
          </w:p>
        </w:tc>
      </w:tr>
    </w:tbl>
    <w:p w14:paraId="14FD2762" w14:textId="77777777" w:rsidR="00CB6576" w:rsidRPr="00150A31" w:rsidRDefault="00CB6576" w:rsidP="00CB6576">
      <w:pPr>
        <w:rPr>
          <w:lang w:val="en-GB"/>
        </w:rPr>
      </w:pPr>
      <w:r w:rsidRPr="00150A31">
        <w:rPr>
          <w:lang w:val="en-GB"/>
        </w:rPr>
        <w:lastRenderedPageBreak/>
        <w:t xml:space="preserve">For calculation of the scattering intensity, the spatial correlation function (SCF) </w:t>
      </w:r>
      <w:r w:rsidRPr="00150A31">
        <w:rPr>
          <w:i/>
          <w:iCs/>
          <w:lang w:val="en-GB"/>
        </w:rPr>
        <w:t>g(x)</w:t>
      </w:r>
      <w:r w:rsidRPr="00150A31">
        <w:rPr>
          <w:lang w:val="en-GB"/>
        </w:rPr>
        <w:t xml:space="preserve"> was defined to decay to zero at long distances:</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7"/>
        <w:gridCol w:w="2120"/>
      </w:tblGrid>
      <w:tr w:rsidR="00CB6576" w:rsidRPr="00150A31" w14:paraId="20692913" w14:textId="77777777" w:rsidTr="00CB6576">
        <w:trPr>
          <w:trHeight w:val="335"/>
        </w:trPr>
        <w:tc>
          <w:tcPr>
            <w:tcW w:w="5807" w:type="dxa"/>
          </w:tcPr>
          <w:p w14:paraId="4EDC86E2" w14:textId="77777777" w:rsidR="00CB6576" w:rsidRPr="00150A31" w:rsidRDefault="00CB6576" w:rsidP="00614ECC">
            <w:pPr>
              <w:pStyle w:val="equation"/>
              <w:rPr>
                <w:lang w:val="en-GB"/>
              </w:rPr>
            </w:pPr>
            <m:oMathPara>
              <m:oMathParaPr>
                <m:jc m:val="left"/>
              </m:oMathParaPr>
              <m:oMath>
                <m:r>
                  <w:rPr>
                    <w:rFonts w:ascii="Cambria Math" w:hAnsi="Cambria Math"/>
                    <w:lang w:val="en-GB"/>
                  </w:rPr>
                  <m:t>g</m:t>
                </m:r>
                <m:d>
                  <m:dPr>
                    <m:ctrlPr>
                      <w:rPr>
                        <w:rFonts w:ascii="Cambria Math" w:hAnsi="Cambria Math"/>
                        <w:lang w:val="en-GB"/>
                      </w:rPr>
                    </m:ctrlPr>
                  </m:dPr>
                  <m:e>
                    <m:r>
                      <w:rPr>
                        <w:rFonts w:ascii="Cambria Math" w:hAnsi="Cambria Math"/>
                        <w:lang w:val="en-GB"/>
                      </w:rPr>
                      <m:t>x</m:t>
                    </m:r>
                  </m:e>
                </m:d>
                <m:r>
                  <m:rPr>
                    <m:sty m:val="p"/>
                  </m:rPr>
                  <w:rPr>
                    <w:rFonts w:ascii="Cambria Math" w:hAnsi="Cambria Math"/>
                    <w:lang w:val="en-GB"/>
                  </w:rPr>
                  <m:t>=</m:t>
                </m:r>
                <m:r>
                  <w:rPr>
                    <w:rFonts w:ascii="Cambria Math" w:eastAsiaTheme="minorEastAsia" w:hAnsi="Cambria Math"/>
                    <w:lang w:val="en-GB"/>
                  </w:rPr>
                  <m:t>h</m:t>
                </m:r>
                <m:d>
                  <m:dPr>
                    <m:ctrlPr>
                      <w:rPr>
                        <w:rFonts w:ascii="Cambria Math" w:eastAsiaTheme="minorEastAsia" w:hAnsi="Cambria Math"/>
                        <w:lang w:val="en-GB"/>
                      </w:rPr>
                    </m:ctrlPr>
                  </m:dPr>
                  <m:e>
                    <m:r>
                      <w:rPr>
                        <w:rFonts w:ascii="Cambria Math" w:eastAsiaTheme="minorEastAsia" w:hAnsi="Cambria Math"/>
                        <w:lang w:val="en-GB"/>
                      </w:rPr>
                      <m:t>x</m:t>
                    </m:r>
                  </m:e>
                </m:d>
                <m:r>
                  <m:rPr>
                    <m:sty m:val="p"/>
                  </m:rPr>
                  <w:rPr>
                    <w:rFonts w:ascii="Cambria Math" w:eastAsiaTheme="minorEastAsia" w:hAnsi="Cambria Math"/>
                    <w:lang w:val="en-GB"/>
                  </w:rPr>
                  <m:t>-</m:t>
                </m:r>
                <m:r>
                  <w:rPr>
                    <w:rFonts w:ascii="Cambria Math" w:eastAsiaTheme="minorEastAsia" w:hAnsi="Cambria Math"/>
                    <w:lang w:val="en-GB"/>
                  </w:rPr>
                  <m:t>h</m:t>
                </m:r>
                <m:r>
                  <m:rPr>
                    <m:sty m:val="p"/>
                  </m:rPr>
                  <w:rPr>
                    <w:rFonts w:ascii="Cambria Math" w:eastAsiaTheme="minorEastAsia" w:hAnsi="Cambria Math"/>
                    <w:lang w:val="en-GB"/>
                  </w:rPr>
                  <m:t>(∞)</m:t>
                </m:r>
                <m:sSub>
                  <m:sSubPr>
                    <m:ctrlPr>
                      <w:rPr>
                        <w:rFonts w:ascii="Cambria Math" w:eastAsiaTheme="minorEastAsia" w:hAnsi="Cambria Math"/>
                        <w:lang w:val="en-GB"/>
                      </w:rPr>
                    </m:ctrlPr>
                  </m:sSubPr>
                  <m:e>
                    <m:r>
                      <m:rPr>
                        <m:sty m:val="p"/>
                      </m:rPr>
                      <w:rPr>
                        <w:rFonts w:ascii="Cambria Math" w:eastAsiaTheme="minorEastAsia" w:hAnsi="Cambria Math"/>
                        <w:lang w:val="en-GB"/>
                      </w:rPr>
                      <m:t>=</m:t>
                    </m:r>
                    <m:d>
                      <m:dPr>
                        <m:begChr m:val="〈"/>
                        <m:endChr m:val="〉"/>
                        <m:ctrlPr>
                          <w:rPr>
                            <w:rFonts w:ascii="Cambria Math" w:hAnsi="Cambria Math"/>
                            <w:lang w:val="en-GB"/>
                          </w:rPr>
                        </m:ctrlPr>
                      </m:dPr>
                      <m:e>
                        <m:r>
                          <w:rPr>
                            <w:rFonts w:ascii="Cambria Math" w:hAnsi="Cambria Math"/>
                            <w:lang w:val="en-GB"/>
                          </w:rPr>
                          <m:t>ρ</m:t>
                        </m:r>
                        <m:d>
                          <m:dPr>
                            <m:ctrlPr>
                              <w:rPr>
                                <w:rFonts w:ascii="Cambria Math" w:hAnsi="Cambria Math"/>
                                <w:lang w:val="en-GB"/>
                              </w:rPr>
                            </m:ctrlPr>
                          </m:dPr>
                          <m:e>
                            <m:sSub>
                              <m:sSubPr>
                                <m:ctrlPr>
                                  <w:rPr>
                                    <w:rFonts w:ascii="Cambria Math" w:hAnsi="Cambria Math"/>
                                    <w:lang w:val="en-GB"/>
                                  </w:rPr>
                                </m:ctrlPr>
                              </m:sSubPr>
                              <m:e>
                                <m:r>
                                  <w:rPr>
                                    <w:rFonts w:ascii="Cambria Math" w:hAnsi="Cambria Math"/>
                                    <w:lang w:val="en-GB"/>
                                  </w:rPr>
                                  <m:t>x</m:t>
                                </m:r>
                              </m:e>
                              <m:sub>
                                <m:r>
                                  <m:rPr>
                                    <m:sty m:val="p"/>
                                  </m:rPr>
                                  <w:rPr>
                                    <w:rFonts w:ascii="Cambria Math" w:hAnsi="Cambria Math"/>
                                    <w:lang w:val="en-GB"/>
                                  </w:rPr>
                                  <m:t>1</m:t>
                                </m:r>
                              </m:sub>
                            </m:sSub>
                          </m:e>
                        </m:d>
                        <m:r>
                          <w:rPr>
                            <w:rFonts w:ascii="Cambria Math" w:hAnsi="Cambria Math"/>
                            <w:lang w:val="en-GB"/>
                          </w:rPr>
                          <m:t>ρ</m:t>
                        </m:r>
                        <m:d>
                          <m:dPr>
                            <m:ctrlPr>
                              <w:rPr>
                                <w:rFonts w:ascii="Cambria Math" w:hAnsi="Cambria Math"/>
                                <w:lang w:val="en-GB"/>
                              </w:rPr>
                            </m:ctrlPr>
                          </m:dPr>
                          <m:e>
                            <m:sSub>
                              <m:sSubPr>
                                <m:ctrlPr>
                                  <w:rPr>
                                    <w:rFonts w:ascii="Cambria Math" w:hAnsi="Cambria Math"/>
                                    <w:lang w:val="en-GB"/>
                                  </w:rPr>
                                </m:ctrlPr>
                              </m:sSubPr>
                              <m:e>
                                <m:r>
                                  <w:rPr>
                                    <w:rFonts w:ascii="Cambria Math" w:hAnsi="Cambria Math"/>
                                    <w:lang w:val="en-GB"/>
                                  </w:rPr>
                                  <m:t>x</m:t>
                                </m:r>
                              </m:e>
                              <m:sub>
                                <m:r>
                                  <m:rPr>
                                    <m:sty m:val="p"/>
                                  </m:rPr>
                                  <w:rPr>
                                    <w:rFonts w:ascii="Cambria Math" w:hAnsi="Cambria Math"/>
                                    <w:lang w:val="en-GB"/>
                                  </w:rPr>
                                  <m:t>1</m:t>
                                </m:r>
                              </m:sub>
                            </m:sSub>
                            <m:r>
                              <m:rPr>
                                <m:sty m:val="p"/>
                              </m:rPr>
                              <w:rPr>
                                <w:rFonts w:ascii="Cambria Math" w:hAnsi="Cambria Math"/>
                                <w:lang w:val="en-GB"/>
                              </w:rPr>
                              <m:t>-</m:t>
                            </m:r>
                            <m:r>
                              <w:rPr>
                                <w:rFonts w:ascii="Cambria Math" w:hAnsi="Cambria Math"/>
                                <w:lang w:val="en-GB"/>
                              </w:rPr>
                              <m:t>x</m:t>
                            </m:r>
                          </m:e>
                        </m:d>
                      </m:e>
                    </m:d>
                  </m:e>
                  <m:sub>
                    <m:sSub>
                      <m:sSubPr>
                        <m:ctrlPr>
                          <w:rPr>
                            <w:rFonts w:ascii="Cambria Math" w:eastAsiaTheme="minorEastAsia" w:hAnsi="Cambria Math"/>
                            <w:lang w:val="en-GB"/>
                          </w:rPr>
                        </m:ctrlPr>
                      </m:sSubPr>
                      <m:e>
                        <m:r>
                          <w:rPr>
                            <w:rFonts w:ascii="Cambria Math" w:eastAsiaTheme="minorEastAsia" w:hAnsi="Cambria Math"/>
                            <w:lang w:val="en-GB"/>
                          </w:rPr>
                          <m:t>x</m:t>
                        </m:r>
                      </m:e>
                      <m:sub>
                        <m:r>
                          <m:rPr>
                            <m:sty m:val="p"/>
                          </m:rPr>
                          <w:rPr>
                            <w:rFonts w:ascii="Cambria Math" w:eastAsiaTheme="minorEastAsia" w:hAnsi="Cambria Math"/>
                            <w:lang w:val="en-GB"/>
                          </w:rPr>
                          <m:t>1</m:t>
                        </m:r>
                      </m:sub>
                    </m:sSub>
                  </m:sub>
                </m:sSub>
                <m:r>
                  <m:rPr>
                    <m:sty m:val="p"/>
                  </m:rPr>
                  <w:rPr>
                    <w:rFonts w:ascii="Cambria Math" w:eastAsiaTheme="minorEastAsia" w:hAnsi="Cambria Math"/>
                    <w:lang w:val="en-GB"/>
                  </w:rPr>
                  <m:t>-</m:t>
                </m:r>
                <m:d>
                  <m:dPr>
                    <m:begChr m:val="〈"/>
                    <m:endChr m:val="〉"/>
                    <m:ctrlPr>
                      <w:rPr>
                        <w:rFonts w:ascii="Cambria Math" w:hAnsi="Cambria Math"/>
                        <w:lang w:val="en-GB"/>
                      </w:rPr>
                    </m:ctrlPr>
                  </m:dPr>
                  <m:e>
                    <m:r>
                      <w:rPr>
                        <w:rFonts w:ascii="Cambria Math" w:hAnsi="Cambria Math"/>
                        <w:lang w:val="en-GB"/>
                      </w:rPr>
                      <m:t>ρ</m:t>
                    </m:r>
                  </m:e>
                </m:d>
                <m:d>
                  <m:dPr>
                    <m:begChr m:val="〈"/>
                    <m:endChr m:val="〉"/>
                    <m:ctrlPr>
                      <w:rPr>
                        <w:rFonts w:ascii="Cambria Math" w:hAnsi="Cambria Math"/>
                        <w:lang w:val="en-GB"/>
                      </w:rPr>
                    </m:ctrlPr>
                  </m:dPr>
                  <m:e>
                    <m:r>
                      <w:rPr>
                        <w:rFonts w:ascii="Cambria Math" w:hAnsi="Cambria Math"/>
                        <w:lang w:val="en-GB"/>
                      </w:rPr>
                      <m:t>ρ</m:t>
                    </m:r>
                  </m:e>
                </m:d>
              </m:oMath>
            </m:oMathPara>
          </w:p>
        </w:tc>
        <w:tc>
          <w:tcPr>
            <w:tcW w:w="2120" w:type="dxa"/>
          </w:tcPr>
          <w:p w14:paraId="7D2F7359" w14:textId="77777777" w:rsidR="00CB6576" w:rsidRPr="00150A31" w:rsidRDefault="00CB6576" w:rsidP="00614ECC">
            <w:pPr>
              <w:pStyle w:val="equation"/>
              <w:jc w:val="right"/>
              <w:rPr>
                <w:lang w:val="en-GB"/>
              </w:rPr>
            </w:pPr>
            <w:r w:rsidRPr="00150A31">
              <w:rPr>
                <w:lang w:val="en-GB"/>
              </w:rPr>
              <w:t>[S3]</w:t>
            </w:r>
          </w:p>
        </w:tc>
      </w:tr>
    </w:tbl>
    <w:p w14:paraId="7D598E99" w14:textId="286A129F" w:rsidR="00CB6576" w:rsidRPr="00150A31" w:rsidRDefault="00CB6576" w:rsidP="00CB6576">
      <w:pPr>
        <w:rPr>
          <w:lang w:val="en-GB"/>
        </w:rPr>
      </w:pPr>
      <w:r w:rsidRPr="00150A31">
        <w:rPr>
          <w:lang w:val="en-GB"/>
        </w:rPr>
        <w:t xml:space="preserve">Where </w:t>
      </w:r>
      <m:oMath>
        <m:r>
          <w:rPr>
            <w:rFonts w:ascii="Cambria Math" w:hAnsi="Cambria Math"/>
            <w:lang w:val="en-GB"/>
          </w:rPr>
          <m:t>ρ(x)</m:t>
        </m:r>
      </m:oMath>
      <w:r w:rsidRPr="00150A31">
        <w:rPr>
          <w:lang w:val="en-GB"/>
        </w:rPr>
        <w:t xml:space="preserve"> is the electron density at point </w:t>
      </w:r>
      <m:oMath>
        <m:r>
          <w:rPr>
            <w:rFonts w:ascii="Cambria Math" w:hAnsi="Cambria Math"/>
            <w:lang w:val="en-GB"/>
          </w:rPr>
          <m:t>x</m:t>
        </m:r>
      </m:oMath>
      <w:r w:rsidRPr="00150A31">
        <w:rPr>
          <w:lang w:val="en-GB"/>
        </w:rPr>
        <w:t xml:space="preserve">, </w:t>
      </w:r>
      <m:oMath>
        <m:d>
          <m:dPr>
            <m:begChr m:val="〈"/>
            <m:endChr m:val="〉"/>
            <m:ctrlPr>
              <w:rPr>
                <w:rFonts w:ascii="Cambria Math" w:hAnsi="Cambria Math"/>
                <w:i/>
                <w:lang w:val="en-GB"/>
              </w:rPr>
            </m:ctrlPr>
          </m:dPr>
          <m:e>
            <m:r>
              <w:rPr>
                <w:rFonts w:ascii="Cambria Math" w:hAnsi="Cambria Math"/>
                <w:lang w:val="en-GB"/>
              </w:rPr>
              <m:t>ρ</m:t>
            </m:r>
          </m:e>
        </m:d>
      </m:oMath>
      <w:r w:rsidRPr="00150A31">
        <w:rPr>
          <w:lang w:val="en-GB"/>
        </w:rPr>
        <w:t xml:space="preserve"> is the sample’s average electron density and  </w:t>
      </w:r>
      <m:oMath>
        <m:sSub>
          <m:sSubPr>
            <m:ctrlPr>
              <w:rPr>
                <w:rFonts w:ascii="Cambria Math" w:eastAsiaTheme="minorEastAsia" w:hAnsi="Cambria Math"/>
                <w:i/>
                <w:lang w:val="en-GB"/>
              </w:rPr>
            </m:ctrlPr>
          </m:sSubPr>
          <m:e>
            <m:d>
              <m:dPr>
                <m:begChr m:val="〈"/>
                <m:endChr m:val="〉"/>
                <m:ctrlPr>
                  <w:rPr>
                    <w:rFonts w:ascii="Cambria Math" w:hAnsi="Cambria Math"/>
                    <w:i/>
                    <w:lang w:val="en-GB"/>
                  </w:rPr>
                </m:ctrlPr>
              </m:dPr>
              <m:e>
                <m:r>
                  <w:rPr>
                    <w:rFonts w:ascii="Cambria Math" w:hAnsi="Cambria Math"/>
                    <w:lang w:val="en-GB"/>
                  </w:rPr>
                  <m:t>⋯</m:t>
                </m:r>
              </m:e>
            </m:d>
          </m:e>
          <m:sub>
            <m:sSub>
              <m:sSubPr>
                <m:ctrlPr>
                  <w:rPr>
                    <w:rFonts w:ascii="Cambria Math" w:eastAsiaTheme="minorEastAsia" w:hAnsi="Cambria Math"/>
                    <w:i/>
                    <w:lang w:val="en-GB"/>
                  </w:rPr>
                </m:ctrlPr>
              </m:sSubPr>
              <m:e>
                <m:r>
                  <w:rPr>
                    <w:rFonts w:ascii="Cambria Math" w:eastAsiaTheme="minorEastAsia" w:hAnsi="Cambria Math"/>
                    <w:lang w:val="en-GB"/>
                  </w:rPr>
                  <m:t>x</m:t>
                </m:r>
              </m:e>
              <m:sub>
                <m:r>
                  <w:rPr>
                    <w:rFonts w:ascii="Cambria Math" w:eastAsiaTheme="minorEastAsia" w:hAnsi="Cambria Math"/>
                    <w:lang w:val="en-GB"/>
                  </w:rPr>
                  <m:t>1</m:t>
                </m:r>
              </m:sub>
            </m:sSub>
          </m:sub>
        </m:sSub>
      </m:oMath>
      <w:r w:rsidRPr="00150A31">
        <w:rPr>
          <w:lang w:val="en-GB"/>
        </w:rPr>
        <w:t xml:space="preserve"> indicates averaging over the real space coordinate </w:t>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m:t>
            </m:r>
          </m:sub>
        </m:sSub>
      </m:oMath>
      <w:r w:rsidRPr="00150A31">
        <w:rPr>
          <w:lang w:val="en-GB"/>
        </w:rPr>
        <w:t xml:space="preserve">. </w:t>
      </w:r>
    </w:p>
    <w:p w14:paraId="27524C2D" w14:textId="2E709323" w:rsidR="000A246D" w:rsidRDefault="00614ECC" w:rsidP="00614ECC">
      <w:pPr>
        <w:rPr>
          <w:lang w:val="en-GB"/>
        </w:rPr>
      </w:pPr>
      <w:r w:rsidRPr="00150A31">
        <w:rPr>
          <w:lang w:val="en-GB"/>
        </w:rPr>
        <w:t>For the numerical calculations performed in this work, the discrete versions of Equation [S2] and Equation [S3] were expressed as:</w:t>
      </w:r>
    </w:p>
    <w:p w14:paraId="2FC97EBB" w14:textId="77777777" w:rsidR="000A246D" w:rsidRPr="00150A31" w:rsidRDefault="000A246D" w:rsidP="00614ECC">
      <w:pPr>
        <w:rPr>
          <w:lang w:val="en-GB"/>
        </w:rPr>
      </w:pP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8"/>
        <w:gridCol w:w="969"/>
      </w:tblGrid>
      <w:tr w:rsidR="00614ECC" w:rsidRPr="00150A31" w14:paraId="1AC430BE" w14:textId="77777777" w:rsidTr="00D40004">
        <w:trPr>
          <w:trHeight w:val="1026"/>
        </w:trPr>
        <w:tc>
          <w:tcPr>
            <w:tcW w:w="7933" w:type="dxa"/>
            <w:vAlign w:val="center"/>
          </w:tcPr>
          <w:p w14:paraId="598C7D15" w14:textId="77777777" w:rsidR="00614ECC" w:rsidRPr="00150A31" w:rsidRDefault="00C47680" w:rsidP="00614ECC">
            <w:pPr>
              <w:pStyle w:val="equation"/>
              <w:rPr>
                <w:szCs w:val="24"/>
                <w:lang w:val="en-GB"/>
              </w:rPr>
            </w:pPr>
            <m:oMathPara>
              <m:oMathParaPr>
                <m:jc m:val="left"/>
              </m:oMathParaPr>
              <m:oMath>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k</m:t>
                    </m:r>
                  </m:sub>
                </m:sSub>
                <m:d>
                  <m:dPr>
                    <m:ctrlPr>
                      <w:rPr>
                        <w:rFonts w:ascii="Cambria Math" w:hAnsi="Cambria Math"/>
                        <w:lang w:val="en-GB"/>
                      </w:rPr>
                    </m:ctrlPr>
                  </m:dPr>
                  <m:e>
                    <m:r>
                      <w:rPr>
                        <w:rFonts w:ascii="Cambria Math" w:hAnsi="Cambria Math"/>
                        <w:lang w:val="en-GB"/>
                      </w:rPr>
                      <m:t>q</m:t>
                    </m:r>
                  </m:e>
                </m:d>
                <m:r>
                  <m:rPr>
                    <m:sty m:val="p"/>
                  </m:rPr>
                  <w:rPr>
                    <w:rFonts w:ascii="Cambria Math" w:hAnsi="Cambria Math"/>
                    <w:lang w:val="en-GB"/>
                  </w:rPr>
                  <m:t>≡</m:t>
                </m:r>
                <m:nary>
                  <m:naryPr>
                    <m:chr m:val="∑"/>
                    <m:limLoc m:val="undOvr"/>
                    <m:ctrlPr>
                      <w:rPr>
                        <w:rFonts w:ascii="Cambria Math" w:hAnsi="Cambria Math"/>
                        <w:lang w:val="en-GB"/>
                      </w:rPr>
                    </m:ctrlPr>
                  </m:naryPr>
                  <m:sub>
                    <m:r>
                      <w:rPr>
                        <w:rFonts w:ascii="Cambria Math" w:hAnsi="Cambria Math"/>
                        <w:lang w:val="en-GB"/>
                      </w:rPr>
                      <m:t>n</m:t>
                    </m:r>
                    <m:r>
                      <m:rPr>
                        <m:sty m:val="p"/>
                      </m:rPr>
                      <w:rPr>
                        <w:rFonts w:ascii="Cambria Math" w:hAnsi="Cambria Math"/>
                        <w:lang w:val="en-GB"/>
                      </w:rPr>
                      <m:t>=0</m:t>
                    </m:r>
                  </m:sub>
                  <m:sup>
                    <m:sSub>
                      <m:sSubPr>
                        <m:ctrlPr>
                          <w:rPr>
                            <w:rFonts w:ascii="Cambria Math" w:hAnsi="Cambria Math"/>
                            <w:lang w:val="en-GB"/>
                          </w:rPr>
                        </m:ctrlPr>
                      </m:sSubPr>
                      <m:e>
                        <m:r>
                          <w:rPr>
                            <w:rFonts w:ascii="Cambria Math" w:hAnsi="Cambria Math"/>
                            <w:lang w:val="en-GB"/>
                          </w:rPr>
                          <m:t>L</m:t>
                        </m:r>
                      </m:e>
                      <m:sub>
                        <m:r>
                          <w:rPr>
                            <w:rFonts w:ascii="Cambria Math" w:hAnsi="Cambria Math"/>
                            <w:lang w:val="en-GB"/>
                          </w:rPr>
                          <m:t>SCF</m:t>
                        </m:r>
                      </m:sub>
                    </m:sSub>
                    <m:r>
                      <m:rPr>
                        <m:sty m:val="p"/>
                      </m:rPr>
                      <w:rPr>
                        <w:rFonts w:ascii="Cambria Math" w:hAnsi="Cambria Math"/>
                        <w:lang w:val="en-GB"/>
                      </w:rPr>
                      <m:t>-1</m:t>
                    </m:r>
                  </m:sup>
                  <m:e>
                    <m:sSup>
                      <m:sSupPr>
                        <m:ctrlPr>
                          <w:rPr>
                            <w:rFonts w:ascii="Cambria Math" w:hAnsi="Cambria Math"/>
                            <w:lang w:val="en-GB"/>
                          </w:rPr>
                        </m:ctrlPr>
                      </m:sSupPr>
                      <m:e>
                        <m:d>
                          <m:dPr>
                            <m:ctrlPr>
                              <w:rPr>
                                <w:rFonts w:ascii="Cambria Math" w:hAnsi="Cambria Math"/>
                                <w:lang w:val="en-GB"/>
                              </w:rPr>
                            </m:ctrlPr>
                          </m:dPr>
                          <m:e>
                            <m:r>
                              <w:rPr>
                                <w:rFonts w:ascii="Cambria Math" w:hAnsi="Cambria Math"/>
                                <w:lang w:val="en-GB"/>
                              </w:rPr>
                              <m:t>n</m:t>
                            </m:r>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x</m:t>
                                </m:r>
                              </m:e>
                              <m:sub>
                                <m:r>
                                  <w:rPr>
                                    <w:rFonts w:ascii="Cambria Math" w:hAnsi="Cambria Math"/>
                                    <w:lang w:val="en-GB"/>
                                  </w:rPr>
                                  <m:t>k</m:t>
                                </m:r>
                              </m:sub>
                            </m:sSub>
                          </m:e>
                        </m:d>
                      </m:e>
                      <m:sup>
                        <m:r>
                          <m:rPr>
                            <m:sty m:val="p"/>
                          </m:rPr>
                          <w:rPr>
                            <w:rFonts w:ascii="Cambria Math" w:hAnsi="Cambria Math"/>
                            <w:lang w:val="en-GB"/>
                          </w:rPr>
                          <m:t>2</m:t>
                        </m:r>
                      </m:sup>
                    </m:sSup>
                    <m:sSub>
                      <m:sSubPr>
                        <m:ctrlPr>
                          <w:rPr>
                            <w:rFonts w:ascii="Cambria Math" w:hAnsi="Cambria Math"/>
                            <w:lang w:val="en-GB"/>
                          </w:rPr>
                        </m:ctrlPr>
                      </m:sSubPr>
                      <m:e>
                        <m:r>
                          <w:rPr>
                            <w:rFonts w:ascii="Cambria Math" w:hAnsi="Cambria Math"/>
                            <w:lang w:val="en-GB"/>
                          </w:rPr>
                          <m:t>g</m:t>
                        </m:r>
                      </m:e>
                      <m:sub>
                        <m:r>
                          <w:rPr>
                            <w:rFonts w:ascii="Cambria Math" w:hAnsi="Cambria Math"/>
                            <w:lang w:val="en-GB"/>
                          </w:rPr>
                          <m:t>n</m:t>
                        </m:r>
                      </m:sub>
                    </m:sSub>
                    <m:f>
                      <m:fPr>
                        <m:ctrlPr>
                          <w:rPr>
                            <w:rFonts w:ascii="Cambria Math" w:hAnsi="Cambria Math"/>
                            <w:lang w:val="en-GB"/>
                          </w:rPr>
                        </m:ctrlPr>
                      </m:fPr>
                      <m:num>
                        <m:r>
                          <w:rPr>
                            <w:rFonts w:ascii="Cambria Math" w:hAnsi="Cambria Math"/>
                            <w:lang w:val="en-GB"/>
                          </w:rPr>
                          <m:t>sin</m:t>
                        </m:r>
                        <m:d>
                          <m:dPr>
                            <m:ctrlPr>
                              <w:rPr>
                                <w:rFonts w:ascii="Cambria Math" w:hAnsi="Cambria Math"/>
                                <w:lang w:val="en-GB"/>
                              </w:rPr>
                            </m:ctrlPr>
                          </m:dPr>
                          <m:e>
                            <m:r>
                              <w:rPr>
                                <w:rFonts w:ascii="Cambria Math" w:hAnsi="Cambria Math"/>
                                <w:lang w:val="en-GB"/>
                              </w:rPr>
                              <m:t>nq</m:t>
                            </m:r>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x</m:t>
                                </m:r>
                              </m:e>
                              <m:sub>
                                <m:r>
                                  <w:rPr>
                                    <w:rFonts w:ascii="Cambria Math" w:hAnsi="Cambria Math"/>
                                    <w:lang w:val="en-GB"/>
                                  </w:rPr>
                                  <m:t>k</m:t>
                                </m:r>
                              </m:sub>
                            </m:sSub>
                          </m:e>
                        </m:d>
                      </m:num>
                      <m:den>
                        <m:r>
                          <w:rPr>
                            <w:rFonts w:ascii="Cambria Math" w:hAnsi="Cambria Math"/>
                            <w:lang w:val="en-GB"/>
                          </w:rPr>
                          <m:t>nq</m:t>
                        </m:r>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x</m:t>
                            </m:r>
                          </m:e>
                          <m:sub>
                            <m:r>
                              <w:rPr>
                                <w:rFonts w:ascii="Cambria Math" w:hAnsi="Cambria Math"/>
                                <w:lang w:val="en-GB"/>
                              </w:rPr>
                              <m:t>k</m:t>
                            </m:r>
                          </m:sub>
                        </m:sSub>
                      </m:den>
                    </m:f>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x</m:t>
                        </m:r>
                      </m:e>
                      <m:sub>
                        <m:r>
                          <w:rPr>
                            <w:rFonts w:ascii="Cambria Math" w:hAnsi="Cambria Math"/>
                            <w:lang w:val="en-GB"/>
                          </w:rPr>
                          <m:t>k</m:t>
                        </m:r>
                      </m:sub>
                    </m:sSub>
                  </m:e>
                </m:nary>
                <m:r>
                  <m:rPr>
                    <m:sty m:val="p"/>
                  </m:rPr>
                  <w:rPr>
                    <w:rFonts w:ascii="Cambria Math" w:hAnsi="Cambria Math"/>
                    <w:lang w:val="en-GB"/>
                  </w:rPr>
                  <m:t>=</m:t>
                </m:r>
                <m:sSup>
                  <m:sSupPr>
                    <m:ctrlPr>
                      <w:rPr>
                        <w:rFonts w:ascii="Cambria Math" w:hAnsi="Cambria Math"/>
                        <w:lang w:val="en-GB"/>
                      </w:rPr>
                    </m:ctrlPr>
                  </m:sSupPr>
                  <m:e>
                    <m:d>
                      <m:dPr>
                        <m:ctrlPr>
                          <w:rPr>
                            <w:rFonts w:ascii="Cambria Math" w:hAnsi="Cambria Math"/>
                            <w:lang w:val="en-GB"/>
                          </w:rPr>
                        </m:ctrlPr>
                      </m:dPr>
                      <m:e>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x</m:t>
                            </m:r>
                          </m:e>
                          <m:sub>
                            <m:r>
                              <w:rPr>
                                <w:rFonts w:ascii="Cambria Math" w:hAnsi="Cambria Math"/>
                                <w:lang w:val="en-GB"/>
                              </w:rPr>
                              <m:t>k</m:t>
                            </m:r>
                          </m:sub>
                        </m:sSub>
                      </m:e>
                    </m:d>
                  </m:e>
                  <m:sup>
                    <m:r>
                      <m:rPr>
                        <m:sty m:val="p"/>
                      </m:rPr>
                      <w:rPr>
                        <w:rFonts w:ascii="Cambria Math" w:hAnsi="Cambria Math"/>
                        <w:lang w:val="en-GB"/>
                      </w:rPr>
                      <m:t>3</m:t>
                    </m:r>
                  </m:sup>
                </m:sSup>
                <m:nary>
                  <m:naryPr>
                    <m:chr m:val="∑"/>
                    <m:limLoc m:val="undOvr"/>
                    <m:ctrlPr>
                      <w:rPr>
                        <w:rFonts w:ascii="Cambria Math" w:hAnsi="Cambria Math"/>
                        <w:lang w:val="en-GB"/>
                      </w:rPr>
                    </m:ctrlPr>
                  </m:naryPr>
                  <m:sub>
                    <m:r>
                      <w:rPr>
                        <w:rFonts w:ascii="Cambria Math" w:hAnsi="Cambria Math"/>
                        <w:lang w:val="en-GB"/>
                      </w:rPr>
                      <m:t>n</m:t>
                    </m:r>
                    <m:r>
                      <m:rPr>
                        <m:sty m:val="p"/>
                      </m:rPr>
                      <w:rPr>
                        <w:rFonts w:ascii="Cambria Math" w:hAnsi="Cambria Math"/>
                        <w:lang w:val="en-GB"/>
                      </w:rPr>
                      <m:t>=0</m:t>
                    </m:r>
                  </m:sub>
                  <m:sup>
                    <m:sSub>
                      <m:sSubPr>
                        <m:ctrlPr>
                          <w:rPr>
                            <w:rFonts w:ascii="Cambria Math" w:hAnsi="Cambria Math"/>
                            <w:lang w:val="en-GB"/>
                          </w:rPr>
                        </m:ctrlPr>
                      </m:sSubPr>
                      <m:e>
                        <m:r>
                          <w:rPr>
                            <w:rFonts w:ascii="Cambria Math" w:hAnsi="Cambria Math"/>
                            <w:lang w:val="en-GB"/>
                          </w:rPr>
                          <m:t>L</m:t>
                        </m:r>
                      </m:e>
                      <m:sub>
                        <m:r>
                          <w:rPr>
                            <w:rFonts w:ascii="Cambria Math" w:hAnsi="Cambria Math"/>
                            <w:lang w:val="en-GB"/>
                          </w:rPr>
                          <m:t>SCF</m:t>
                        </m:r>
                      </m:sub>
                    </m:sSub>
                    <m:r>
                      <m:rPr>
                        <m:sty m:val="p"/>
                      </m:rPr>
                      <w:rPr>
                        <w:rFonts w:ascii="Cambria Math" w:hAnsi="Cambria Math"/>
                        <w:lang w:val="en-GB"/>
                      </w:rPr>
                      <m:t>-1</m:t>
                    </m:r>
                  </m:sup>
                  <m:e>
                    <m:sSup>
                      <m:sSupPr>
                        <m:ctrlPr>
                          <w:rPr>
                            <w:rFonts w:ascii="Cambria Math" w:hAnsi="Cambria Math"/>
                            <w:lang w:val="en-GB"/>
                          </w:rPr>
                        </m:ctrlPr>
                      </m:sSupPr>
                      <m:e>
                        <m:r>
                          <w:rPr>
                            <w:rFonts w:ascii="Cambria Math" w:hAnsi="Cambria Math"/>
                            <w:lang w:val="en-GB"/>
                          </w:rPr>
                          <m:t>n</m:t>
                        </m:r>
                      </m:e>
                      <m:sup>
                        <m:r>
                          <m:rPr>
                            <m:sty m:val="p"/>
                          </m:rPr>
                          <w:rPr>
                            <w:rFonts w:ascii="Cambria Math" w:hAnsi="Cambria Math"/>
                            <w:lang w:val="en-GB"/>
                          </w:rPr>
                          <m:t>2</m:t>
                        </m:r>
                      </m:sup>
                    </m:sSup>
                    <m:sSub>
                      <m:sSubPr>
                        <m:ctrlPr>
                          <w:rPr>
                            <w:rFonts w:ascii="Cambria Math" w:hAnsi="Cambria Math"/>
                            <w:lang w:val="en-GB"/>
                          </w:rPr>
                        </m:ctrlPr>
                      </m:sSubPr>
                      <m:e>
                        <m:r>
                          <w:rPr>
                            <w:rFonts w:ascii="Cambria Math" w:hAnsi="Cambria Math"/>
                            <w:lang w:val="en-GB"/>
                          </w:rPr>
                          <m:t>g</m:t>
                        </m:r>
                      </m:e>
                      <m:sub>
                        <m:r>
                          <w:rPr>
                            <w:rFonts w:ascii="Cambria Math" w:hAnsi="Cambria Math"/>
                            <w:lang w:val="en-GB"/>
                          </w:rPr>
                          <m:t>n</m:t>
                        </m:r>
                      </m:sub>
                    </m:sSub>
                    <m:f>
                      <m:fPr>
                        <m:ctrlPr>
                          <w:rPr>
                            <w:rFonts w:ascii="Cambria Math" w:hAnsi="Cambria Math"/>
                            <w:lang w:val="en-GB"/>
                          </w:rPr>
                        </m:ctrlPr>
                      </m:fPr>
                      <m:num>
                        <m:r>
                          <w:rPr>
                            <w:rFonts w:ascii="Cambria Math" w:hAnsi="Cambria Math"/>
                            <w:lang w:val="en-GB"/>
                          </w:rPr>
                          <m:t>sin</m:t>
                        </m:r>
                        <m:d>
                          <m:dPr>
                            <m:ctrlPr>
                              <w:rPr>
                                <w:rFonts w:ascii="Cambria Math" w:hAnsi="Cambria Math"/>
                                <w:lang w:val="en-GB"/>
                              </w:rPr>
                            </m:ctrlPr>
                          </m:dPr>
                          <m:e>
                            <m:r>
                              <w:rPr>
                                <w:rFonts w:ascii="Cambria Math" w:hAnsi="Cambria Math"/>
                                <w:lang w:val="en-GB"/>
                              </w:rPr>
                              <m:t>nq</m:t>
                            </m:r>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x</m:t>
                                </m:r>
                              </m:e>
                              <m:sub>
                                <m:r>
                                  <w:rPr>
                                    <w:rFonts w:ascii="Cambria Math" w:hAnsi="Cambria Math"/>
                                    <w:lang w:val="en-GB"/>
                                  </w:rPr>
                                  <m:t>k</m:t>
                                </m:r>
                              </m:sub>
                            </m:sSub>
                          </m:e>
                        </m:d>
                      </m:num>
                      <m:den>
                        <m:r>
                          <w:rPr>
                            <w:rFonts w:ascii="Cambria Math" w:hAnsi="Cambria Math"/>
                            <w:lang w:val="en-GB"/>
                          </w:rPr>
                          <m:t>nq</m:t>
                        </m:r>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x</m:t>
                            </m:r>
                          </m:e>
                          <m:sub>
                            <m:r>
                              <w:rPr>
                                <w:rFonts w:ascii="Cambria Math" w:hAnsi="Cambria Math"/>
                                <w:lang w:val="en-GB"/>
                              </w:rPr>
                              <m:t>k</m:t>
                            </m:r>
                          </m:sub>
                        </m:sSub>
                      </m:den>
                    </m:f>
                  </m:e>
                </m:nary>
              </m:oMath>
            </m:oMathPara>
          </w:p>
        </w:tc>
        <w:tc>
          <w:tcPr>
            <w:tcW w:w="1083" w:type="dxa"/>
            <w:vAlign w:val="center"/>
          </w:tcPr>
          <w:p w14:paraId="7DA76B16" w14:textId="77777777" w:rsidR="00614ECC" w:rsidRPr="00150A31" w:rsidRDefault="00614ECC" w:rsidP="00C46BE7">
            <w:pPr>
              <w:pStyle w:val="equation"/>
              <w:jc w:val="right"/>
              <w:rPr>
                <w:lang w:val="en-GB"/>
              </w:rPr>
            </w:pPr>
            <w:r w:rsidRPr="00150A31">
              <w:rPr>
                <w:lang w:val="en-GB"/>
              </w:rPr>
              <w:t>[S4]</w:t>
            </w:r>
          </w:p>
        </w:tc>
      </w:tr>
    </w:tbl>
    <w:p w14:paraId="738EA557" w14:textId="03B73577" w:rsidR="00614ECC" w:rsidRDefault="00614ECC" w:rsidP="00614ECC">
      <w:pPr>
        <w:rPr>
          <w:lang w:val="en-GB"/>
        </w:rPr>
      </w:pPr>
      <w:r w:rsidRPr="00150A31">
        <w:rPr>
          <w:lang w:val="en-GB"/>
        </w:rPr>
        <w:br/>
        <w:t>and</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9"/>
        <w:gridCol w:w="2698"/>
      </w:tblGrid>
      <w:tr w:rsidR="00614ECC" w:rsidRPr="00150A31" w14:paraId="04E74208" w14:textId="77777777" w:rsidTr="00614ECC">
        <w:trPr>
          <w:trHeight w:val="335"/>
        </w:trPr>
        <w:tc>
          <w:tcPr>
            <w:tcW w:w="5239" w:type="dxa"/>
          </w:tcPr>
          <w:p w14:paraId="4269DCE9" w14:textId="77777777" w:rsidR="00614ECC" w:rsidRPr="00150A31" w:rsidRDefault="00C47680" w:rsidP="00614ECC">
            <w:pPr>
              <w:pStyle w:val="equation"/>
              <w:rPr>
                <w:lang w:val="en-GB"/>
              </w:rPr>
            </w:pPr>
            <m:oMathPara>
              <m:oMathParaPr>
                <m:jc m:val="left"/>
              </m:oMathParaPr>
              <m:oMath>
                <m:sSub>
                  <m:sSubPr>
                    <m:ctrlPr>
                      <w:rPr>
                        <w:rFonts w:ascii="Cambria Math" w:hAnsi="Cambria Math"/>
                        <w:lang w:val="en-GB"/>
                      </w:rPr>
                    </m:ctrlPr>
                  </m:sSubPr>
                  <m:e>
                    <m:r>
                      <w:rPr>
                        <w:rFonts w:ascii="Cambria Math" w:hAnsi="Cambria Math"/>
                        <w:lang w:val="en-GB"/>
                      </w:rPr>
                      <m:t>g</m:t>
                    </m:r>
                  </m:e>
                  <m:sub>
                    <m:r>
                      <w:rPr>
                        <w:rFonts w:ascii="Cambria Math" w:hAnsi="Cambria Math"/>
                        <w:lang w:val="en-GB"/>
                      </w:rPr>
                      <m:t>n</m:t>
                    </m:r>
                  </m:sub>
                </m:sSub>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h</m:t>
                    </m:r>
                  </m:e>
                  <m:sub>
                    <m:r>
                      <w:rPr>
                        <w:rFonts w:ascii="Cambria Math" w:hAnsi="Cambria Math"/>
                        <w:lang w:val="en-GB"/>
                      </w:rPr>
                      <m:t>n</m:t>
                    </m:r>
                  </m:sub>
                </m:sSub>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h</m:t>
                    </m:r>
                  </m:e>
                  <m:sub>
                    <m:sSub>
                      <m:sSubPr>
                        <m:ctrlPr>
                          <w:rPr>
                            <w:rFonts w:ascii="Cambria Math" w:hAnsi="Cambria Math"/>
                            <w:lang w:val="en-GB"/>
                          </w:rPr>
                        </m:ctrlPr>
                      </m:sSubPr>
                      <m:e>
                        <m:r>
                          <w:rPr>
                            <w:rFonts w:ascii="Cambria Math" w:hAnsi="Cambria Math"/>
                            <w:lang w:val="en-GB"/>
                          </w:rPr>
                          <m:t>L</m:t>
                        </m:r>
                      </m:e>
                      <m:sub>
                        <m:r>
                          <w:rPr>
                            <w:rFonts w:ascii="Cambria Math" w:hAnsi="Cambria Math"/>
                            <w:lang w:val="en-GB"/>
                          </w:rPr>
                          <m:t>SCF</m:t>
                        </m:r>
                      </m:sub>
                    </m:sSub>
                    <m:r>
                      <m:rPr>
                        <m:sty m:val="p"/>
                      </m:rPr>
                      <w:rPr>
                        <w:rFonts w:ascii="Cambria Math" w:hAnsi="Cambria Math"/>
                        <w:lang w:val="en-GB"/>
                      </w:rPr>
                      <m:t>-1</m:t>
                    </m:r>
                  </m:sub>
                </m:sSub>
              </m:oMath>
            </m:oMathPara>
          </w:p>
        </w:tc>
        <w:tc>
          <w:tcPr>
            <w:tcW w:w="2698" w:type="dxa"/>
          </w:tcPr>
          <w:p w14:paraId="724CBC78" w14:textId="77777777" w:rsidR="00614ECC" w:rsidRPr="00150A31" w:rsidRDefault="00614ECC" w:rsidP="00614ECC">
            <w:pPr>
              <w:pStyle w:val="equation"/>
              <w:jc w:val="right"/>
              <w:rPr>
                <w:lang w:val="en-GB"/>
              </w:rPr>
            </w:pPr>
            <w:r w:rsidRPr="00150A31">
              <w:rPr>
                <w:lang w:val="en-GB"/>
              </w:rPr>
              <w:t>[S5]</w:t>
            </w:r>
          </w:p>
        </w:tc>
      </w:tr>
    </w:tbl>
    <w:p w14:paraId="36DCD8E4" w14:textId="201005BB" w:rsidR="00614ECC" w:rsidRDefault="00614ECC" w:rsidP="00614ECC">
      <w:pPr>
        <w:rPr>
          <w:lang w:val="en-GB"/>
        </w:rPr>
      </w:pPr>
      <w:r w:rsidRPr="00150A31">
        <w:rPr>
          <w:lang w:val="en-GB"/>
        </w:rPr>
        <w:t xml:space="preserve">where </w:t>
      </w:r>
      <w:r w:rsidRPr="00150A31">
        <w:rPr>
          <w:i/>
          <w:iCs/>
          <w:lang w:val="en-GB"/>
        </w:rPr>
        <w:t>n</w:t>
      </w:r>
      <w:r w:rsidRPr="00150A31">
        <w:rPr>
          <w:lang w:val="en-GB"/>
        </w:rPr>
        <w:t xml:space="preserve"> is a vector element index and </w:t>
      </w:r>
      <w:r w:rsidRPr="00150A31">
        <w:rPr>
          <w:i/>
          <w:iCs/>
          <w:lang w:val="en-GB"/>
        </w:rPr>
        <w:t>L</w:t>
      </w:r>
      <w:r w:rsidRPr="00150A31">
        <w:rPr>
          <w:i/>
          <w:iCs/>
          <w:vertAlign w:val="subscript"/>
          <w:lang w:val="en-GB"/>
        </w:rPr>
        <w:t>SCF</w:t>
      </w:r>
      <w:r w:rsidRPr="00150A31">
        <w:rPr>
          <w:lang w:val="en-GB"/>
        </w:rPr>
        <w:t xml:space="preserve"> is the length of the vectors holding the numerical estimate of the autocorrelation function (ACF), </w:t>
      </w:r>
      <w:r w:rsidRPr="00150A31">
        <w:rPr>
          <w:i/>
          <w:iCs/>
          <w:lang w:val="en-GB"/>
        </w:rPr>
        <w:t>h</w:t>
      </w:r>
      <w:r w:rsidRPr="00150A31">
        <w:rPr>
          <w:i/>
          <w:iCs/>
          <w:vertAlign w:val="subscript"/>
          <w:lang w:val="en-GB"/>
        </w:rPr>
        <w:t>n</w:t>
      </w:r>
      <w:r w:rsidRPr="00150A31">
        <w:rPr>
          <w:lang w:val="en-GB"/>
        </w:rPr>
        <w:t xml:space="preserve">, and the spatial correlation function (SCF), </w:t>
      </w:r>
      <w:r w:rsidRPr="00150A31">
        <w:rPr>
          <w:i/>
          <w:iCs/>
          <w:lang w:val="en-GB"/>
        </w:rPr>
        <w:t>g</w:t>
      </w:r>
      <w:r w:rsidRPr="00150A31">
        <w:rPr>
          <w:i/>
          <w:iCs/>
          <w:vertAlign w:val="subscript"/>
          <w:lang w:val="en-GB"/>
        </w:rPr>
        <w:t>n</w:t>
      </w:r>
      <w:r w:rsidRPr="00150A31">
        <w:rPr>
          <w:lang w:val="en-GB"/>
        </w:rPr>
        <w:t xml:space="preserve">. </w:t>
      </w:r>
    </w:p>
    <w:p w14:paraId="21B8AA08" w14:textId="77777777" w:rsidR="000A246D" w:rsidRPr="00150A31" w:rsidRDefault="000A246D" w:rsidP="00614ECC">
      <w:pPr>
        <w:rPr>
          <w:lang w:val="en-GB"/>
        </w:rPr>
      </w:pPr>
    </w:p>
    <w:p w14:paraId="45FD1DCA" w14:textId="45809CEA" w:rsidR="00CB6576" w:rsidRDefault="00614ECC" w:rsidP="00614ECC">
      <w:pPr>
        <w:rPr>
          <w:lang w:val="en-GB"/>
        </w:rPr>
      </w:pPr>
      <w:r w:rsidRPr="00150A31">
        <w:rPr>
          <w:lang w:val="en-GB"/>
        </w:rPr>
        <w:t>In the following text a few key-points of the numerical simulation will be described, relating to Equations [S4] and Equation [S5], followed by a more thorough discussion of the simulation algorithm.</w:t>
      </w:r>
    </w:p>
    <w:p w14:paraId="14B2117F" w14:textId="67CAE8EC" w:rsidR="00C46BE7" w:rsidRDefault="00C46BE7" w:rsidP="00614ECC">
      <w:pPr>
        <w:rPr>
          <w:lang w:val="en-GB"/>
        </w:rPr>
      </w:pPr>
      <w:r w:rsidRPr="00150A31">
        <w:rPr>
          <w:lang w:val="en-GB"/>
        </w:rPr>
        <w:t xml:space="preserve">The simulation software developed gives as output a sum of autocorrelation functions (ACF), calculated from several simulated electron density paths (EDP). Each simulated electron density path was stored into a real valued vector of length, </w:t>
      </w:r>
      <w:r w:rsidRPr="00150A31">
        <w:rPr>
          <w:i/>
          <w:iCs/>
          <w:lang w:val="en-GB"/>
        </w:rPr>
        <w:t>L</w:t>
      </w:r>
      <w:r w:rsidRPr="00150A31">
        <w:rPr>
          <w:i/>
          <w:iCs/>
          <w:vertAlign w:val="subscript"/>
          <w:lang w:val="en-GB"/>
        </w:rPr>
        <w:t>EDP</w:t>
      </w:r>
      <w:r w:rsidRPr="00150A31">
        <w:rPr>
          <w:lang w:val="en-GB"/>
        </w:rPr>
        <w:t xml:space="preserve">. Because of their real valued-ness, the Fourier transform of an EDP are Hermitian and the corresponding autocorrelation function became real-valued and symmetric (Press et al. 1992). Consequently, in subsequent calculation it was enough to use only half of the simulated autocorrelation function. In this work only values from the positive half of the autocorrelation functions were added to generate the ACF, once the </w:t>
      </w:r>
      <w:r w:rsidRPr="00150A31">
        <w:rPr>
          <w:i/>
          <w:iCs/>
          <w:lang w:val="en-GB"/>
        </w:rPr>
        <w:t>L</w:t>
      </w:r>
      <w:r w:rsidRPr="00150A31">
        <w:rPr>
          <w:i/>
          <w:iCs/>
          <w:vertAlign w:val="subscript"/>
          <w:lang w:val="en-GB"/>
        </w:rPr>
        <w:t>EDP</w:t>
      </w:r>
      <w:r w:rsidRPr="00150A31">
        <w:rPr>
          <w:lang w:val="en-GB"/>
        </w:rPr>
        <w:t xml:space="preserve"> was given the </w:t>
      </w:r>
      <w:r w:rsidRPr="00150A31">
        <w:rPr>
          <w:i/>
          <w:iCs/>
          <w:lang w:val="en-GB"/>
        </w:rPr>
        <w:t>L</w:t>
      </w:r>
      <w:r w:rsidRPr="00150A31">
        <w:rPr>
          <w:i/>
          <w:iCs/>
          <w:vertAlign w:val="subscript"/>
          <w:lang w:val="en-GB"/>
        </w:rPr>
        <w:t>ACF</w:t>
      </w:r>
      <w:r w:rsidRPr="00150A31">
        <w:rPr>
          <w:lang w:val="en-GB"/>
        </w:rPr>
        <w:t xml:space="preserve"> was implied</w:t>
      </w:r>
      <w:r w:rsidR="0048542D">
        <w:rPr>
          <w:lang w:val="en-GB"/>
        </w:rPr>
        <w:t xml:space="preserve"> (</w:t>
      </w:r>
      <w:r w:rsidR="0048542D" w:rsidRPr="00150A31">
        <w:rPr>
          <w:i/>
          <w:iCs/>
          <w:lang w:val="en-GB"/>
        </w:rPr>
        <w:t>L</w:t>
      </w:r>
      <w:r w:rsidR="0048542D" w:rsidRPr="00150A31">
        <w:rPr>
          <w:i/>
          <w:iCs/>
          <w:vertAlign w:val="subscript"/>
          <w:lang w:val="en-GB"/>
        </w:rPr>
        <w:t>ACF</w:t>
      </w:r>
      <w:r w:rsidR="0048542D">
        <w:rPr>
          <w:i/>
          <w:iCs/>
          <w:vertAlign w:val="subscript"/>
          <w:lang w:val="en-GB"/>
        </w:rPr>
        <w:t xml:space="preserve"> </w:t>
      </w:r>
      <w:r w:rsidR="0048542D">
        <w:rPr>
          <w:lang w:val="en-GB"/>
        </w:rPr>
        <w:t xml:space="preserve">= </w:t>
      </w:r>
      <w:r w:rsidR="0048542D" w:rsidRPr="00150A31">
        <w:rPr>
          <w:i/>
          <w:iCs/>
          <w:lang w:val="en-GB"/>
        </w:rPr>
        <w:t>L</w:t>
      </w:r>
      <w:r w:rsidR="0048542D" w:rsidRPr="00150A31">
        <w:rPr>
          <w:i/>
          <w:iCs/>
          <w:vertAlign w:val="subscript"/>
          <w:lang w:val="en-GB"/>
        </w:rPr>
        <w:t>EDP</w:t>
      </w:r>
      <w:r w:rsidR="0048542D">
        <w:rPr>
          <w:lang w:val="en-GB"/>
        </w:rPr>
        <w:t>/2)</w:t>
      </w:r>
      <w:r w:rsidRPr="00150A31">
        <w:rPr>
          <w:lang w:val="en-GB"/>
        </w:rPr>
        <w:t>.</w:t>
      </w:r>
    </w:p>
    <w:p w14:paraId="4EB4AA2C" w14:textId="77777777" w:rsidR="003619B3" w:rsidRPr="00150A31" w:rsidRDefault="003619B3" w:rsidP="003619B3">
      <w:pPr>
        <w:rPr>
          <w:lang w:val="en-GB"/>
        </w:rPr>
      </w:pPr>
      <w:r w:rsidRPr="00150A31">
        <w:rPr>
          <w:lang w:val="en-GB"/>
        </w:rPr>
        <w:lastRenderedPageBreak/>
        <w:t xml:space="preserve">The calculation of the autocorrelation function utilized numerical routines based on the discrete Fourier transform (DFT) (Press et al. 1992) because of its numerical efficiency. A requirement of the DFT is that all input vectors have lengths that are integer powers of 2, this was implemented in the software developed. </w:t>
      </w:r>
    </w:p>
    <w:p w14:paraId="03F14B94" w14:textId="77777777" w:rsidR="003619B3" w:rsidRPr="00150A31" w:rsidRDefault="003619B3" w:rsidP="003619B3">
      <w:pPr>
        <w:rPr>
          <w:lang w:val="en-GB"/>
        </w:rPr>
      </w:pPr>
      <w:r w:rsidRPr="00150A31">
        <w:rPr>
          <w:lang w:val="en-GB"/>
        </w:rPr>
        <w:t xml:space="preserve">At large distances, the autocorrelation function decays to the average electron density squared, Equation [S3]. To obtain an estimate of the spatial correlation function (SCF) needed for the calculation of scattered intensity, a numerical estimate of </w:t>
      </w:r>
      <w:r w:rsidRPr="00150A31">
        <w:rPr>
          <w:i/>
          <w:iCs/>
          <w:lang w:val="en-GB"/>
        </w:rPr>
        <w:t>h(</w:t>
      </w:r>
      <w:r w:rsidRPr="00150A31">
        <w:rPr>
          <w:rFonts w:cstheme="minorHAnsi"/>
          <w:i/>
          <w:iCs/>
          <w:lang w:val="en-GB"/>
        </w:rPr>
        <w:t>∞</w:t>
      </w:r>
      <w:r w:rsidRPr="00150A31">
        <w:rPr>
          <w:i/>
          <w:iCs/>
          <w:lang w:val="en-GB"/>
        </w:rPr>
        <w:t>)</w:t>
      </w:r>
      <w:r w:rsidRPr="00150A31">
        <w:rPr>
          <w:lang w:val="en-GB"/>
        </w:rPr>
        <w:t xml:space="preserve"> = </w:t>
      </w:r>
      <w:r w:rsidRPr="00150A31">
        <w:rPr>
          <w:i/>
          <w:iCs/>
          <w:lang w:val="en-GB"/>
        </w:rPr>
        <w:t>&lt;</w:t>
      </w:r>
      <w:r w:rsidRPr="00150A31">
        <w:rPr>
          <w:rFonts w:ascii="Symbol" w:hAnsi="Symbol"/>
          <w:i/>
          <w:iCs/>
          <w:lang w:val="en-GB"/>
        </w:rPr>
        <w:t></w:t>
      </w:r>
      <w:r w:rsidRPr="00150A31">
        <w:rPr>
          <w:i/>
          <w:iCs/>
          <w:lang w:val="en-GB"/>
        </w:rPr>
        <w:t>&gt;&lt;</w:t>
      </w:r>
      <w:r w:rsidRPr="00150A31">
        <w:rPr>
          <w:rFonts w:ascii="Symbol" w:hAnsi="Symbol"/>
          <w:i/>
          <w:iCs/>
          <w:lang w:val="en-GB"/>
        </w:rPr>
        <w:t></w:t>
      </w:r>
      <w:r w:rsidRPr="00150A31">
        <w:rPr>
          <w:i/>
          <w:iCs/>
          <w:lang w:val="en-GB"/>
        </w:rPr>
        <w:t>&gt;</w:t>
      </w:r>
      <w:r w:rsidRPr="00150A31">
        <w:rPr>
          <w:lang w:val="en-GB"/>
        </w:rPr>
        <w:t xml:space="preserve"> (Equation [S3]) was obtained from the last element (the least correlated) in the vector containing the numerical estimate of the ACF, the vector element with index </w:t>
      </w:r>
      <w:r w:rsidRPr="00150A31">
        <w:rPr>
          <w:i/>
          <w:iCs/>
          <w:lang w:val="en-GB"/>
        </w:rPr>
        <w:t>L</w:t>
      </w:r>
      <w:r w:rsidRPr="00150A31">
        <w:rPr>
          <w:i/>
          <w:iCs/>
          <w:vertAlign w:val="subscript"/>
          <w:lang w:val="en-GB"/>
        </w:rPr>
        <w:t>SCF</w:t>
      </w:r>
      <w:r w:rsidRPr="00150A31">
        <w:rPr>
          <w:i/>
          <w:iCs/>
          <w:lang w:val="en-GB"/>
        </w:rPr>
        <w:t>-1</w:t>
      </w:r>
      <w:r w:rsidRPr="00150A31">
        <w:rPr>
          <w:lang w:val="en-GB"/>
        </w:rPr>
        <w:t xml:space="preserve">. Subtraction of this value from all elements in the ACF vector was used as an estimate of the sought SCF, with both vectors, ACF and SCF, having the same length, </w:t>
      </w:r>
      <w:r w:rsidRPr="00150A31">
        <w:rPr>
          <w:i/>
          <w:iCs/>
          <w:lang w:val="en-GB"/>
        </w:rPr>
        <w:t>L</w:t>
      </w:r>
      <w:r w:rsidRPr="00150A31">
        <w:rPr>
          <w:i/>
          <w:iCs/>
          <w:vertAlign w:val="subscript"/>
          <w:lang w:val="en-GB"/>
        </w:rPr>
        <w:t>ACF</w:t>
      </w:r>
      <w:r w:rsidRPr="00150A31">
        <w:rPr>
          <w:lang w:val="en-GB"/>
        </w:rPr>
        <w:t xml:space="preserve"> = </w:t>
      </w:r>
      <w:r w:rsidRPr="00150A31">
        <w:rPr>
          <w:i/>
          <w:iCs/>
          <w:lang w:val="en-GB"/>
        </w:rPr>
        <w:t>L</w:t>
      </w:r>
      <w:r w:rsidRPr="00150A31">
        <w:rPr>
          <w:i/>
          <w:iCs/>
          <w:vertAlign w:val="subscript"/>
          <w:lang w:val="en-GB"/>
        </w:rPr>
        <w:t>SCF</w:t>
      </w:r>
      <w:r w:rsidRPr="00150A31">
        <w:rPr>
          <w:lang w:val="en-GB"/>
        </w:rPr>
        <w:t>.</w:t>
      </w:r>
    </w:p>
    <w:p w14:paraId="5AED2E54" w14:textId="77777777" w:rsidR="003619B3" w:rsidRPr="00150A31" w:rsidRDefault="003619B3" w:rsidP="003619B3">
      <w:pPr>
        <w:rPr>
          <w:lang w:val="en-GB"/>
        </w:rPr>
      </w:pPr>
      <w:r w:rsidRPr="00150A31">
        <w:rPr>
          <w:lang w:val="en-GB"/>
        </w:rPr>
        <w:t xml:space="preserve">Once a numerical estimate was obtained for the SCF, </w:t>
      </w:r>
      <w:r w:rsidRPr="00150A31">
        <w:rPr>
          <w:i/>
          <w:iCs/>
          <w:lang w:val="en-GB"/>
        </w:rPr>
        <w:t>g</w:t>
      </w:r>
      <w:r w:rsidRPr="00150A31">
        <w:rPr>
          <w:i/>
          <w:iCs/>
          <w:vertAlign w:val="subscript"/>
          <w:lang w:val="en-GB"/>
        </w:rPr>
        <w:t>n</w:t>
      </w:r>
      <w:r w:rsidRPr="00150A31">
        <w:rPr>
          <w:lang w:val="en-GB"/>
        </w:rPr>
        <w:t xml:space="preserve"> in Equation [S4], numerical calculation of the scattered intensities became possible by use of Equation [S4].</w:t>
      </w:r>
    </w:p>
    <w:p w14:paraId="581723E2" w14:textId="77777777" w:rsidR="003619B3" w:rsidRPr="00150A31" w:rsidRDefault="003619B3" w:rsidP="003619B3">
      <w:pPr>
        <w:rPr>
          <w:lang w:val="en-GB"/>
        </w:rPr>
      </w:pPr>
      <w:r w:rsidRPr="00150A31">
        <w:rPr>
          <w:lang w:val="en-GB"/>
        </w:rPr>
        <w:t xml:space="preserve">The algorithm used in this work for simulating SAXS intensity profiles for a two-component system is described below. Once the numerical values of the input parameters were defined, the generation of SAXS intensity profiles, </w:t>
      </w:r>
      <w:r w:rsidRPr="00150A31">
        <w:rPr>
          <w:i/>
          <w:iCs/>
          <w:lang w:val="en-GB"/>
        </w:rPr>
        <w:t>I</w:t>
      </w:r>
      <w:r w:rsidRPr="00150A31">
        <w:rPr>
          <w:i/>
          <w:iCs/>
          <w:vertAlign w:val="subscript"/>
          <w:lang w:val="en-GB"/>
        </w:rPr>
        <w:t>k</w:t>
      </w:r>
      <w:r w:rsidRPr="00150A31">
        <w:rPr>
          <w:i/>
          <w:iCs/>
          <w:lang w:val="en-GB"/>
        </w:rPr>
        <w:t>(q)</w:t>
      </w:r>
      <w:r w:rsidRPr="00150A31">
        <w:rPr>
          <w:lang w:val="en-GB"/>
        </w:rPr>
        <w:t xml:space="preserve">, was performed using the following steps: </w:t>
      </w:r>
    </w:p>
    <w:p w14:paraId="0AC86700" w14:textId="77777777" w:rsidR="003619B3" w:rsidRPr="00150A31" w:rsidRDefault="003619B3" w:rsidP="003619B3">
      <w:pPr>
        <w:pStyle w:val="Liststycke"/>
        <w:numPr>
          <w:ilvl w:val="0"/>
          <w:numId w:val="1"/>
        </w:numPr>
        <w:rPr>
          <w:lang w:val="en-GB"/>
        </w:rPr>
      </w:pPr>
      <w:r w:rsidRPr="00150A31">
        <w:rPr>
          <w:lang w:val="en-GB"/>
        </w:rPr>
        <w:t xml:space="preserve">Generation of a pseudo-random electron density path (EDP) of length </w:t>
      </w:r>
      <w:r w:rsidRPr="00150A31">
        <w:rPr>
          <w:i/>
          <w:iCs/>
          <w:lang w:val="en-GB"/>
        </w:rPr>
        <w:t>L</w:t>
      </w:r>
      <w:r w:rsidRPr="00150A31">
        <w:rPr>
          <w:i/>
          <w:iCs/>
          <w:vertAlign w:val="subscript"/>
          <w:lang w:val="en-GB"/>
        </w:rPr>
        <w:t>EDP</w:t>
      </w:r>
      <w:r w:rsidRPr="00150A31">
        <w:rPr>
          <w:lang w:val="en-GB"/>
        </w:rPr>
        <w:t>.</w:t>
      </w:r>
    </w:p>
    <w:p w14:paraId="452432EE" w14:textId="77777777" w:rsidR="003619B3" w:rsidRPr="00150A31" w:rsidRDefault="003619B3" w:rsidP="003619B3">
      <w:pPr>
        <w:pStyle w:val="Liststycke"/>
        <w:numPr>
          <w:ilvl w:val="0"/>
          <w:numId w:val="1"/>
        </w:numPr>
        <w:rPr>
          <w:lang w:val="en-GB"/>
        </w:rPr>
      </w:pPr>
      <w:r w:rsidRPr="00150A31">
        <w:rPr>
          <w:lang w:val="en-GB"/>
        </w:rPr>
        <w:t xml:space="preserve">Calculation of the autocorrelation function of the EDP, length </w:t>
      </w:r>
      <w:r w:rsidRPr="00150A31">
        <w:rPr>
          <w:i/>
          <w:iCs/>
          <w:lang w:val="en-GB"/>
        </w:rPr>
        <w:t>L</w:t>
      </w:r>
      <w:r w:rsidRPr="00150A31">
        <w:rPr>
          <w:i/>
          <w:iCs/>
          <w:vertAlign w:val="subscript"/>
          <w:lang w:val="en-GB"/>
        </w:rPr>
        <w:t>SCF</w:t>
      </w:r>
      <w:r w:rsidRPr="00150A31">
        <w:rPr>
          <w:lang w:val="en-GB"/>
        </w:rPr>
        <w:t>.</w:t>
      </w:r>
    </w:p>
    <w:p w14:paraId="18C2BCB0" w14:textId="77777777" w:rsidR="003619B3" w:rsidRPr="00150A31" w:rsidRDefault="003619B3" w:rsidP="003619B3">
      <w:pPr>
        <w:pStyle w:val="Liststycke"/>
        <w:numPr>
          <w:ilvl w:val="0"/>
          <w:numId w:val="1"/>
        </w:numPr>
        <w:rPr>
          <w:lang w:val="en-GB"/>
        </w:rPr>
      </w:pPr>
      <w:r w:rsidRPr="00150A31">
        <w:rPr>
          <w:lang w:val="en-GB"/>
        </w:rPr>
        <w:t xml:space="preserve">Accumulate a large number, </w:t>
      </w:r>
      <w:r w:rsidRPr="00150A31">
        <w:rPr>
          <w:i/>
          <w:iCs/>
          <w:lang w:val="en-GB"/>
        </w:rPr>
        <w:t>N</w:t>
      </w:r>
      <w:r w:rsidRPr="00150A31">
        <w:rPr>
          <w:i/>
          <w:iCs/>
          <w:vertAlign w:val="subscript"/>
          <w:lang w:val="en-GB"/>
        </w:rPr>
        <w:t>EDP,</w:t>
      </w:r>
      <w:r w:rsidRPr="00150A31">
        <w:rPr>
          <w:lang w:val="en-GB"/>
        </w:rPr>
        <w:t xml:space="preserve"> of autocorrelation functions by repeating steps 1 and 2, resulting in a numerical estimate of the autocorrelation function </w:t>
      </w:r>
      <w:r w:rsidRPr="00150A31">
        <w:rPr>
          <w:i/>
          <w:iCs/>
          <w:lang w:val="en-GB"/>
        </w:rPr>
        <w:t>h</w:t>
      </w:r>
      <w:r w:rsidRPr="00150A31">
        <w:rPr>
          <w:i/>
          <w:iCs/>
          <w:vertAlign w:val="subscript"/>
          <w:lang w:val="en-GB"/>
        </w:rPr>
        <w:t>n</w:t>
      </w:r>
      <w:r w:rsidRPr="00150A31">
        <w:rPr>
          <w:lang w:val="en-GB"/>
        </w:rPr>
        <w:t>.</w:t>
      </w:r>
    </w:p>
    <w:p w14:paraId="01CD78D1" w14:textId="77777777" w:rsidR="003619B3" w:rsidRPr="00150A31" w:rsidRDefault="003619B3" w:rsidP="003619B3">
      <w:pPr>
        <w:pStyle w:val="Liststycke"/>
        <w:numPr>
          <w:ilvl w:val="0"/>
          <w:numId w:val="1"/>
        </w:numPr>
        <w:rPr>
          <w:lang w:val="en-GB"/>
        </w:rPr>
      </w:pPr>
      <w:r w:rsidRPr="00150A31">
        <w:rPr>
          <w:lang w:val="en-GB"/>
        </w:rPr>
        <w:t xml:space="preserve">Subtract an estimate of the average electron density squared from </w:t>
      </w:r>
      <w:r w:rsidRPr="00150A31">
        <w:rPr>
          <w:i/>
          <w:iCs/>
          <w:lang w:val="en-GB"/>
        </w:rPr>
        <w:t>h</w:t>
      </w:r>
      <w:r w:rsidRPr="00150A31">
        <w:rPr>
          <w:i/>
          <w:iCs/>
          <w:vertAlign w:val="subscript"/>
          <w:lang w:val="en-GB"/>
        </w:rPr>
        <w:t>n</w:t>
      </w:r>
      <w:r w:rsidRPr="00150A31">
        <w:rPr>
          <w:lang w:val="en-GB"/>
        </w:rPr>
        <w:t xml:space="preserve">, giving a numerical estimate of the spatial correlation function (SCF) </w:t>
      </w:r>
      <w:r w:rsidRPr="00150A31">
        <w:rPr>
          <w:rFonts w:asciiTheme="majorHAnsi" w:hAnsiTheme="majorHAnsi" w:cstheme="majorHAnsi"/>
          <w:i/>
          <w:iCs/>
          <w:lang w:val="en-GB"/>
        </w:rPr>
        <w:t>g</w:t>
      </w:r>
      <w:r w:rsidRPr="00150A31">
        <w:rPr>
          <w:rFonts w:asciiTheme="majorHAnsi" w:hAnsiTheme="majorHAnsi" w:cstheme="majorHAnsi"/>
          <w:i/>
          <w:iCs/>
          <w:vertAlign w:val="subscript"/>
          <w:lang w:val="en-GB"/>
        </w:rPr>
        <w:t>n</w:t>
      </w:r>
      <w:r w:rsidRPr="00150A31">
        <w:rPr>
          <w:lang w:val="en-GB"/>
        </w:rPr>
        <w:t xml:space="preserve"> </w:t>
      </w:r>
    </w:p>
    <w:p w14:paraId="42A0AB57" w14:textId="77777777" w:rsidR="003619B3" w:rsidRPr="00150A31" w:rsidRDefault="003619B3" w:rsidP="003619B3">
      <w:pPr>
        <w:pStyle w:val="Liststycke"/>
        <w:numPr>
          <w:ilvl w:val="0"/>
          <w:numId w:val="1"/>
        </w:numPr>
        <w:rPr>
          <w:lang w:val="en-GB"/>
        </w:rPr>
      </w:pPr>
      <w:r w:rsidRPr="00150A31">
        <w:rPr>
          <w:lang w:val="en-GB"/>
        </w:rPr>
        <w:t xml:space="preserve">Calculation of the scattering intensity by numerical integration (trapezoid) using Equation [S4] with different </w:t>
      </w:r>
      <w:r w:rsidRPr="00150A31">
        <w:rPr>
          <w:i/>
          <w:iCs/>
          <w:lang w:val="en-GB"/>
        </w:rPr>
        <w:t>q</w:t>
      </w:r>
      <w:r w:rsidRPr="00150A31">
        <w:rPr>
          <w:lang w:val="en-GB"/>
        </w:rPr>
        <w:t>-values.</w:t>
      </w:r>
    </w:p>
    <w:p w14:paraId="6A638BA1" w14:textId="1E933E1B" w:rsidR="003619B3" w:rsidRDefault="003619B3" w:rsidP="003619B3">
      <w:pPr>
        <w:rPr>
          <w:lang w:val="en-GB"/>
        </w:rPr>
      </w:pPr>
      <w:r w:rsidRPr="00150A31">
        <w:rPr>
          <w:lang w:val="en-GB"/>
        </w:rPr>
        <w:t>Typical input parameters, used for the SAXS intensity profile simulation algorithm, is listed in Table S1, each step in the simulation algorithm outlined above will be discussed in some more detail in the following text.</w:t>
      </w:r>
    </w:p>
    <w:p w14:paraId="11C2480F" w14:textId="65532E68" w:rsidR="00903949" w:rsidRDefault="00903949" w:rsidP="003619B3">
      <w:pPr>
        <w:rPr>
          <w:lang w:val="en-GB"/>
        </w:rPr>
      </w:pPr>
    </w:p>
    <w:p w14:paraId="43282625" w14:textId="3503E217" w:rsidR="00903949" w:rsidRDefault="00903949" w:rsidP="00903949">
      <w:pPr>
        <w:pStyle w:val="tablelegend"/>
        <w:rPr>
          <w:lang w:val="en-GB"/>
        </w:rPr>
      </w:pPr>
      <w:r w:rsidRPr="00150A31">
        <w:rPr>
          <w:lang w:val="en-GB"/>
        </w:rPr>
        <w:t>Table S1. The input parameters for the program used to simulate SAXS intensity profiles.</w:t>
      </w:r>
    </w:p>
    <w:tbl>
      <w:tblPr>
        <w:tblStyle w:val="Tabellrutnt"/>
        <w:tblW w:w="0" w:type="auto"/>
        <w:tblLook w:val="04A0" w:firstRow="1" w:lastRow="0" w:firstColumn="1" w:lastColumn="0" w:noHBand="0" w:noVBand="1"/>
      </w:tblPr>
      <w:tblGrid>
        <w:gridCol w:w="2638"/>
        <w:gridCol w:w="3638"/>
        <w:gridCol w:w="1651"/>
      </w:tblGrid>
      <w:tr w:rsidR="00903949" w:rsidRPr="005C63B1" w14:paraId="36324D3D" w14:textId="77777777" w:rsidTr="00FD6070">
        <w:tc>
          <w:tcPr>
            <w:tcW w:w="3005" w:type="dxa"/>
          </w:tcPr>
          <w:p w14:paraId="774D5B4F" w14:textId="77777777" w:rsidR="00903949" w:rsidRPr="00903949" w:rsidRDefault="00903949" w:rsidP="00903949">
            <w:pPr>
              <w:pStyle w:val="Ingetavstnd"/>
              <w:rPr>
                <w:b/>
                <w:bCs/>
                <w:lang w:val="en-GB"/>
              </w:rPr>
            </w:pPr>
            <w:r w:rsidRPr="00903949">
              <w:rPr>
                <w:b/>
                <w:bCs/>
                <w:lang w:val="en-GB"/>
              </w:rPr>
              <w:t>Parameter</w:t>
            </w:r>
          </w:p>
        </w:tc>
        <w:tc>
          <w:tcPr>
            <w:tcW w:w="4220" w:type="dxa"/>
          </w:tcPr>
          <w:p w14:paraId="6DB4ED51" w14:textId="77777777" w:rsidR="00903949" w:rsidRPr="00903949" w:rsidRDefault="00903949" w:rsidP="00903949">
            <w:pPr>
              <w:pStyle w:val="Ingetavstnd"/>
              <w:rPr>
                <w:b/>
                <w:bCs/>
                <w:lang w:val="en-GB"/>
              </w:rPr>
            </w:pPr>
            <w:r w:rsidRPr="00903949">
              <w:rPr>
                <w:b/>
                <w:bCs/>
                <w:lang w:val="en-GB"/>
              </w:rPr>
              <w:t>Explanation</w:t>
            </w:r>
          </w:p>
        </w:tc>
        <w:tc>
          <w:tcPr>
            <w:tcW w:w="1791" w:type="dxa"/>
          </w:tcPr>
          <w:p w14:paraId="510133F0" w14:textId="77777777" w:rsidR="00903949" w:rsidRPr="00903949" w:rsidRDefault="00903949" w:rsidP="00903949">
            <w:pPr>
              <w:pStyle w:val="Ingetavstnd"/>
              <w:rPr>
                <w:b/>
                <w:bCs/>
                <w:lang w:val="en-GB"/>
              </w:rPr>
            </w:pPr>
            <w:r w:rsidRPr="00903949">
              <w:rPr>
                <w:b/>
                <w:bCs/>
                <w:lang w:val="en-GB"/>
              </w:rPr>
              <w:t>Typical values used in this work</w:t>
            </w:r>
          </w:p>
        </w:tc>
      </w:tr>
      <w:tr w:rsidR="00903949" w:rsidRPr="00150A31" w14:paraId="12BFD848" w14:textId="77777777" w:rsidTr="00FD6070">
        <w:tc>
          <w:tcPr>
            <w:tcW w:w="3005" w:type="dxa"/>
          </w:tcPr>
          <w:p w14:paraId="42C9E8D6" w14:textId="77777777" w:rsidR="00903949" w:rsidRPr="00150A31" w:rsidRDefault="00903949" w:rsidP="00903949">
            <w:pPr>
              <w:pStyle w:val="Ingetavstnd"/>
              <w:rPr>
                <w:i/>
                <w:iCs/>
                <w:lang w:val="en-GB"/>
              </w:rPr>
            </w:pPr>
            <w:r w:rsidRPr="00150A31">
              <w:rPr>
                <w:i/>
                <w:iCs/>
                <w:lang w:val="en-GB"/>
              </w:rPr>
              <w:lastRenderedPageBreak/>
              <w:t>L</w:t>
            </w:r>
            <w:r w:rsidRPr="00150A31">
              <w:rPr>
                <w:i/>
                <w:iCs/>
                <w:vertAlign w:val="subscript"/>
                <w:lang w:val="en-GB"/>
              </w:rPr>
              <w:t>EDP</w:t>
            </w:r>
          </w:p>
        </w:tc>
        <w:tc>
          <w:tcPr>
            <w:tcW w:w="4220" w:type="dxa"/>
          </w:tcPr>
          <w:p w14:paraId="56F6451D" w14:textId="77777777" w:rsidR="00903949" w:rsidRPr="00150A31" w:rsidRDefault="00903949" w:rsidP="00903949">
            <w:pPr>
              <w:pStyle w:val="Ingetavstnd"/>
              <w:rPr>
                <w:lang w:val="en-GB"/>
              </w:rPr>
            </w:pPr>
            <w:r w:rsidRPr="00150A31">
              <w:rPr>
                <w:lang w:val="en-GB"/>
              </w:rPr>
              <w:t>Length of the electron density path vector (vector elements)</w:t>
            </w:r>
          </w:p>
        </w:tc>
        <w:tc>
          <w:tcPr>
            <w:tcW w:w="1791" w:type="dxa"/>
          </w:tcPr>
          <w:p w14:paraId="40C64E8A" w14:textId="77777777" w:rsidR="00903949" w:rsidRPr="00150A31" w:rsidRDefault="00903949" w:rsidP="00903949">
            <w:pPr>
              <w:pStyle w:val="Ingetavstnd"/>
              <w:rPr>
                <w:lang w:val="en-GB"/>
              </w:rPr>
            </w:pPr>
            <w:r w:rsidRPr="00150A31">
              <w:rPr>
                <w:lang w:val="en-GB"/>
              </w:rPr>
              <w:t>8192</w:t>
            </w:r>
          </w:p>
        </w:tc>
      </w:tr>
      <w:tr w:rsidR="00903949" w:rsidRPr="00150A31" w14:paraId="3D27C5F1" w14:textId="77777777" w:rsidTr="00FD6070">
        <w:tc>
          <w:tcPr>
            <w:tcW w:w="3005" w:type="dxa"/>
          </w:tcPr>
          <w:p w14:paraId="64D8F4F5" w14:textId="77777777" w:rsidR="00903949" w:rsidRPr="00150A31" w:rsidRDefault="00903949" w:rsidP="00903949">
            <w:pPr>
              <w:pStyle w:val="Ingetavstnd"/>
              <w:rPr>
                <w:i/>
                <w:iCs/>
                <w:lang w:val="en-GB"/>
              </w:rPr>
            </w:pPr>
            <w:r w:rsidRPr="00150A31">
              <w:rPr>
                <w:i/>
                <w:iCs/>
                <w:lang w:val="en-GB"/>
              </w:rPr>
              <w:t>S</w:t>
            </w:r>
            <w:r w:rsidRPr="00150A31">
              <w:rPr>
                <w:i/>
                <w:iCs/>
                <w:vertAlign w:val="subscript"/>
                <w:lang w:val="en-GB"/>
              </w:rPr>
              <w:t>MAX</w:t>
            </w:r>
          </w:p>
        </w:tc>
        <w:tc>
          <w:tcPr>
            <w:tcW w:w="4220" w:type="dxa"/>
          </w:tcPr>
          <w:p w14:paraId="723A3AAF" w14:textId="77777777" w:rsidR="00903949" w:rsidRPr="00150A31" w:rsidRDefault="00903949" w:rsidP="00903949">
            <w:pPr>
              <w:pStyle w:val="Ingetavstnd"/>
              <w:rPr>
                <w:lang w:val="en-GB"/>
              </w:rPr>
            </w:pPr>
            <w:r w:rsidRPr="00150A31">
              <w:rPr>
                <w:lang w:val="en-GB"/>
              </w:rPr>
              <w:t>Maximum segment size (vector elements)</w:t>
            </w:r>
          </w:p>
        </w:tc>
        <w:tc>
          <w:tcPr>
            <w:tcW w:w="1791" w:type="dxa"/>
          </w:tcPr>
          <w:p w14:paraId="3EEA4A0E" w14:textId="77777777" w:rsidR="00903949" w:rsidRPr="00150A31" w:rsidRDefault="00903949" w:rsidP="00903949">
            <w:pPr>
              <w:pStyle w:val="Ingetavstnd"/>
              <w:rPr>
                <w:lang w:val="en-GB"/>
              </w:rPr>
            </w:pPr>
            <w:r w:rsidRPr="00150A31">
              <w:rPr>
                <w:lang w:val="en-GB"/>
              </w:rPr>
              <w:t>600 - 800</w:t>
            </w:r>
          </w:p>
        </w:tc>
      </w:tr>
      <w:tr w:rsidR="00903949" w:rsidRPr="00150A31" w14:paraId="32FC3D63" w14:textId="77777777" w:rsidTr="00FD6070">
        <w:tc>
          <w:tcPr>
            <w:tcW w:w="3005" w:type="dxa"/>
          </w:tcPr>
          <w:p w14:paraId="39E173A3" w14:textId="77777777" w:rsidR="00903949" w:rsidRPr="00150A31" w:rsidRDefault="00903949" w:rsidP="00903949">
            <w:pPr>
              <w:pStyle w:val="Ingetavstnd"/>
              <w:rPr>
                <w:i/>
                <w:iCs/>
                <w:lang w:val="en-GB"/>
              </w:rPr>
            </w:pPr>
            <w:r w:rsidRPr="00150A31">
              <w:rPr>
                <w:i/>
                <w:iCs/>
                <w:lang w:val="en-GB"/>
              </w:rPr>
              <w:t>N</w:t>
            </w:r>
            <w:r w:rsidRPr="00150A31">
              <w:rPr>
                <w:i/>
                <w:iCs/>
                <w:vertAlign w:val="subscript"/>
                <w:lang w:val="en-GB"/>
              </w:rPr>
              <w:t>EDP</w:t>
            </w:r>
          </w:p>
        </w:tc>
        <w:tc>
          <w:tcPr>
            <w:tcW w:w="4220" w:type="dxa"/>
          </w:tcPr>
          <w:p w14:paraId="191DF9D3" w14:textId="77777777" w:rsidR="00903949" w:rsidRPr="00150A31" w:rsidRDefault="00903949" w:rsidP="00903949">
            <w:pPr>
              <w:pStyle w:val="Ingetavstnd"/>
              <w:rPr>
                <w:lang w:val="en-GB"/>
              </w:rPr>
            </w:pPr>
            <w:r w:rsidRPr="00150A31">
              <w:rPr>
                <w:lang w:val="en-GB"/>
              </w:rPr>
              <w:t>Number generated electron density paths</w:t>
            </w:r>
          </w:p>
        </w:tc>
        <w:tc>
          <w:tcPr>
            <w:tcW w:w="1791" w:type="dxa"/>
          </w:tcPr>
          <w:p w14:paraId="2E05E3AD" w14:textId="77777777" w:rsidR="00903949" w:rsidRPr="00150A31" w:rsidRDefault="00903949" w:rsidP="00903949">
            <w:pPr>
              <w:pStyle w:val="Ingetavstnd"/>
              <w:rPr>
                <w:lang w:val="en-GB"/>
              </w:rPr>
            </w:pPr>
            <w:r w:rsidRPr="00150A31">
              <w:rPr>
                <w:lang w:val="en-GB"/>
              </w:rPr>
              <w:t>10</w:t>
            </w:r>
            <w:r w:rsidRPr="00150A31">
              <w:rPr>
                <w:vertAlign w:val="superscript"/>
                <w:lang w:val="en-GB"/>
              </w:rPr>
              <w:t>8</w:t>
            </w:r>
          </w:p>
        </w:tc>
      </w:tr>
      <w:tr w:rsidR="00903949" w:rsidRPr="00150A31" w14:paraId="30911DE9" w14:textId="77777777" w:rsidTr="00FD6070">
        <w:tc>
          <w:tcPr>
            <w:tcW w:w="3005" w:type="dxa"/>
          </w:tcPr>
          <w:p w14:paraId="11CBDB21" w14:textId="77777777" w:rsidR="00903949" w:rsidRPr="00150A31" w:rsidRDefault="00903949" w:rsidP="00903949">
            <w:pPr>
              <w:pStyle w:val="Ingetavstnd"/>
              <w:rPr>
                <w:i/>
                <w:iCs/>
                <w:lang w:val="en-GB"/>
              </w:rPr>
            </w:pPr>
            <w:r w:rsidRPr="00150A31">
              <w:rPr>
                <w:i/>
                <w:iCs/>
                <w:lang w:val="en-GB"/>
              </w:rPr>
              <w:t>e</w:t>
            </w:r>
            <w:r w:rsidRPr="00150A31">
              <w:rPr>
                <w:i/>
                <w:iCs/>
                <w:vertAlign w:val="subscript"/>
                <w:lang w:val="en-GB"/>
              </w:rPr>
              <w:t>LO</w:t>
            </w:r>
          </w:p>
        </w:tc>
        <w:tc>
          <w:tcPr>
            <w:tcW w:w="4220" w:type="dxa"/>
          </w:tcPr>
          <w:p w14:paraId="54A2447F" w14:textId="77777777" w:rsidR="00903949" w:rsidRPr="00150A31" w:rsidRDefault="00903949" w:rsidP="00903949">
            <w:pPr>
              <w:pStyle w:val="Ingetavstnd"/>
              <w:rPr>
                <w:lang w:val="en-GB"/>
              </w:rPr>
            </w:pPr>
            <w:r w:rsidRPr="00150A31">
              <w:rPr>
                <w:lang w:val="en-GB"/>
              </w:rPr>
              <w:t>Electron density, low value (a.u.)</w:t>
            </w:r>
          </w:p>
        </w:tc>
        <w:tc>
          <w:tcPr>
            <w:tcW w:w="1791" w:type="dxa"/>
          </w:tcPr>
          <w:p w14:paraId="702AAF39" w14:textId="77777777" w:rsidR="00903949" w:rsidRPr="00150A31" w:rsidRDefault="00903949" w:rsidP="00903949">
            <w:pPr>
              <w:pStyle w:val="Ingetavstnd"/>
              <w:rPr>
                <w:lang w:val="en-GB"/>
              </w:rPr>
            </w:pPr>
            <w:r w:rsidRPr="00150A31">
              <w:rPr>
                <w:lang w:val="en-GB"/>
              </w:rPr>
              <w:t>0.0 or 1.0</w:t>
            </w:r>
          </w:p>
        </w:tc>
      </w:tr>
      <w:tr w:rsidR="00903949" w:rsidRPr="00150A31" w14:paraId="36C2C933" w14:textId="77777777" w:rsidTr="00FD6070">
        <w:tc>
          <w:tcPr>
            <w:tcW w:w="3005" w:type="dxa"/>
          </w:tcPr>
          <w:p w14:paraId="4A354564" w14:textId="77777777" w:rsidR="00903949" w:rsidRPr="00150A31" w:rsidRDefault="00903949" w:rsidP="00903949">
            <w:pPr>
              <w:pStyle w:val="Ingetavstnd"/>
              <w:rPr>
                <w:i/>
                <w:iCs/>
                <w:lang w:val="en-GB"/>
              </w:rPr>
            </w:pPr>
            <w:r w:rsidRPr="00150A31">
              <w:rPr>
                <w:i/>
                <w:iCs/>
                <w:lang w:val="en-GB"/>
              </w:rPr>
              <w:t>e</w:t>
            </w:r>
            <w:r w:rsidRPr="00150A31">
              <w:rPr>
                <w:i/>
                <w:iCs/>
                <w:vertAlign w:val="subscript"/>
                <w:lang w:val="en-GB"/>
              </w:rPr>
              <w:t>HI</w:t>
            </w:r>
          </w:p>
        </w:tc>
        <w:tc>
          <w:tcPr>
            <w:tcW w:w="4220" w:type="dxa"/>
          </w:tcPr>
          <w:p w14:paraId="78B3EDAF" w14:textId="77777777" w:rsidR="00903949" w:rsidRPr="00150A31" w:rsidRDefault="00903949" w:rsidP="00903949">
            <w:pPr>
              <w:pStyle w:val="Ingetavstnd"/>
              <w:rPr>
                <w:lang w:val="en-GB"/>
              </w:rPr>
            </w:pPr>
            <w:r w:rsidRPr="00150A31">
              <w:rPr>
                <w:lang w:val="en-GB"/>
              </w:rPr>
              <w:t>Electron density, high value (a.u.)</w:t>
            </w:r>
          </w:p>
        </w:tc>
        <w:tc>
          <w:tcPr>
            <w:tcW w:w="1791" w:type="dxa"/>
          </w:tcPr>
          <w:p w14:paraId="29B2430B" w14:textId="77777777" w:rsidR="00903949" w:rsidRPr="00150A31" w:rsidRDefault="00903949" w:rsidP="00903949">
            <w:pPr>
              <w:pStyle w:val="Ingetavstnd"/>
              <w:rPr>
                <w:lang w:val="en-GB"/>
              </w:rPr>
            </w:pPr>
            <w:r w:rsidRPr="00150A31">
              <w:rPr>
                <w:lang w:val="en-GB"/>
              </w:rPr>
              <w:t>1.4</w:t>
            </w:r>
          </w:p>
        </w:tc>
      </w:tr>
      <w:tr w:rsidR="00903949" w:rsidRPr="00150A31" w14:paraId="593CB040" w14:textId="77777777" w:rsidTr="00FD6070">
        <w:tc>
          <w:tcPr>
            <w:tcW w:w="3005" w:type="dxa"/>
          </w:tcPr>
          <w:p w14:paraId="69AD78F3" w14:textId="77777777" w:rsidR="00903949" w:rsidRPr="00150A31" w:rsidRDefault="00903949" w:rsidP="00903949">
            <w:pPr>
              <w:pStyle w:val="Ingetavstnd"/>
              <w:rPr>
                <w:i/>
                <w:iCs/>
                <w:lang w:val="en-GB"/>
              </w:rPr>
            </w:pPr>
            <w:r w:rsidRPr="00150A31">
              <w:rPr>
                <w:i/>
                <w:iCs/>
                <w:lang w:val="en-GB"/>
              </w:rPr>
              <w:t>F</w:t>
            </w:r>
            <w:r w:rsidRPr="00150A31">
              <w:rPr>
                <w:i/>
                <w:iCs/>
                <w:vertAlign w:val="subscript"/>
                <w:lang w:val="en-GB"/>
              </w:rPr>
              <w:t>F</w:t>
            </w:r>
          </w:p>
        </w:tc>
        <w:tc>
          <w:tcPr>
            <w:tcW w:w="4220" w:type="dxa"/>
          </w:tcPr>
          <w:p w14:paraId="3F05F0CC" w14:textId="77777777" w:rsidR="00903949" w:rsidRPr="00150A31" w:rsidRDefault="00903949" w:rsidP="00903949">
            <w:pPr>
              <w:pStyle w:val="Ingetavstnd"/>
              <w:rPr>
                <w:lang w:val="en-GB"/>
              </w:rPr>
            </w:pPr>
            <w:r w:rsidRPr="00150A31">
              <w:rPr>
                <w:lang w:val="en-GB"/>
              </w:rPr>
              <w:t>Volumetric fill factor (m</w:t>
            </w:r>
            <w:r w:rsidRPr="00150A31">
              <w:rPr>
                <w:vertAlign w:val="superscript"/>
                <w:lang w:val="en-GB"/>
              </w:rPr>
              <w:t>3</w:t>
            </w:r>
            <w:r w:rsidRPr="00150A31">
              <w:rPr>
                <w:lang w:val="en-GB"/>
              </w:rPr>
              <w:t>/m</w:t>
            </w:r>
            <w:r w:rsidRPr="00150A31">
              <w:rPr>
                <w:vertAlign w:val="superscript"/>
                <w:lang w:val="en-GB"/>
              </w:rPr>
              <w:t>3</w:t>
            </w:r>
            <w:r w:rsidRPr="00150A31">
              <w:rPr>
                <w:lang w:val="en-GB"/>
              </w:rPr>
              <w:t>)</w:t>
            </w:r>
          </w:p>
        </w:tc>
        <w:tc>
          <w:tcPr>
            <w:tcW w:w="1791" w:type="dxa"/>
          </w:tcPr>
          <w:p w14:paraId="61F398E0" w14:textId="77777777" w:rsidR="00903949" w:rsidRPr="00150A31" w:rsidRDefault="00903949" w:rsidP="00903949">
            <w:pPr>
              <w:pStyle w:val="Ingetavstnd"/>
              <w:rPr>
                <w:lang w:val="en-GB"/>
              </w:rPr>
            </w:pPr>
            <w:r w:rsidRPr="00150A31">
              <w:rPr>
                <w:lang w:val="en-GB"/>
              </w:rPr>
              <w:t>0.4 – 0.9</w:t>
            </w:r>
          </w:p>
        </w:tc>
      </w:tr>
      <w:tr w:rsidR="00903949" w:rsidRPr="00150A31" w14:paraId="0C3311F5" w14:textId="77777777" w:rsidTr="00FD6070">
        <w:tc>
          <w:tcPr>
            <w:tcW w:w="3005" w:type="dxa"/>
          </w:tcPr>
          <w:p w14:paraId="08427027" w14:textId="77777777" w:rsidR="00903949" w:rsidRPr="00150A31" w:rsidRDefault="00903949" w:rsidP="00903949">
            <w:pPr>
              <w:pStyle w:val="Ingetavstnd"/>
              <w:rPr>
                <w:i/>
                <w:iCs/>
                <w:lang w:val="en-GB"/>
              </w:rPr>
            </w:pPr>
            <w:r w:rsidRPr="00150A31">
              <w:rPr>
                <w:i/>
                <w:iCs/>
                <w:lang w:val="en-GB"/>
              </w:rPr>
              <w:t>F</w:t>
            </w:r>
            <w:r w:rsidRPr="00150A31">
              <w:rPr>
                <w:i/>
                <w:iCs/>
                <w:vertAlign w:val="subscript"/>
                <w:lang w:val="en-GB"/>
              </w:rPr>
              <w:t>J</w:t>
            </w:r>
          </w:p>
        </w:tc>
        <w:tc>
          <w:tcPr>
            <w:tcW w:w="4220" w:type="dxa"/>
          </w:tcPr>
          <w:p w14:paraId="77D54708" w14:textId="77777777" w:rsidR="00903949" w:rsidRPr="00150A31" w:rsidRDefault="00903949" w:rsidP="00903949">
            <w:pPr>
              <w:pStyle w:val="Ingetavstnd"/>
              <w:rPr>
                <w:lang w:val="en-GB"/>
              </w:rPr>
            </w:pPr>
            <w:r w:rsidRPr="00150A31">
              <w:rPr>
                <w:lang w:val="en-GB"/>
              </w:rPr>
              <w:t>Jitter factor</w:t>
            </w:r>
          </w:p>
        </w:tc>
        <w:tc>
          <w:tcPr>
            <w:tcW w:w="1791" w:type="dxa"/>
          </w:tcPr>
          <w:p w14:paraId="4C12E6F5" w14:textId="77777777" w:rsidR="00903949" w:rsidRPr="00150A31" w:rsidRDefault="00903949" w:rsidP="00903949">
            <w:pPr>
              <w:pStyle w:val="Ingetavstnd"/>
              <w:rPr>
                <w:lang w:val="en-GB"/>
              </w:rPr>
            </w:pPr>
            <w:r w:rsidRPr="00150A31">
              <w:rPr>
                <w:lang w:val="en-GB"/>
              </w:rPr>
              <w:t>0.333333</w:t>
            </w:r>
          </w:p>
        </w:tc>
      </w:tr>
      <w:tr w:rsidR="00903949" w:rsidRPr="00150A31" w14:paraId="3A68B193" w14:textId="77777777" w:rsidTr="00FD6070">
        <w:tc>
          <w:tcPr>
            <w:tcW w:w="3005" w:type="dxa"/>
          </w:tcPr>
          <w:p w14:paraId="1E44AC63" w14:textId="77777777" w:rsidR="00903949" w:rsidRPr="00150A31" w:rsidRDefault="00903949" w:rsidP="00903949">
            <w:pPr>
              <w:pStyle w:val="Ingetavstnd"/>
              <w:rPr>
                <w:i/>
                <w:iCs/>
                <w:lang w:val="en-GB"/>
              </w:rPr>
            </w:pPr>
            <w:r w:rsidRPr="00150A31">
              <w:rPr>
                <w:i/>
                <w:iCs/>
                <w:lang w:val="en-GB"/>
              </w:rPr>
              <w:t>N</w:t>
            </w:r>
            <w:r w:rsidRPr="00150A31">
              <w:rPr>
                <w:i/>
                <w:iCs/>
                <w:vertAlign w:val="subscript"/>
                <w:lang w:val="en-GB"/>
              </w:rPr>
              <w:t>T</w:t>
            </w:r>
          </w:p>
        </w:tc>
        <w:tc>
          <w:tcPr>
            <w:tcW w:w="4220" w:type="dxa"/>
          </w:tcPr>
          <w:p w14:paraId="4B961746" w14:textId="77777777" w:rsidR="00903949" w:rsidRPr="00150A31" w:rsidRDefault="00903949" w:rsidP="00903949">
            <w:pPr>
              <w:pStyle w:val="Ingetavstnd"/>
              <w:rPr>
                <w:lang w:val="en-GB"/>
              </w:rPr>
            </w:pPr>
            <w:r w:rsidRPr="00150A31">
              <w:rPr>
                <w:lang w:val="en-GB"/>
              </w:rPr>
              <w:t>Number of parallel computation threads</w:t>
            </w:r>
          </w:p>
        </w:tc>
        <w:tc>
          <w:tcPr>
            <w:tcW w:w="1791" w:type="dxa"/>
          </w:tcPr>
          <w:p w14:paraId="5807B2F1" w14:textId="77777777" w:rsidR="00903949" w:rsidRPr="00150A31" w:rsidRDefault="00903949" w:rsidP="00903949">
            <w:pPr>
              <w:pStyle w:val="Ingetavstnd"/>
              <w:rPr>
                <w:lang w:val="en-GB"/>
              </w:rPr>
            </w:pPr>
            <w:r w:rsidRPr="00150A31">
              <w:rPr>
                <w:lang w:val="en-GB"/>
              </w:rPr>
              <w:t>16 - 24</w:t>
            </w:r>
          </w:p>
        </w:tc>
      </w:tr>
    </w:tbl>
    <w:p w14:paraId="7105618C" w14:textId="7612D5F6" w:rsidR="00903949" w:rsidRDefault="00903949" w:rsidP="00903949">
      <w:pPr>
        <w:rPr>
          <w:lang w:val="en-GB"/>
        </w:rPr>
      </w:pPr>
    </w:p>
    <w:p w14:paraId="2AA0290C" w14:textId="77777777" w:rsidR="00903949" w:rsidRPr="00150A31" w:rsidRDefault="00903949" w:rsidP="00903949">
      <w:pPr>
        <w:rPr>
          <w:lang w:val="en-GB"/>
        </w:rPr>
      </w:pPr>
      <w:r w:rsidRPr="00150A31">
        <w:rPr>
          <w:lang w:val="en-GB"/>
        </w:rPr>
        <w:t xml:space="preserve">The simulation program was written in C++ and utilized parallelization, performing simulations in parallel on multi-core CPUs decreased the simulations times. For numerical efficiency, the simulation program can be adapted to hardware capacity by the input parameter </w:t>
      </w:r>
      <w:r w:rsidRPr="00150A31">
        <w:rPr>
          <w:i/>
          <w:iCs/>
          <w:lang w:val="en-GB"/>
        </w:rPr>
        <w:t>N</w:t>
      </w:r>
      <w:r w:rsidRPr="00150A31">
        <w:rPr>
          <w:i/>
          <w:iCs/>
          <w:vertAlign w:val="subscript"/>
          <w:lang w:val="en-GB"/>
        </w:rPr>
        <w:t>T</w:t>
      </w:r>
      <w:r w:rsidRPr="00150A31">
        <w:rPr>
          <w:lang w:val="en-GB"/>
        </w:rPr>
        <w:t>, number of parallel threads.</w:t>
      </w:r>
    </w:p>
    <w:p w14:paraId="5D53880D" w14:textId="77777777" w:rsidR="00903949" w:rsidRPr="00150A31" w:rsidRDefault="00903949" w:rsidP="00903949">
      <w:pPr>
        <w:rPr>
          <w:lang w:val="en-GB"/>
        </w:rPr>
      </w:pPr>
      <w:r w:rsidRPr="00150A31">
        <w:rPr>
          <w:lang w:val="en-GB"/>
        </w:rPr>
        <w:t xml:space="preserve">The input for the calculation of SAXS profiles consists of parameters describing the sample as well as parameters for the numerical calculations. For a two-component sample, three parameters were used to describe the sample, values representing the high and low electron densities and the volumetric fill factor, </w:t>
      </w:r>
      <w:r w:rsidRPr="00150A31">
        <w:rPr>
          <w:i/>
          <w:iCs/>
          <w:lang w:val="en-GB"/>
        </w:rPr>
        <w:t>e</w:t>
      </w:r>
      <w:r w:rsidRPr="00150A31">
        <w:rPr>
          <w:i/>
          <w:iCs/>
          <w:vertAlign w:val="subscript"/>
          <w:lang w:val="en-GB"/>
        </w:rPr>
        <w:t>HI</w:t>
      </w:r>
      <w:r w:rsidRPr="00150A31">
        <w:rPr>
          <w:lang w:val="en-GB"/>
        </w:rPr>
        <w:t xml:space="preserve">, </w:t>
      </w:r>
      <w:r w:rsidRPr="00150A31">
        <w:rPr>
          <w:i/>
          <w:iCs/>
          <w:lang w:val="en-GB"/>
        </w:rPr>
        <w:t>e</w:t>
      </w:r>
      <w:r w:rsidRPr="00150A31">
        <w:rPr>
          <w:i/>
          <w:iCs/>
          <w:vertAlign w:val="subscript"/>
          <w:lang w:val="en-GB"/>
        </w:rPr>
        <w:t>LO</w:t>
      </w:r>
      <w:r w:rsidRPr="00150A31">
        <w:rPr>
          <w:lang w:val="en-GB"/>
        </w:rPr>
        <w:t xml:space="preserve"> and </w:t>
      </w:r>
      <w:r w:rsidRPr="00150A31">
        <w:rPr>
          <w:i/>
          <w:iCs/>
          <w:lang w:val="en-GB"/>
        </w:rPr>
        <w:t>F</w:t>
      </w:r>
      <w:r w:rsidRPr="00150A31">
        <w:rPr>
          <w:i/>
          <w:iCs/>
          <w:vertAlign w:val="subscript"/>
          <w:lang w:val="en-GB"/>
        </w:rPr>
        <w:t>F</w:t>
      </w:r>
      <w:r w:rsidRPr="00150A31">
        <w:rPr>
          <w:lang w:val="en-GB"/>
        </w:rPr>
        <w:t xml:space="preserve"> respectively. For convenience, the average electron density of water was normalized to a value of 1.0. Consequently, the average electron density for cellulose (assuming a density of 1500 kg/m</w:t>
      </w:r>
      <w:r w:rsidRPr="00150A31">
        <w:rPr>
          <w:vertAlign w:val="superscript"/>
          <w:lang w:val="en-GB"/>
        </w:rPr>
        <w:t>3</w:t>
      </w:r>
      <w:r w:rsidRPr="00150A31">
        <w:rPr>
          <w:lang w:val="en-GB"/>
        </w:rPr>
        <w:t xml:space="preserve">) was assigned a value of 1.4. </w:t>
      </w:r>
    </w:p>
    <w:p w14:paraId="4BA74649" w14:textId="46FAE5AC" w:rsidR="00903949" w:rsidRDefault="00903949" w:rsidP="00903949">
      <w:pPr>
        <w:rPr>
          <w:lang w:val="en-GB"/>
        </w:rPr>
      </w:pPr>
      <w:r w:rsidRPr="00150A31">
        <w:rPr>
          <w:lang w:val="en-GB"/>
        </w:rPr>
        <w:t>The electron density was calculated as:</w:t>
      </w:r>
    </w:p>
    <w:p w14:paraId="2249D84B" w14:textId="77FC0124" w:rsidR="00903949" w:rsidRPr="00903949" w:rsidRDefault="00C47680" w:rsidP="00903949">
      <w:pPr>
        <w:pStyle w:val="equation"/>
        <w:rPr>
          <w:lang w:val="en-GB"/>
        </w:rPr>
      </w:pPr>
      <m:oMathPara>
        <m:oMathParaPr>
          <m:jc m:val="left"/>
        </m:oMathParaPr>
        <m:oMath>
          <m:sSub>
            <m:sSubPr>
              <m:ctrlPr>
                <w:rPr>
                  <w:rFonts w:ascii="Cambria Math" w:hAnsi="Cambria Math"/>
                  <w:lang w:val="en-GB"/>
                </w:rPr>
              </m:ctrlPr>
            </m:sSubPr>
            <m:e>
              <m:r>
                <w:rPr>
                  <w:rFonts w:ascii="Cambria Math" w:hAnsi="Cambria Math"/>
                  <w:lang w:val="en-GB"/>
                </w:rPr>
                <m:t>ρ</m:t>
              </m:r>
            </m:e>
            <m:sub>
              <m:r>
                <w:rPr>
                  <w:rFonts w:ascii="Cambria Math" w:hAnsi="Cambria Math"/>
                  <w:lang w:val="en-GB"/>
                </w:rPr>
                <m:t>e</m:t>
              </m:r>
            </m:sub>
          </m:sSub>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A</m:t>
              </m:r>
            </m:sub>
          </m:sSub>
          <m:sSub>
            <m:sSubPr>
              <m:ctrlPr>
                <w:rPr>
                  <w:rFonts w:ascii="Cambria Math" w:hAnsi="Cambria Math"/>
                  <w:lang w:val="en-GB"/>
                </w:rPr>
              </m:ctrlPr>
            </m:sSubPr>
            <m:e>
              <m:r>
                <w:rPr>
                  <w:rFonts w:ascii="Cambria Math" w:hAnsi="Cambria Math"/>
                  <w:lang w:val="en-GB"/>
                </w:rPr>
                <m:t>n</m:t>
              </m:r>
            </m:e>
            <m:sub>
              <m:r>
                <w:rPr>
                  <w:rFonts w:ascii="Cambria Math" w:hAnsi="Cambria Math"/>
                  <w:lang w:val="en-GB"/>
                </w:rPr>
                <m:t>e</m:t>
              </m:r>
            </m:sub>
          </m:sSub>
          <m:f>
            <m:fPr>
              <m:ctrlPr>
                <w:rPr>
                  <w:rFonts w:ascii="Cambria Math" w:hAnsi="Cambria Math"/>
                  <w:lang w:val="en-GB"/>
                </w:rPr>
              </m:ctrlPr>
            </m:fPr>
            <m:num>
              <m:r>
                <w:rPr>
                  <w:rFonts w:ascii="Cambria Math" w:hAnsi="Cambria Math"/>
                  <w:lang w:val="en-GB"/>
                </w:rPr>
                <m:t>ρ</m:t>
              </m:r>
            </m:num>
            <m:den>
              <m:sSub>
                <m:sSubPr>
                  <m:ctrlPr>
                    <w:rPr>
                      <w:rFonts w:ascii="Cambria Math" w:hAnsi="Cambria Math"/>
                      <w:lang w:val="en-GB"/>
                    </w:rPr>
                  </m:ctrlPr>
                </m:sSubPr>
                <m:e>
                  <m:r>
                    <w:rPr>
                      <w:rFonts w:ascii="Cambria Math" w:hAnsi="Cambria Math"/>
                      <w:lang w:val="en-GB"/>
                    </w:rPr>
                    <m:t>M</m:t>
                  </m:r>
                </m:e>
                <m:sub>
                  <m:r>
                    <w:rPr>
                      <w:rFonts w:ascii="Cambria Math" w:hAnsi="Cambria Math"/>
                      <w:lang w:val="en-GB"/>
                    </w:rPr>
                    <m:t>m</m:t>
                  </m:r>
                </m:sub>
              </m:sSub>
            </m:den>
          </m:f>
        </m:oMath>
      </m:oMathPara>
    </w:p>
    <w:p w14:paraId="6F4091A7" w14:textId="00BD122C" w:rsidR="00903949" w:rsidRPr="00150A31" w:rsidRDefault="00903949" w:rsidP="00903949">
      <w:pPr>
        <w:rPr>
          <w:lang w:val="en-GB"/>
        </w:rPr>
      </w:pPr>
      <w:r w:rsidRPr="00150A31">
        <w:rPr>
          <w:lang w:val="en-GB"/>
        </w:rPr>
        <w:t xml:space="preserve">Where </w:t>
      </w:r>
      <w:r w:rsidRPr="00150A31">
        <w:rPr>
          <w:rFonts w:ascii="Symbol" w:hAnsi="Symbol"/>
          <w:i/>
          <w:iCs/>
          <w:lang w:val="en-GB"/>
        </w:rPr>
        <w:t></w:t>
      </w:r>
      <w:r w:rsidRPr="00150A31">
        <w:rPr>
          <w:i/>
          <w:iCs/>
          <w:vertAlign w:val="subscript"/>
          <w:lang w:val="en-GB"/>
        </w:rPr>
        <w:t>e</w:t>
      </w:r>
      <w:r w:rsidRPr="00150A31">
        <w:rPr>
          <w:lang w:val="en-GB"/>
        </w:rPr>
        <w:t xml:space="preserve"> is the electron density (m</w:t>
      </w:r>
      <w:r w:rsidRPr="00150A31">
        <w:rPr>
          <w:vertAlign w:val="superscript"/>
          <w:lang w:val="en-GB"/>
        </w:rPr>
        <w:t>-3</w:t>
      </w:r>
      <w:r w:rsidRPr="00150A31">
        <w:rPr>
          <w:lang w:val="en-GB"/>
        </w:rPr>
        <w:t xml:space="preserve">), </w:t>
      </w:r>
      <w:r w:rsidRPr="00150A31">
        <w:rPr>
          <w:i/>
          <w:iCs/>
          <w:lang w:val="en-GB"/>
        </w:rPr>
        <w:t>N</w:t>
      </w:r>
      <w:r w:rsidRPr="00150A31">
        <w:rPr>
          <w:i/>
          <w:iCs/>
          <w:vertAlign w:val="subscript"/>
          <w:lang w:val="en-GB"/>
        </w:rPr>
        <w:t>A</w:t>
      </w:r>
      <w:r w:rsidRPr="00150A31">
        <w:rPr>
          <w:lang w:val="en-GB"/>
        </w:rPr>
        <w:t xml:space="preserve"> is Avogadros number (6.022 x 10</w:t>
      </w:r>
      <w:r w:rsidRPr="00150A31">
        <w:rPr>
          <w:vertAlign w:val="superscript"/>
          <w:lang w:val="en-GB"/>
        </w:rPr>
        <w:t>23</w:t>
      </w:r>
      <w:r w:rsidRPr="00150A31">
        <w:rPr>
          <w:lang w:val="en-GB"/>
        </w:rPr>
        <w:t xml:space="preserve"> mole</w:t>
      </w:r>
      <w:r w:rsidRPr="00150A31">
        <w:rPr>
          <w:vertAlign w:val="superscript"/>
          <w:lang w:val="en-GB"/>
        </w:rPr>
        <w:t>-1</w:t>
      </w:r>
      <w:r w:rsidRPr="00150A31">
        <w:rPr>
          <w:lang w:val="en-GB"/>
        </w:rPr>
        <w:t xml:space="preserve">), </w:t>
      </w:r>
      <w:r w:rsidRPr="00150A31">
        <w:rPr>
          <w:i/>
          <w:iCs/>
          <w:lang w:val="en-GB"/>
        </w:rPr>
        <w:t>n</w:t>
      </w:r>
      <w:r w:rsidRPr="00150A31">
        <w:rPr>
          <w:i/>
          <w:iCs/>
          <w:vertAlign w:val="subscript"/>
          <w:lang w:val="en-GB"/>
        </w:rPr>
        <w:t>e</w:t>
      </w:r>
      <w:r w:rsidRPr="00150A31">
        <w:rPr>
          <w:lang w:val="en-GB"/>
        </w:rPr>
        <w:t xml:space="preserve"> is the number of electrons </w:t>
      </w:r>
      <w:r w:rsidR="00560BA0">
        <w:rPr>
          <w:lang w:val="en-GB"/>
        </w:rPr>
        <w:t>per</w:t>
      </w:r>
      <w:r w:rsidRPr="00150A31">
        <w:rPr>
          <w:lang w:val="en-GB"/>
        </w:rPr>
        <w:t xml:space="preserve"> molecule (unitless), </w:t>
      </w:r>
      <w:r w:rsidRPr="00150A31">
        <w:rPr>
          <w:rFonts w:ascii="Symbol" w:hAnsi="Symbol"/>
          <w:i/>
          <w:iCs/>
          <w:lang w:val="en-GB"/>
        </w:rPr>
        <w:t></w:t>
      </w:r>
      <w:r w:rsidRPr="00150A31">
        <w:rPr>
          <w:lang w:val="en-GB"/>
        </w:rPr>
        <w:t xml:space="preserve"> is the substance’s density (kg/m</w:t>
      </w:r>
      <w:r w:rsidRPr="00150A31">
        <w:rPr>
          <w:vertAlign w:val="superscript"/>
          <w:lang w:val="en-GB"/>
        </w:rPr>
        <w:t>3</w:t>
      </w:r>
      <w:r w:rsidRPr="00150A31">
        <w:rPr>
          <w:lang w:val="en-GB"/>
        </w:rPr>
        <w:t xml:space="preserve">), </w:t>
      </w:r>
      <w:r w:rsidRPr="00150A31">
        <w:rPr>
          <w:i/>
          <w:iCs/>
          <w:lang w:val="en-GB"/>
        </w:rPr>
        <w:t>M</w:t>
      </w:r>
      <w:r w:rsidRPr="00150A31">
        <w:rPr>
          <w:i/>
          <w:iCs/>
          <w:vertAlign w:val="subscript"/>
          <w:lang w:val="en-GB"/>
        </w:rPr>
        <w:t>m</w:t>
      </w:r>
      <w:r w:rsidRPr="00150A31">
        <w:rPr>
          <w:lang w:val="en-GB"/>
        </w:rPr>
        <w:t xml:space="preserve"> the molecular mass (kg/mole). In the case of water (10 electrons per molecule, a molecular mass of 0.018 kg/mole and a density of 1000 kg/m</w:t>
      </w:r>
      <w:r w:rsidRPr="00150A31">
        <w:rPr>
          <w:vertAlign w:val="superscript"/>
          <w:lang w:val="en-GB"/>
        </w:rPr>
        <w:t>3</w:t>
      </w:r>
      <w:r w:rsidRPr="00150A31">
        <w:rPr>
          <w:lang w:val="en-GB"/>
        </w:rPr>
        <w:t>) the electron density was approximately 3.35 x 10</w:t>
      </w:r>
      <w:r w:rsidRPr="00150A31">
        <w:rPr>
          <w:vertAlign w:val="superscript"/>
          <w:lang w:val="en-GB"/>
        </w:rPr>
        <w:t>29</w:t>
      </w:r>
      <w:r w:rsidRPr="00150A31">
        <w:rPr>
          <w:lang w:val="en-GB"/>
        </w:rPr>
        <w:t xml:space="preserve"> m</w:t>
      </w:r>
      <w:r w:rsidRPr="00150A31">
        <w:rPr>
          <w:vertAlign w:val="superscript"/>
          <w:lang w:val="en-GB"/>
        </w:rPr>
        <w:t>-3</w:t>
      </w:r>
      <w:r w:rsidRPr="00150A31">
        <w:rPr>
          <w:lang w:val="en-GB"/>
        </w:rPr>
        <w:t>, and in the case of cellulose (86 electrons per anhydroglucose unit, a molecular mass of 0.162 kg/mole and a density of 1500 kg/m</w:t>
      </w:r>
      <w:r w:rsidRPr="00150A31">
        <w:rPr>
          <w:vertAlign w:val="superscript"/>
          <w:lang w:val="en-GB"/>
        </w:rPr>
        <w:t>3</w:t>
      </w:r>
      <w:r w:rsidRPr="00150A31">
        <w:rPr>
          <w:lang w:val="en-GB"/>
        </w:rPr>
        <w:t>) the electron density was approximately 4.80 x 10</w:t>
      </w:r>
      <w:r w:rsidRPr="00150A31">
        <w:rPr>
          <w:vertAlign w:val="superscript"/>
          <w:lang w:val="en-GB"/>
        </w:rPr>
        <w:t>29</w:t>
      </w:r>
      <w:r w:rsidRPr="00150A31">
        <w:rPr>
          <w:lang w:val="en-GB"/>
        </w:rPr>
        <w:t xml:space="preserve"> m</w:t>
      </w:r>
      <w:r w:rsidRPr="00150A31">
        <w:rPr>
          <w:vertAlign w:val="superscript"/>
          <w:lang w:val="en-GB"/>
        </w:rPr>
        <w:t>-3</w:t>
      </w:r>
      <w:r w:rsidRPr="00150A31">
        <w:rPr>
          <w:lang w:val="en-GB"/>
        </w:rPr>
        <w:t xml:space="preserve">. Normalizing both electron densities with the electron density of water gave the approximate numbers of 1.0 for water and 1.4 for cellulose, used as input to the simulations. In the case of dry samples, exposed to the beam path vacuum, </w:t>
      </w:r>
      <w:r w:rsidRPr="00150A31">
        <w:rPr>
          <w:lang w:val="en-GB"/>
        </w:rPr>
        <w:lastRenderedPageBreak/>
        <w:t>the low electron density value describing the cavities (pores) was set to 0. Here the concept of cavities was applied to interstitial spaces between solid particles whether filled with liquid or evacuated.</w:t>
      </w:r>
    </w:p>
    <w:p w14:paraId="1B20B85E" w14:textId="77777777" w:rsidR="00903949" w:rsidRPr="00150A31" w:rsidRDefault="00903949" w:rsidP="00903949">
      <w:pPr>
        <w:rPr>
          <w:lang w:val="en-GB"/>
        </w:rPr>
      </w:pPr>
      <w:r w:rsidRPr="00150A31">
        <w:rPr>
          <w:lang w:val="en-GB"/>
        </w:rPr>
        <w:t xml:space="preserve">The generation of the EDPs was performed by using a uniform pseudo-random number generator. An EDP was generated by initially setting all elements of the EDP vector (length </w:t>
      </w:r>
      <w:r w:rsidRPr="00150A31">
        <w:rPr>
          <w:i/>
          <w:iCs/>
          <w:lang w:val="en-GB"/>
        </w:rPr>
        <w:t>L</w:t>
      </w:r>
      <w:r w:rsidRPr="00150A31">
        <w:rPr>
          <w:i/>
          <w:iCs/>
          <w:vertAlign w:val="subscript"/>
          <w:lang w:val="en-GB"/>
        </w:rPr>
        <w:t>EDP</w:t>
      </w:r>
      <w:r w:rsidRPr="00150A31">
        <w:rPr>
          <w:lang w:val="en-GB"/>
        </w:rPr>
        <w:t>) to the high electron density value (</w:t>
      </w:r>
      <w:r w:rsidRPr="00150A31">
        <w:rPr>
          <w:i/>
          <w:iCs/>
          <w:lang w:val="en-GB"/>
        </w:rPr>
        <w:t>e</w:t>
      </w:r>
      <w:r w:rsidRPr="00150A31">
        <w:rPr>
          <w:i/>
          <w:iCs/>
          <w:vertAlign w:val="subscript"/>
          <w:lang w:val="en-GB"/>
        </w:rPr>
        <w:t>HI</w:t>
      </w:r>
      <w:r w:rsidRPr="00150A31">
        <w:rPr>
          <w:lang w:val="en-GB"/>
        </w:rPr>
        <w:t xml:space="preserve">). A segment of consecutive vector elements, of random length in the range from 1 to (1 ± </w:t>
      </w:r>
      <w:r w:rsidRPr="00150A31">
        <w:rPr>
          <w:i/>
          <w:iCs/>
          <w:lang w:val="en-GB"/>
        </w:rPr>
        <w:t>F</w:t>
      </w:r>
      <w:r w:rsidRPr="00150A31">
        <w:rPr>
          <w:i/>
          <w:iCs/>
          <w:vertAlign w:val="subscript"/>
          <w:lang w:val="en-GB"/>
        </w:rPr>
        <w:t>J</w:t>
      </w:r>
      <w:r w:rsidRPr="00150A31">
        <w:rPr>
          <w:lang w:val="en-GB"/>
        </w:rPr>
        <w:t>)</w:t>
      </w:r>
      <w:r w:rsidRPr="00150A31">
        <w:rPr>
          <w:i/>
          <w:iCs/>
          <w:lang w:val="en-GB"/>
        </w:rPr>
        <w:t>S</w:t>
      </w:r>
      <w:r w:rsidRPr="00150A31">
        <w:rPr>
          <w:i/>
          <w:iCs/>
          <w:vertAlign w:val="subscript"/>
          <w:lang w:val="en-GB"/>
        </w:rPr>
        <w:t>MAX</w:t>
      </w:r>
      <w:r w:rsidRPr="00150A31">
        <w:rPr>
          <w:lang w:val="en-GB"/>
        </w:rPr>
        <w:t xml:space="preserve"> (see below) having low electron density values (</w:t>
      </w:r>
      <w:r w:rsidRPr="00150A31">
        <w:rPr>
          <w:i/>
          <w:iCs/>
          <w:lang w:val="en-GB"/>
        </w:rPr>
        <w:t>e</w:t>
      </w:r>
      <w:r w:rsidRPr="00150A31">
        <w:rPr>
          <w:i/>
          <w:iCs/>
          <w:vertAlign w:val="subscript"/>
          <w:lang w:val="en-GB"/>
        </w:rPr>
        <w:t>LO</w:t>
      </w:r>
      <w:r w:rsidRPr="00150A31">
        <w:rPr>
          <w:lang w:val="en-GB"/>
        </w:rPr>
        <w:t xml:space="preserve">) was inserted into the EDP vector at a random position. </w:t>
      </w:r>
    </w:p>
    <w:p w14:paraId="514DBC00" w14:textId="77777777" w:rsidR="00903949" w:rsidRPr="00150A31" w:rsidRDefault="00903949" w:rsidP="00903949">
      <w:pPr>
        <w:rPr>
          <w:lang w:val="en-GB"/>
        </w:rPr>
      </w:pPr>
      <w:r w:rsidRPr="00150A31">
        <w:rPr>
          <w:lang w:val="en-GB"/>
        </w:rPr>
        <w:t xml:space="preserve">The numerical randomization of the EDP vectors used a jitter factor, </w:t>
      </w:r>
      <w:r w:rsidRPr="00150A31">
        <w:rPr>
          <w:i/>
          <w:iCs/>
          <w:lang w:val="en-GB"/>
        </w:rPr>
        <w:t>F</w:t>
      </w:r>
      <w:r w:rsidRPr="00150A31">
        <w:rPr>
          <w:i/>
          <w:iCs/>
          <w:vertAlign w:val="subscript"/>
          <w:lang w:val="en-GB"/>
        </w:rPr>
        <w:t>J</w:t>
      </w:r>
      <w:r w:rsidRPr="00150A31">
        <w:rPr>
          <w:lang w:val="en-GB"/>
        </w:rPr>
        <w:t>. Each EDP vector was generated using a uniform pseudo-random number distribution with a maximum value in a symmetric range centred around the input maximum size (</w:t>
      </w:r>
      <w:r w:rsidRPr="00150A31">
        <w:rPr>
          <w:i/>
          <w:iCs/>
          <w:lang w:val="en-GB"/>
        </w:rPr>
        <w:t>S</w:t>
      </w:r>
      <w:r w:rsidRPr="00150A31">
        <w:rPr>
          <w:i/>
          <w:iCs/>
          <w:vertAlign w:val="subscript"/>
          <w:lang w:val="en-GB"/>
        </w:rPr>
        <w:t>MAX</w:t>
      </w:r>
      <w:r w:rsidRPr="00150A31">
        <w:rPr>
          <w:lang w:val="en-GB"/>
        </w:rPr>
        <w:t>) by use of a jitter factor (</w:t>
      </w:r>
      <w:r w:rsidRPr="00150A31">
        <w:rPr>
          <w:i/>
          <w:iCs/>
          <w:lang w:val="en-GB"/>
        </w:rPr>
        <w:t>F</w:t>
      </w:r>
      <w:r w:rsidRPr="00150A31">
        <w:rPr>
          <w:i/>
          <w:iCs/>
          <w:vertAlign w:val="subscript"/>
          <w:lang w:val="en-GB"/>
        </w:rPr>
        <w:t>J</w:t>
      </w:r>
      <w:r w:rsidRPr="00150A31">
        <w:rPr>
          <w:lang w:val="en-GB"/>
        </w:rPr>
        <w:t>). For example, if the input maximum was 100 vector elements and the input jitter factor was 0.3, all EDP vectors were generated with maximum insertion segment lengths in the range from 70 to 130 vector elements. However, the average maximum segment insertion length based on all EDP vectors was still 100. This additional randomization was introduced to consider the material</w:t>
      </w:r>
      <w:r>
        <w:rPr>
          <w:lang w:val="en-GB"/>
        </w:rPr>
        <w:t>’s</w:t>
      </w:r>
      <w:r w:rsidRPr="00150A31">
        <w:rPr>
          <w:lang w:val="en-GB"/>
        </w:rPr>
        <w:t xml:space="preserve"> variability, where the local environment traversed by different EDPs need not be the same.</w:t>
      </w:r>
    </w:p>
    <w:p w14:paraId="1CD5A5E0" w14:textId="237FD7A0" w:rsidR="00903949" w:rsidRDefault="00903949" w:rsidP="00903949">
      <w:pPr>
        <w:rPr>
          <w:lang w:val="en-GB"/>
        </w:rPr>
      </w:pPr>
      <w:r w:rsidRPr="00150A31">
        <w:rPr>
          <w:lang w:val="en-GB"/>
        </w:rPr>
        <w:t xml:space="preserve">The insertion process was repeated until the average electron density of the EDP vector matched (to the resolution imposed by </w:t>
      </w:r>
      <w:r w:rsidRPr="00150A31">
        <w:rPr>
          <w:i/>
          <w:iCs/>
          <w:lang w:val="en-GB"/>
        </w:rPr>
        <w:t>L</w:t>
      </w:r>
      <w:r w:rsidRPr="00150A31">
        <w:rPr>
          <w:i/>
          <w:iCs/>
          <w:vertAlign w:val="subscript"/>
          <w:lang w:val="en-GB"/>
        </w:rPr>
        <w:t>EDP</w:t>
      </w:r>
      <w:r w:rsidRPr="00150A31">
        <w:rPr>
          <w:lang w:val="en-GB"/>
        </w:rPr>
        <w:t xml:space="preserve">) a target average electron density </w:t>
      </w:r>
      <m:oMath>
        <m:d>
          <m:dPr>
            <m:begChr m:val="〈"/>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ρ</m:t>
                </m:r>
              </m:e>
              <m:sub>
                <m:r>
                  <w:rPr>
                    <w:rFonts w:ascii="Cambria Math" w:hAnsi="Cambria Math"/>
                    <w:lang w:val="en-GB"/>
                  </w:rPr>
                  <m:t>e</m:t>
                </m:r>
              </m:sub>
            </m:sSub>
          </m:e>
        </m:d>
      </m:oMath>
      <w:r w:rsidRPr="00150A31">
        <w:rPr>
          <w:lang w:val="en-GB"/>
        </w:rPr>
        <w:t xml:space="preserve">, calculated based on the input parameters </w:t>
      </w:r>
      <w:r w:rsidRPr="00150A31">
        <w:rPr>
          <w:i/>
          <w:iCs/>
          <w:lang w:val="en-GB"/>
        </w:rPr>
        <w:t>e</w:t>
      </w:r>
      <w:r w:rsidRPr="00150A31">
        <w:rPr>
          <w:i/>
          <w:iCs/>
          <w:vertAlign w:val="subscript"/>
          <w:lang w:val="en-GB"/>
        </w:rPr>
        <w:t>HI</w:t>
      </w:r>
      <w:r w:rsidRPr="00150A31">
        <w:rPr>
          <w:lang w:val="en-GB"/>
        </w:rPr>
        <w:t xml:space="preserve">, </w:t>
      </w:r>
      <w:r w:rsidRPr="00150A31">
        <w:rPr>
          <w:i/>
          <w:iCs/>
          <w:lang w:val="en-GB"/>
        </w:rPr>
        <w:t>e</w:t>
      </w:r>
      <w:r w:rsidRPr="00150A31">
        <w:rPr>
          <w:i/>
          <w:iCs/>
          <w:vertAlign w:val="subscript"/>
          <w:lang w:val="en-GB"/>
        </w:rPr>
        <w:t>LO</w:t>
      </w:r>
      <w:r w:rsidRPr="00150A31">
        <w:rPr>
          <w:lang w:val="en-GB"/>
        </w:rPr>
        <w:t xml:space="preserve">, and the volumetric fill factor, </w:t>
      </w:r>
      <w:r w:rsidRPr="00150A31">
        <w:rPr>
          <w:i/>
          <w:iCs/>
          <w:lang w:val="en-GB"/>
        </w:rPr>
        <w:t>F</w:t>
      </w:r>
      <w:r w:rsidRPr="00150A31">
        <w:rPr>
          <w:i/>
          <w:iCs/>
          <w:vertAlign w:val="subscript"/>
          <w:lang w:val="en-GB"/>
        </w:rPr>
        <w:t>F</w:t>
      </w:r>
      <w:r w:rsidRPr="00150A31">
        <w:rPr>
          <w:lang w:val="en-GB"/>
        </w:rPr>
        <w:t>:</w:t>
      </w:r>
    </w:p>
    <w:p w14:paraId="466016EC" w14:textId="6066B7A2" w:rsidR="00903949" w:rsidRPr="00150A31" w:rsidRDefault="00C47680" w:rsidP="00903949">
      <w:pPr>
        <w:pStyle w:val="equation"/>
        <w:rPr>
          <w:lang w:val="en-GB"/>
        </w:rPr>
      </w:pPr>
      <m:oMathPara>
        <m:oMathParaPr>
          <m:jc m:val="left"/>
        </m:oMathParaPr>
        <m:oMath>
          <m:d>
            <m:dPr>
              <m:begChr m:val="〈"/>
              <m:endChr m:val="〉"/>
              <m:ctrlPr>
                <w:rPr>
                  <w:rFonts w:ascii="Cambria Math" w:hAnsi="Cambria Math"/>
                  <w:lang w:val="en-GB"/>
                </w:rPr>
              </m:ctrlPr>
            </m:dPr>
            <m:e>
              <m:sSub>
                <m:sSubPr>
                  <m:ctrlPr>
                    <w:rPr>
                      <w:rFonts w:ascii="Cambria Math" w:hAnsi="Cambria Math"/>
                      <w:lang w:val="en-GB"/>
                    </w:rPr>
                  </m:ctrlPr>
                </m:sSubPr>
                <m:e>
                  <m:r>
                    <w:rPr>
                      <w:rFonts w:ascii="Cambria Math" w:hAnsi="Cambria Math"/>
                      <w:lang w:val="en-GB"/>
                    </w:rPr>
                    <m:t>ρ</m:t>
                  </m:r>
                </m:e>
                <m:sub>
                  <m:r>
                    <w:rPr>
                      <w:rFonts w:ascii="Cambria Math" w:hAnsi="Cambria Math"/>
                      <w:lang w:val="en-GB"/>
                    </w:rPr>
                    <m:t>e</m:t>
                  </m:r>
                </m:sub>
              </m:sSub>
            </m:e>
          </m:d>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F</m:t>
              </m:r>
            </m:e>
            <m:sub>
              <m:r>
                <w:rPr>
                  <w:rFonts w:ascii="Cambria Math" w:hAnsi="Cambria Math"/>
                  <w:lang w:val="en-GB"/>
                </w:rPr>
                <m:t>F</m:t>
              </m:r>
            </m:sub>
          </m:sSub>
          <m:sSub>
            <m:sSubPr>
              <m:ctrlPr>
                <w:rPr>
                  <w:rFonts w:ascii="Cambria Math" w:hAnsi="Cambria Math"/>
                  <w:lang w:val="en-GB"/>
                </w:rPr>
              </m:ctrlPr>
            </m:sSubPr>
            <m:e>
              <m:r>
                <w:rPr>
                  <w:rFonts w:ascii="Cambria Math" w:hAnsi="Cambria Math"/>
                  <w:lang w:val="en-GB"/>
                </w:rPr>
                <m:t>e</m:t>
              </m:r>
            </m:e>
            <m:sub>
              <m:r>
                <w:rPr>
                  <w:rFonts w:ascii="Cambria Math" w:hAnsi="Cambria Math"/>
                  <w:lang w:val="en-GB"/>
                </w:rPr>
                <m:t>HI</m:t>
              </m:r>
            </m:sub>
          </m:sSub>
          <m:r>
            <m:rPr>
              <m:sty m:val="p"/>
            </m:rPr>
            <w:rPr>
              <w:rFonts w:ascii="Cambria Math" w:hAnsi="Cambria Math"/>
              <w:lang w:val="en-GB"/>
            </w:rPr>
            <m:t>+</m:t>
          </m:r>
          <m:d>
            <m:dPr>
              <m:ctrlPr>
                <w:rPr>
                  <w:rFonts w:ascii="Cambria Math" w:hAnsi="Cambria Math"/>
                  <w:lang w:val="en-GB"/>
                </w:rPr>
              </m:ctrlPr>
            </m:dPr>
            <m:e>
              <m:r>
                <m:rPr>
                  <m:sty m:val="p"/>
                </m:rPr>
                <w:rPr>
                  <w:rFonts w:ascii="Cambria Math" w:hAnsi="Cambria Math"/>
                  <w:lang w:val="en-GB"/>
                </w:rPr>
                <m:t>1-</m:t>
              </m:r>
              <m:sSub>
                <m:sSubPr>
                  <m:ctrlPr>
                    <w:rPr>
                      <w:rFonts w:ascii="Cambria Math" w:hAnsi="Cambria Math"/>
                      <w:lang w:val="en-GB"/>
                    </w:rPr>
                  </m:ctrlPr>
                </m:sSubPr>
                <m:e>
                  <m:r>
                    <w:rPr>
                      <w:rFonts w:ascii="Cambria Math" w:hAnsi="Cambria Math"/>
                      <w:lang w:val="en-GB"/>
                    </w:rPr>
                    <m:t>F</m:t>
                  </m:r>
                </m:e>
                <m:sub>
                  <m:r>
                    <w:rPr>
                      <w:rFonts w:ascii="Cambria Math" w:hAnsi="Cambria Math"/>
                      <w:lang w:val="en-GB"/>
                    </w:rPr>
                    <m:t>F</m:t>
                  </m:r>
                </m:sub>
              </m:sSub>
            </m:e>
          </m:d>
          <m:sSub>
            <m:sSubPr>
              <m:ctrlPr>
                <w:rPr>
                  <w:rFonts w:ascii="Cambria Math" w:hAnsi="Cambria Math"/>
                  <w:lang w:val="en-GB"/>
                </w:rPr>
              </m:ctrlPr>
            </m:sSubPr>
            <m:e>
              <m:r>
                <w:rPr>
                  <w:rFonts w:ascii="Cambria Math" w:hAnsi="Cambria Math"/>
                  <w:lang w:val="en-GB"/>
                </w:rPr>
                <m:t>e</m:t>
              </m:r>
            </m:e>
            <m:sub>
              <m:r>
                <w:rPr>
                  <w:rFonts w:ascii="Cambria Math" w:hAnsi="Cambria Math"/>
                  <w:lang w:val="en-GB"/>
                </w:rPr>
                <m:t>LO</m:t>
              </m:r>
            </m:sub>
          </m:sSub>
          <m:r>
            <m:rPr>
              <m:sty m:val="p"/>
            </m:rPr>
            <w:rPr>
              <w:rFonts w:ascii="Cambria Math" w:eastAsiaTheme="minorEastAsia" w:hAnsi="Cambria Math"/>
              <w:lang w:val="en-GB"/>
            </w:rPr>
            <w:br/>
          </m:r>
        </m:oMath>
      </m:oMathPara>
      <w:r w:rsidR="00903949" w:rsidRPr="00150A31">
        <w:rPr>
          <w:lang w:val="en-GB"/>
        </w:rPr>
        <w:t xml:space="preserve">The iteration process for generating EDPs used periodic boundary conditions and closure for termination. Segments of low electron density with a length that would extend beyond the length of the EDP vector, </w:t>
      </w:r>
      <w:r w:rsidR="00903949" w:rsidRPr="00150A31">
        <w:rPr>
          <w:iCs/>
          <w:lang w:val="en-GB"/>
        </w:rPr>
        <w:t>L</w:t>
      </w:r>
      <w:r w:rsidR="00903949" w:rsidRPr="00150A31">
        <w:rPr>
          <w:iCs/>
          <w:vertAlign w:val="subscript"/>
          <w:lang w:val="en-GB"/>
        </w:rPr>
        <w:t>EDP</w:t>
      </w:r>
      <w:r w:rsidR="00903949" w:rsidRPr="00150A31">
        <w:rPr>
          <w:lang w:val="en-GB"/>
        </w:rPr>
        <w:t>, were folded onto the beginning of the EDP vector. Closure for termination was implemented by ensuring that the</w:t>
      </w:r>
      <w:r w:rsidR="00560BA0">
        <w:rPr>
          <w:lang w:val="en-GB"/>
        </w:rPr>
        <w:t xml:space="preserve"> </w:t>
      </w:r>
      <w:r w:rsidR="00903949" w:rsidRPr="00150A31">
        <w:rPr>
          <w:lang w:val="en-GB"/>
        </w:rPr>
        <w:t>length of an inserted random segment resulted in an average electron density of the EDP vector that was larger than or equal to the target average electron density</w:t>
      </w:r>
      <w:r w:rsidR="00560BA0">
        <w:rPr>
          <w:lang w:val="en-GB"/>
        </w:rPr>
        <w:t xml:space="preserve"> </w:t>
      </w:r>
      <w:r w:rsidR="00903949" w:rsidRPr="00150A31">
        <w:rPr>
          <w:lang w:val="en-GB"/>
        </w:rPr>
        <w:t>value. Generated insertion segments that failed this criterion were discarded.</w:t>
      </w:r>
    </w:p>
    <w:p w14:paraId="6F5C41B6" w14:textId="77777777" w:rsidR="00903949" w:rsidRPr="00150A31" w:rsidRDefault="00903949" w:rsidP="00903949">
      <w:pPr>
        <w:rPr>
          <w:lang w:val="en-GB"/>
        </w:rPr>
      </w:pPr>
      <w:r w:rsidRPr="00150A31">
        <w:rPr>
          <w:lang w:val="en-GB"/>
        </w:rPr>
        <w:t xml:space="preserve">When the average electron density of the EDP vector matched the target electron density (to the resolution imposed by </w:t>
      </w:r>
      <w:r w:rsidRPr="00150A31">
        <w:rPr>
          <w:i/>
          <w:iCs/>
          <w:lang w:val="en-GB"/>
        </w:rPr>
        <w:t>L</w:t>
      </w:r>
      <w:r w:rsidRPr="00150A31">
        <w:rPr>
          <w:i/>
          <w:iCs/>
          <w:vertAlign w:val="subscript"/>
          <w:lang w:val="en-GB"/>
        </w:rPr>
        <w:t>EDP</w:t>
      </w:r>
      <w:r w:rsidRPr="00150A31">
        <w:rPr>
          <w:lang w:val="en-GB"/>
        </w:rPr>
        <w:t xml:space="preserve">), the iteration was terminated. A </w:t>
      </w:r>
      <w:r w:rsidRPr="00150A31">
        <w:rPr>
          <w:lang w:val="en-GB"/>
        </w:rPr>
        <w:lastRenderedPageBreak/>
        <w:t xml:space="preserve">consequence of the termination by closure was that all electron density paths generated for a certain set of </w:t>
      </w:r>
      <w:r w:rsidRPr="00150A31">
        <w:rPr>
          <w:i/>
          <w:iCs/>
          <w:lang w:val="en-GB"/>
        </w:rPr>
        <w:t>e</w:t>
      </w:r>
      <w:r w:rsidRPr="00150A31">
        <w:rPr>
          <w:i/>
          <w:iCs/>
          <w:vertAlign w:val="subscript"/>
          <w:lang w:val="en-GB"/>
        </w:rPr>
        <w:t>HI</w:t>
      </w:r>
      <w:r w:rsidRPr="00150A31">
        <w:rPr>
          <w:lang w:val="en-GB"/>
        </w:rPr>
        <w:t xml:space="preserve">, </w:t>
      </w:r>
      <w:r w:rsidRPr="00150A31">
        <w:rPr>
          <w:i/>
          <w:iCs/>
          <w:lang w:val="en-GB"/>
        </w:rPr>
        <w:t>e</w:t>
      </w:r>
      <w:r w:rsidRPr="00150A31">
        <w:rPr>
          <w:i/>
          <w:iCs/>
          <w:vertAlign w:val="subscript"/>
          <w:lang w:val="en-GB"/>
        </w:rPr>
        <w:t>LO</w:t>
      </w:r>
      <w:r w:rsidRPr="00150A31">
        <w:rPr>
          <w:lang w:val="en-GB"/>
        </w:rPr>
        <w:t xml:space="preserve">, </w:t>
      </w:r>
      <w:r w:rsidRPr="00150A31">
        <w:rPr>
          <w:i/>
          <w:iCs/>
          <w:lang w:val="en-GB"/>
        </w:rPr>
        <w:t>F</w:t>
      </w:r>
      <w:r w:rsidRPr="00150A31">
        <w:rPr>
          <w:i/>
          <w:iCs/>
          <w:vertAlign w:val="subscript"/>
          <w:lang w:val="en-GB"/>
        </w:rPr>
        <w:t>F</w:t>
      </w:r>
      <w:r w:rsidRPr="00150A31">
        <w:rPr>
          <w:lang w:val="en-GB"/>
        </w:rPr>
        <w:t xml:space="preserve"> input parameters had the same number of vector elements with high electron density values, though distributed differently within the EDP vector. The variability between electron density paths generated with the same set of input parameters was in the number of segments with consecutive high or low electron density values. The periodic boundary conditions made the number of segments with high electron density values equal to the number of segments with low electron density values. Hence, only one number was needed to specify the number of segments within an electron density path.</w:t>
      </w:r>
    </w:p>
    <w:p w14:paraId="4151C520" w14:textId="77777777" w:rsidR="00903949" w:rsidRPr="00150A31" w:rsidRDefault="00903949" w:rsidP="00903949">
      <w:pPr>
        <w:rPr>
          <w:lang w:val="en-GB"/>
        </w:rPr>
      </w:pPr>
      <w:r w:rsidRPr="00150A31">
        <w:rPr>
          <w:lang w:val="en-GB"/>
        </w:rPr>
        <w:t>For each EDP the number of segments and the number vector elements with high and low electron density values were accumulated, making it possible to establish an apparent average particle size (AAPS) and an apparent average cavity size (AACS) for a certain set of input parameters. Due to the strong and abundant interaction between particles in cellulose rich fibre walls, the average size estimates obtained for this kind of samples were interpreted as apparent average sizes.</w:t>
      </w:r>
    </w:p>
    <w:p w14:paraId="79042693" w14:textId="77777777" w:rsidR="00903949" w:rsidRPr="00150A31" w:rsidRDefault="00903949" w:rsidP="00903949">
      <w:pPr>
        <w:rPr>
          <w:lang w:val="en-GB"/>
        </w:rPr>
      </w:pPr>
      <w:r w:rsidRPr="00150A31">
        <w:rPr>
          <w:lang w:val="en-GB"/>
        </w:rPr>
        <w:t xml:space="preserve">Once an EDP vector simulation was terminated, its autocorrelation function, </w:t>
      </w:r>
      <w:r w:rsidRPr="00150A31">
        <w:rPr>
          <w:i/>
          <w:iCs/>
          <w:lang w:val="en-GB"/>
        </w:rPr>
        <w:t>h</w:t>
      </w:r>
      <w:r w:rsidRPr="00150A31">
        <w:rPr>
          <w:i/>
          <w:iCs/>
          <w:vertAlign w:val="subscript"/>
          <w:lang w:val="en-GB"/>
        </w:rPr>
        <w:t xml:space="preserve">n </w:t>
      </w:r>
      <w:r w:rsidRPr="00150A31">
        <w:rPr>
          <w:lang w:val="en-GB"/>
        </w:rPr>
        <w:t xml:space="preserve">in Equation[S5], was calculated numerically using a double precision implementation of the autocorrelation routine </w:t>
      </w:r>
      <w:r w:rsidRPr="00150A31">
        <w:rPr>
          <w:i/>
          <w:iCs/>
          <w:lang w:val="en-GB"/>
        </w:rPr>
        <w:t>correl</w:t>
      </w:r>
      <w:r w:rsidRPr="00150A31">
        <w:rPr>
          <w:lang w:val="en-GB"/>
        </w:rPr>
        <w:t xml:space="preserve"> (Press et al. 1992) and accumulated. The process was repeated and typically about 10</w:t>
      </w:r>
      <w:r w:rsidRPr="00150A31">
        <w:rPr>
          <w:vertAlign w:val="superscript"/>
          <w:lang w:val="en-GB"/>
        </w:rPr>
        <w:t>8</w:t>
      </w:r>
      <w:r w:rsidRPr="00150A31">
        <w:rPr>
          <w:lang w:val="en-GB"/>
        </w:rPr>
        <w:t xml:space="preserve"> autocorrelation functions were accumulated and averaged to obtain a sufficiently low noise in the ACF at large distance. Once the </w:t>
      </w:r>
      <w:r w:rsidRPr="00150A31">
        <w:rPr>
          <w:i/>
          <w:iCs/>
          <w:lang w:val="en-GB"/>
        </w:rPr>
        <w:t>h</w:t>
      </w:r>
      <w:r w:rsidRPr="00150A31">
        <w:rPr>
          <w:i/>
          <w:iCs/>
          <w:vertAlign w:val="subscript"/>
          <w:lang w:val="en-GB"/>
        </w:rPr>
        <w:t>n</w:t>
      </w:r>
      <w:r w:rsidRPr="00150A31">
        <w:rPr>
          <w:lang w:val="en-GB"/>
        </w:rPr>
        <w:t xml:space="preserve"> was established the corresponding spatial correlation function, </w:t>
      </w:r>
      <w:r w:rsidRPr="00150A31">
        <w:rPr>
          <w:i/>
          <w:iCs/>
          <w:lang w:val="en-GB"/>
        </w:rPr>
        <w:t>g</w:t>
      </w:r>
      <w:r w:rsidRPr="00150A31">
        <w:rPr>
          <w:i/>
          <w:iCs/>
          <w:vertAlign w:val="subscript"/>
          <w:lang w:val="en-GB"/>
        </w:rPr>
        <w:t>n</w:t>
      </w:r>
      <w:r w:rsidRPr="00150A31">
        <w:rPr>
          <w:lang w:val="en-GB"/>
        </w:rPr>
        <w:t xml:space="preserve"> could be generated, Equation [S5]. </w:t>
      </w:r>
    </w:p>
    <w:p w14:paraId="7A7FDF27" w14:textId="2F48E052" w:rsidR="00903949" w:rsidRPr="00903949" w:rsidRDefault="00903949" w:rsidP="00903949">
      <w:pPr>
        <w:rPr>
          <w:lang w:val="en-GB"/>
        </w:rPr>
      </w:pPr>
      <w:r w:rsidRPr="00150A31">
        <w:rPr>
          <w:lang w:val="en-GB"/>
        </w:rPr>
        <w:t>From Equation [S4] the discrete counterpart of the so-called pair distance distribution function (PDDF) was identified as:</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7"/>
        <w:gridCol w:w="3910"/>
      </w:tblGrid>
      <w:tr w:rsidR="00903949" w:rsidRPr="00150A31" w14:paraId="20ECACF1" w14:textId="77777777" w:rsidTr="00903949">
        <w:trPr>
          <w:trHeight w:val="503"/>
        </w:trPr>
        <w:tc>
          <w:tcPr>
            <w:tcW w:w="4027" w:type="dxa"/>
            <w:vAlign w:val="center"/>
          </w:tcPr>
          <w:p w14:paraId="393FA06F" w14:textId="77777777" w:rsidR="00903949" w:rsidRPr="00150A31" w:rsidRDefault="00C47680" w:rsidP="00903949">
            <w:pPr>
              <w:pStyle w:val="equation"/>
              <w:rPr>
                <w:lang w:val="en-GB"/>
              </w:rPr>
            </w:pPr>
            <m:oMathPara>
              <m:oMathParaPr>
                <m:jc m:val="left"/>
              </m:oMathParaPr>
              <m:oMath>
                <m:sSub>
                  <m:sSubPr>
                    <m:ctrlPr>
                      <w:rPr>
                        <w:rFonts w:ascii="Cambria Math" w:hAnsi="Cambria Math"/>
                        <w:lang w:val="en-GB"/>
                      </w:rPr>
                    </m:ctrlPr>
                  </m:sSubPr>
                  <m:e>
                    <m:r>
                      <w:rPr>
                        <w:rFonts w:ascii="Cambria Math" w:hAnsi="Cambria Math"/>
                        <w:lang w:val="en-GB"/>
                      </w:rPr>
                      <m:t>PDDF</m:t>
                    </m:r>
                  </m:e>
                  <m:sub>
                    <m:r>
                      <w:rPr>
                        <w:rFonts w:ascii="Cambria Math" w:hAnsi="Cambria Math"/>
                        <w:lang w:val="en-GB"/>
                      </w:rPr>
                      <m:t>n</m:t>
                    </m:r>
                  </m:sub>
                </m:sSub>
                <m:r>
                  <m:rPr>
                    <m:sty m:val="p"/>
                  </m:rPr>
                  <w:rPr>
                    <w:rFonts w:ascii="Cambria Math" w:hAnsi="Cambria Math"/>
                    <w:lang w:val="en-GB"/>
                  </w:rPr>
                  <m:t>=∆</m:t>
                </m:r>
                <m:sSup>
                  <m:sSupPr>
                    <m:ctrlPr>
                      <w:rPr>
                        <w:rFonts w:ascii="Cambria Math" w:hAnsi="Cambria Math"/>
                        <w:lang w:val="en-GB"/>
                      </w:rPr>
                    </m:ctrlPr>
                  </m:sSupPr>
                  <m:e>
                    <m:r>
                      <w:rPr>
                        <w:rFonts w:ascii="Cambria Math" w:hAnsi="Cambria Math"/>
                        <w:lang w:val="en-GB"/>
                      </w:rPr>
                      <m:t>x</m:t>
                    </m:r>
                  </m:e>
                  <m:sup>
                    <m:r>
                      <m:rPr>
                        <m:sty m:val="p"/>
                      </m:rPr>
                      <w:rPr>
                        <w:rFonts w:ascii="Cambria Math" w:hAnsi="Cambria Math"/>
                        <w:lang w:val="en-GB"/>
                      </w:rPr>
                      <m:t>2</m:t>
                    </m:r>
                  </m:sup>
                </m:sSup>
                <m:sSup>
                  <m:sSupPr>
                    <m:ctrlPr>
                      <w:rPr>
                        <w:rFonts w:ascii="Cambria Math" w:hAnsi="Cambria Math"/>
                        <w:lang w:val="en-GB"/>
                      </w:rPr>
                    </m:ctrlPr>
                  </m:sSupPr>
                  <m:e>
                    <m:r>
                      <w:rPr>
                        <w:rFonts w:ascii="Cambria Math" w:hAnsi="Cambria Math"/>
                        <w:lang w:val="en-GB"/>
                      </w:rPr>
                      <m:t>n</m:t>
                    </m:r>
                  </m:e>
                  <m:sup>
                    <m:r>
                      <m:rPr>
                        <m:sty m:val="p"/>
                      </m:rPr>
                      <w:rPr>
                        <w:rFonts w:ascii="Cambria Math" w:hAnsi="Cambria Math"/>
                        <w:lang w:val="en-GB"/>
                      </w:rPr>
                      <m:t>2</m:t>
                    </m:r>
                  </m:sup>
                </m:sSup>
                <m:sSub>
                  <m:sSubPr>
                    <m:ctrlPr>
                      <w:rPr>
                        <w:rFonts w:ascii="Cambria Math" w:hAnsi="Cambria Math"/>
                        <w:lang w:val="en-GB"/>
                      </w:rPr>
                    </m:ctrlPr>
                  </m:sSubPr>
                  <m:e>
                    <m:r>
                      <w:rPr>
                        <w:rFonts w:ascii="Cambria Math" w:hAnsi="Cambria Math"/>
                        <w:lang w:val="en-GB"/>
                      </w:rPr>
                      <m:t>g</m:t>
                    </m:r>
                  </m:e>
                  <m:sub>
                    <m:r>
                      <w:rPr>
                        <w:rFonts w:ascii="Cambria Math" w:hAnsi="Cambria Math"/>
                        <w:lang w:val="en-GB"/>
                      </w:rPr>
                      <m:t>n</m:t>
                    </m:r>
                  </m:sub>
                </m:sSub>
              </m:oMath>
            </m:oMathPara>
          </w:p>
        </w:tc>
        <w:tc>
          <w:tcPr>
            <w:tcW w:w="3910" w:type="dxa"/>
            <w:vAlign w:val="center"/>
          </w:tcPr>
          <w:p w14:paraId="58FA99D7" w14:textId="77777777" w:rsidR="00903949" w:rsidRPr="00150A31" w:rsidRDefault="00903949" w:rsidP="00475FD9">
            <w:pPr>
              <w:pStyle w:val="equation"/>
              <w:jc w:val="right"/>
              <w:rPr>
                <w:lang w:val="en-GB"/>
              </w:rPr>
            </w:pPr>
            <w:r w:rsidRPr="00150A31">
              <w:rPr>
                <w:lang w:val="en-GB"/>
              </w:rPr>
              <w:t>[S6]</w:t>
            </w:r>
          </w:p>
        </w:tc>
      </w:tr>
    </w:tbl>
    <w:p w14:paraId="3D6185D1" w14:textId="77777777" w:rsidR="00903949" w:rsidRPr="00150A31" w:rsidRDefault="00903949" w:rsidP="00903949">
      <w:pPr>
        <w:rPr>
          <w:lang w:val="en-GB"/>
        </w:rPr>
      </w:pPr>
      <w:r w:rsidRPr="00150A31">
        <w:rPr>
          <w:lang w:val="en-GB"/>
        </w:rPr>
        <w:t xml:space="preserve">At large distances (large values of </w:t>
      </w:r>
      <w:r w:rsidRPr="00150A31">
        <w:rPr>
          <w:i/>
          <w:iCs/>
          <w:lang w:val="en-GB"/>
        </w:rPr>
        <w:t>n</w:t>
      </w:r>
      <w:r w:rsidRPr="00150A31">
        <w:rPr>
          <w:lang w:val="en-GB"/>
        </w:rPr>
        <w:t xml:space="preserve">) the </w:t>
      </w:r>
      <w:r w:rsidRPr="00150A31">
        <w:rPr>
          <w:i/>
          <w:iCs/>
          <w:lang w:val="en-GB"/>
        </w:rPr>
        <w:t>n</w:t>
      </w:r>
      <w:r w:rsidRPr="00150A31">
        <w:rPr>
          <w:i/>
          <w:iCs/>
          <w:vertAlign w:val="superscript"/>
          <w:lang w:val="en-GB"/>
        </w:rPr>
        <w:t>2</w:t>
      </w:r>
      <w:r w:rsidRPr="00150A31">
        <w:rPr>
          <w:lang w:val="en-GB"/>
        </w:rPr>
        <w:t xml:space="preserve"> scaling of </w:t>
      </w:r>
      <w:r w:rsidRPr="00150A31">
        <w:rPr>
          <w:i/>
          <w:iCs/>
          <w:lang w:val="en-GB"/>
        </w:rPr>
        <w:t>g</w:t>
      </w:r>
      <w:r w:rsidRPr="00150A31">
        <w:rPr>
          <w:i/>
          <w:iCs/>
          <w:vertAlign w:val="subscript"/>
          <w:lang w:val="en-GB"/>
        </w:rPr>
        <w:t>n</w:t>
      </w:r>
      <w:r w:rsidRPr="00150A31">
        <w:rPr>
          <w:lang w:val="en-GB"/>
        </w:rPr>
        <w:t xml:space="preserve"> in Equation [S6] effectively means that the noise in the </w:t>
      </w:r>
      <w:r w:rsidRPr="00150A31">
        <w:rPr>
          <w:i/>
          <w:iCs/>
          <w:lang w:val="en-GB"/>
        </w:rPr>
        <w:t>g</w:t>
      </w:r>
      <w:r w:rsidRPr="00150A31">
        <w:rPr>
          <w:i/>
          <w:iCs/>
          <w:vertAlign w:val="subscript"/>
          <w:lang w:val="en-GB"/>
        </w:rPr>
        <w:t>n</w:t>
      </w:r>
      <w:r w:rsidRPr="00150A31">
        <w:rPr>
          <w:lang w:val="en-GB"/>
        </w:rPr>
        <w:t xml:space="preserve"> at large distances must be kept small. Also, the length of the </w:t>
      </w:r>
      <w:r w:rsidRPr="00150A31">
        <w:rPr>
          <w:i/>
          <w:iCs/>
          <w:lang w:val="en-GB"/>
        </w:rPr>
        <w:t>g</w:t>
      </w:r>
      <w:r w:rsidRPr="00150A31">
        <w:rPr>
          <w:i/>
          <w:iCs/>
          <w:vertAlign w:val="subscript"/>
          <w:lang w:val="en-GB"/>
        </w:rPr>
        <w:t>n</w:t>
      </w:r>
      <w:r w:rsidRPr="00150A31">
        <w:rPr>
          <w:lang w:val="en-GB"/>
        </w:rPr>
        <w:t xml:space="preserve"> vector must be long enough to accommodate the decay of </w:t>
      </w:r>
      <w:r w:rsidRPr="00150A31">
        <w:rPr>
          <w:i/>
          <w:iCs/>
          <w:lang w:val="en-GB"/>
        </w:rPr>
        <w:t>g</w:t>
      </w:r>
      <w:r w:rsidRPr="00150A31">
        <w:rPr>
          <w:i/>
          <w:iCs/>
          <w:vertAlign w:val="subscript"/>
          <w:lang w:val="en-GB"/>
        </w:rPr>
        <w:t>n</w:t>
      </w:r>
      <w:r w:rsidRPr="00150A31">
        <w:rPr>
          <w:lang w:val="en-GB"/>
        </w:rPr>
        <w:t xml:space="preserve"> to values sufficiently close to zero. For these reasons, the discrete PDDF can be used to evaluate the quality of the simulated correlation functions, </w:t>
      </w:r>
      <w:r w:rsidRPr="00150A31">
        <w:rPr>
          <w:i/>
          <w:iCs/>
          <w:lang w:val="en-GB"/>
        </w:rPr>
        <w:t>g</w:t>
      </w:r>
      <w:r w:rsidRPr="00150A31">
        <w:rPr>
          <w:i/>
          <w:iCs/>
          <w:vertAlign w:val="subscript"/>
          <w:lang w:val="en-GB"/>
        </w:rPr>
        <w:t>n</w:t>
      </w:r>
      <w:r w:rsidRPr="00150A31">
        <w:rPr>
          <w:lang w:val="en-GB"/>
        </w:rPr>
        <w:t xml:space="preserve"> or </w:t>
      </w:r>
      <w:r w:rsidRPr="00150A31">
        <w:rPr>
          <w:i/>
          <w:iCs/>
          <w:lang w:val="en-GB"/>
        </w:rPr>
        <w:t>h</w:t>
      </w:r>
      <w:r w:rsidRPr="00150A31">
        <w:rPr>
          <w:i/>
          <w:iCs/>
          <w:vertAlign w:val="subscript"/>
          <w:lang w:val="en-GB"/>
        </w:rPr>
        <w:t>n</w:t>
      </w:r>
      <w:r w:rsidRPr="00150A31">
        <w:rPr>
          <w:lang w:val="en-GB"/>
        </w:rPr>
        <w:t xml:space="preserve">. </w:t>
      </w:r>
    </w:p>
    <w:p w14:paraId="61576FCD" w14:textId="1FA63029" w:rsidR="00903949" w:rsidRPr="00150A31" w:rsidRDefault="00903949" w:rsidP="00903949">
      <w:pPr>
        <w:rPr>
          <w:lang w:val="en-GB"/>
        </w:rPr>
      </w:pPr>
      <w:r w:rsidRPr="00150A31">
        <w:rPr>
          <w:lang w:val="en-GB"/>
        </w:rPr>
        <w:t xml:space="preserve">Two examples of simulated PDDFs are shown in Figure S2, both graphs show an increase to a maximum followed by a decay approaching zero frequency at larger distances. The effect of noise can also be seen in both graphs in Figure S2. At </w:t>
      </w:r>
      <w:r w:rsidRPr="00150A31">
        <w:rPr>
          <w:lang w:val="en-GB"/>
        </w:rPr>
        <w:lastRenderedPageBreak/>
        <w:t xml:space="preserve">intermediate distances (distances around 2000 units in the PDDF for the water swollen case, and distances around of 1250 units in the PDDF for the dry case) the frequency are close to zero, deviating successively more from zero at larger distances. The deviation from zero frequency at large distances was due to the noise in the SCFs at large distances and not a structural feature of the sample. This was established by performing simulations with increasing numbers of accumulated EDPs. Based on the simulated PDDF judgements were made about the values necessary for the numerical input parameters. The PDDFs shown in Figure S2 was judged acceptable for numerical calculations of scattered intensities. </w:t>
      </w:r>
    </w:p>
    <w:p w14:paraId="63F41875" w14:textId="2BC27BE1" w:rsidR="00903949" w:rsidRDefault="00903949" w:rsidP="00903949">
      <w:pPr>
        <w:rPr>
          <w:lang w:val="en-GB"/>
        </w:rPr>
      </w:pPr>
      <w:r w:rsidRPr="00150A31">
        <w:rPr>
          <w:lang w:val="en-GB"/>
        </w:rPr>
        <w:t xml:space="preserve">As guide-lines for choosing values of the numerical input parameters, the position of maximum frequency in the PDDF was used as a starting point. Once the input parameters describing a sample was chosen, and values has been set for the numerical input parameters (Table S1), in particular the </w:t>
      </w:r>
      <w:r w:rsidRPr="00150A31">
        <w:rPr>
          <w:i/>
          <w:iCs/>
          <w:lang w:val="en-GB"/>
        </w:rPr>
        <w:t>S</w:t>
      </w:r>
      <w:r w:rsidRPr="00150A31">
        <w:rPr>
          <w:i/>
          <w:iCs/>
          <w:vertAlign w:val="subscript"/>
          <w:lang w:val="en-GB"/>
        </w:rPr>
        <w:t>MAX</w:t>
      </w:r>
      <w:r w:rsidRPr="00150A31">
        <w:rPr>
          <w:lang w:val="en-GB"/>
        </w:rPr>
        <w:t xml:space="preserve"> and the </w:t>
      </w:r>
      <w:r w:rsidRPr="00150A31">
        <w:rPr>
          <w:i/>
          <w:iCs/>
          <w:lang w:val="en-GB"/>
        </w:rPr>
        <w:t>F</w:t>
      </w:r>
      <w:r w:rsidRPr="00150A31">
        <w:rPr>
          <w:i/>
          <w:iCs/>
          <w:vertAlign w:val="subscript"/>
          <w:lang w:val="en-GB"/>
        </w:rPr>
        <w:t xml:space="preserve">J </w:t>
      </w:r>
      <w:r w:rsidRPr="00150A31">
        <w:rPr>
          <w:lang w:val="en-GB"/>
        </w:rPr>
        <w:t>parameters, a trial simulation with a smaller number of accumulated EDPs was performed. From the results of such trial simulation the position of maximum frequency in the PDDF was established, and the necessary length of the EDP vectors could be estimated. For reaching a sufficient decay in the PDDF the length of the SCF was set to about ten times the distance to the position of the maximum in the PDDF, implying an EDP length twice that of the SCF. With those parameters set, the number of accumulated autocorrelation functions was increased until a sufficiently low noised in the PDDF was obtained at long distances.</w:t>
      </w:r>
    </w:p>
    <w:p w14:paraId="5F172FA4" w14:textId="07A05D2B" w:rsidR="00903949" w:rsidRDefault="00903949" w:rsidP="00903949">
      <w:pPr>
        <w:rPr>
          <w:lang w:val="en-GB"/>
        </w:rPr>
      </w:pPr>
      <w:r w:rsidRPr="00150A31">
        <w:rPr>
          <w:noProof/>
          <w:lang w:val="en-GB"/>
        </w:rPr>
        <w:lastRenderedPageBreak/>
        <w:drawing>
          <wp:inline distT="0" distB="0" distL="0" distR="0" wp14:anchorId="2E22F3CB" wp14:editId="2EB80C60">
            <wp:extent cx="5039995" cy="3286854"/>
            <wp:effectExtent l="0" t="0" r="8255" b="8890"/>
            <wp:docPr id="27" name="Bildobjekt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39995" cy="3286854"/>
                    </a:xfrm>
                    <a:prstGeom prst="rect">
                      <a:avLst/>
                    </a:prstGeom>
                    <a:noFill/>
                    <a:ln>
                      <a:noFill/>
                    </a:ln>
                  </pic:spPr>
                </pic:pic>
              </a:graphicData>
            </a:graphic>
          </wp:inline>
        </w:drawing>
      </w:r>
    </w:p>
    <w:p w14:paraId="01A1C38F" w14:textId="5F406C22" w:rsidR="00903949" w:rsidRDefault="00903949" w:rsidP="00903949">
      <w:pPr>
        <w:pStyle w:val="figlegend"/>
        <w:rPr>
          <w:lang w:val="en-GB"/>
        </w:rPr>
      </w:pPr>
      <w:r w:rsidRPr="00150A31">
        <w:rPr>
          <w:noProof/>
          <w:lang w:val="en-GB"/>
        </w:rPr>
        <w:drawing>
          <wp:inline distT="0" distB="0" distL="0" distR="0" wp14:anchorId="59E0AB77" wp14:editId="46129C01">
            <wp:extent cx="5039995" cy="3286854"/>
            <wp:effectExtent l="0" t="0" r="8255" b="0"/>
            <wp:docPr id="28" name="Bildobjekt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39995" cy="3286854"/>
                    </a:xfrm>
                    <a:prstGeom prst="rect">
                      <a:avLst/>
                    </a:prstGeom>
                    <a:noFill/>
                    <a:ln>
                      <a:noFill/>
                    </a:ln>
                  </pic:spPr>
                </pic:pic>
              </a:graphicData>
            </a:graphic>
          </wp:inline>
        </w:drawing>
      </w:r>
      <w:r w:rsidRPr="00150A31">
        <w:rPr>
          <w:lang w:val="en-GB"/>
        </w:rPr>
        <w:t>Figure S2. Two examples of simulated pair distance distribution functions (PDDF). The label in the top right corner relates to the input parameters used. For charting, the point of maximum frequency in both curves were arbitrarily normalized to a value of 1.</w:t>
      </w:r>
    </w:p>
    <w:p w14:paraId="458132FC" w14:textId="088DD733" w:rsidR="00903949" w:rsidRDefault="00903949" w:rsidP="00903949">
      <w:pPr>
        <w:rPr>
          <w:lang w:val="en-GB"/>
        </w:rPr>
      </w:pPr>
    </w:p>
    <w:p w14:paraId="0D72C6E1" w14:textId="77777777" w:rsidR="00475FD9" w:rsidRPr="00150A31" w:rsidRDefault="00475FD9" w:rsidP="00475FD9">
      <w:pPr>
        <w:pStyle w:val="tablelegend"/>
        <w:rPr>
          <w:lang w:val="en-GB"/>
        </w:rPr>
      </w:pPr>
      <w:r w:rsidRPr="00150A31">
        <w:rPr>
          <w:lang w:val="en-GB"/>
        </w:rPr>
        <w:t xml:space="preserve">Table S2. The input parameters used to simulate the pair distance distribution functions shown in Figure S2. The input values </w:t>
      </w:r>
      <w:r w:rsidRPr="00150A31">
        <w:rPr>
          <w:i/>
          <w:iCs/>
          <w:lang w:val="en-GB"/>
        </w:rPr>
        <w:t>L</w:t>
      </w:r>
      <w:r w:rsidRPr="00150A31">
        <w:rPr>
          <w:i/>
          <w:iCs/>
          <w:vertAlign w:val="subscript"/>
          <w:lang w:val="en-GB"/>
        </w:rPr>
        <w:t>EDP</w:t>
      </w:r>
      <w:r w:rsidRPr="00150A31">
        <w:rPr>
          <w:lang w:val="en-GB"/>
        </w:rPr>
        <w:t xml:space="preserve"> = 8192, N</w:t>
      </w:r>
      <w:r w:rsidRPr="00150A31">
        <w:rPr>
          <w:vertAlign w:val="subscript"/>
          <w:lang w:val="en-GB"/>
        </w:rPr>
        <w:t>EDP</w:t>
      </w:r>
      <w:r w:rsidRPr="00150A31">
        <w:rPr>
          <w:lang w:val="en-GB"/>
        </w:rPr>
        <w:t xml:space="preserve"> = 1x10</w:t>
      </w:r>
      <w:r w:rsidRPr="00150A31">
        <w:rPr>
          <w:vertAlign w:val="superscript"/>
          <w:lang w:val="en-GB"/>
        </w:rPr>
        <w:t>8</w:t>
      </w:r>
      <w:r w:rsidRPr="00150A31">
        <w:rPr>
          <w:lang w:val="en-GB"/>
        </w:rPr>
        <w:t xml:space="preserve">, </w:t>
      </w:r>
      <w:r w:rsidRPr="00150A31">
        <w:rPr>
          <w:i/>
          <w:iCs/>
          <w:lang w:val="en-GB"/>
        </w:rPr>
        <w:t>F</w:t>
      </w:r>
      <w:r w:rsidRPr="00150A31">
        <w:rPr>
          <w:i/>
          <w:iCs/>
          <w:vertAlign w:val="subscript"/>
          <w:lang w:val="en-GB"/>
        </w:rPr>
        <w:t>J</w:t>
      </w:r>
      <w:r w:rsidRPr="00150A31">
        <w:rPr>
          <w:lang w:val="en-GB"/>
        </w:rPr>
        <w:t xml:space="preserve"> = 0.333 were used for both cases. The sampling statics parameters refer to the apparent average cavity size (AACS) and the apparent average particle size (AAPS). The values in parenthesis are standard deviations describing the population width generated during the simulation. The units of electron densities are arbitrarily </w:t>
      </w:r>
      <w:r w:rsidRPr="00150A31">
        <w:rPr>
          <w:lang w:val="en-GB"/>
        </w:rPr>
        <w:lastRenderedPageBreak/>
        <w:t>scaled so that the average electron density of water becomes 1, S</w:t>
      </w:r>
      <w:r w:rsidRPr="00150A31">
        <w:rPr>
          <w:vertAlign w:val="subscript"/>
          <w:lang w:val="en-GB"/>
        </w:rPr>
        <w:t>MAX</w:t>
      </w:r>
      <w:r w:rsidRPr="00150A31">
        <w:rPr>
          <w:lang w:val="en-GB"/>
        </w:rPr>
        <w:t xml:space="preserve">, AACS and AAPS are in units of vector elements, i.e. corresponding to a </w:t>
      </w:r>
      <w:r w:rsidRPr="00150A31">
        <w:rPr>
          <w:rFonts w:ascii="Symbol" w:hAnsi="Symbol"/>
          <w:i/>
          <w:iCs/>
          <w:lang w:val="en-GB"/>
        </w:rPr>
        <w:t></w:t>
      </w:r>
      <w:r w:rsidRPr="00150A31">
        <w:rPr>
          <w:i/>
          <w:iCs/>
          <w:lang w:val="en-GB"/>
        </w:rPr>
        <w:t>x</w:t>
      </w:r>
      <w:r w:rsidRPr="00150A31">
        <w:rPr>
          <w:lang w:val="en-GB"/>
        </w:rPr>
        <w:t xml:space="preserve"> value of 1. </w:t>
      </w:r>
    </w:p>
    <w:tbl>
      <w:tblPr>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6"/>
        <w:gridCol w:w="591"/>
        <w:gridCol w:w="960"/>
        <w:gridCol w:w="960"/>
        <w:gridCol w:w="960"/>
        <w:gridCol w:w="1207"/>
        <w:gridCol w:w="1276"/>
      </w:tblGrid>
      <w:tr w:rsidR="00475FD9" w:rsidRPr="00150A31" w14:paraId="1966043F" w14:textId="77777777" w:rsidTr="000526C4">
        <w:trPr>
          <w:trHeight w:val="300"/>
        </w:trPr>
        <w:tc>
          <w:tcPr>
            <w:tcW w:w="1696" w:type="dxa"/>
            <w:shd w:val="clear" w:color="auto" w:fill="auto"/>
            <w:noWrap/>
            <w:vAlign w:val="bottom"/>
            <w:hideMark/>
          </w:tcPr>
          <w:p w14:paraId="7046F5B1" w14:textId="77777777" w:rsidR="00475FD9" w:rsidRPr="00475FD9" w:rsidRDefault="00475FD9" w:rsidP="00FD6070">
            <w:pPr>
              <w:spacing w:line="240" w:lineRule="auto"/>
              <w:rPr>
                <w:rFonts w:ascii="Calibri" w:hAnsi="Calibri" w:cs="Calibri"/>
                <w:b/>
                <w:bCs/>
                <w:color w:val="000000"/>
                <w:lang w:val="en-GB" w:eastAsia="sv-SE"/>
              </w:rPr>
            </w:pPr>
            <w:r w:rsidRPr="00475FD9">
              <w:rPr>
                <w:rFonts w:ascii="Calibri" w:hAnsi="Calibri" w:cs="Calibri"/>
                <w:b/>
                <w:bCs/>
                <w:color w:val="000000"/>
                <w:lang w:val="en-GB" w:eastAsia="sv-SE"/>
              </w:rPr>
              <w:t>Label</w:t>
            </w:r>
          </w:p>
        </w:tc>
        <w:tc>
          <w:tcPr>
            <w:tcW w:w="591" w:type="dxa"/>
            <w:shd w:val="clear" w:color="auto" w:fill="auto"/>
            <w:noWrap/>
            <w:vAlign w:val="bottom"/>
            <w:hideMark/>
          </w:tcPr>
          <w:p w14:paraId="6D4C6808" w14:textId="77777777" w:rsidR="00475FD9" w:rsidRPr="00475FD9" w:rsidRDefault="00475FD9" w:rsidP="00FD6070">
            <w:pPr>
              <w:spacing w:line="240" w:lineRule="auto"/>
              <w:jc w:val="center"/>
              <w:rPr>
                <w:rFonts w:ascii="Calibri" w:hAnsi="Calibri" w:cs="Calibri"/>
                <w:b/>
                <w:bCs/>
                <w:i/>
                <w:iCs/>
                <w:color w:val="000000"/>
                <w:lang w:val="en-GB" w:eastAsia="sv-SE"/>
              </w:rPr>
            </w:pPr>
            <w:r w:rsidRPr="00475FD9">
              <w:rPr>
                <w:rFonts w:ascii="Calibri" w:hAnsi="Calibri" w:cs="Calibri"/>
                <w:b/>
                <w:bCs/>
                <w:i/>
                <w:iCs/>
                <w:color w:val="000000"/>
                <w:lang w:val="en-GB" w:eastAsia="sv-SE"/>
              </w:rPr>
              <w:t>S</w:t>
            </w:r>
            <w:r w:rsidRPr="00475FD9">
              <w:rPr>
                <w:rFonts w:ascii="Calibri" w:hAnsi="Calibri" w:cs="Calibri"/>
                <w:b/>
                <w:bCs/>
                <w:i/>
                <w:iCs/>
                <w:color w:val="000000"/>
                <w:vertAlign w:val="subscript"/>
                <w:lang w:val="en-GB" w:eastAsia="sv-SE"/>
              </w:rPr>
              <w:t>MAX</w:t>
            </w:r>
          </w:p>
        </w:tc>
        <w:tc>
          <w:tcPr>
            <w:tcW w:w="960" w:type="dxa"/>
            <w:shd w:val="clear" w:color="auto" w:fill="auto"/>
            <w:noWrap/>
            <w:vAlign w:val="bottom"/>
            <w:hideMark/>
          </w:tcPr>
          <w:p w14:paraId="273FE7EE" w14:textId="77777777" w:rsidR="00475FD9" w:rsidRPr="00475FD9" w:rsidRDefault="00475FD9" w:rsidP="00FD6070">
            <w:pPr>
              <w:spacing w:line="240" w:lineRule="auto"/>
              <w:jc w:val="center"/>
              <w:rPr>
                <w:rFonts w:ascii="Calibri" w:hAnsi="Calibri" w:cs="Calibri"/>
                <w:b/>
                <w:bCs/>
                <w:i/>
                <w:iCs/>
                <w:color w:val="000000"/>
                <w:lang w:val="en-GB" w:eastAsia="sv-SE"/>
              </w:rPr>
            </w:pPr>
            <w:r w:rsidRPr="00475FD9">
              <w:rPr>
                <w:rFonts w:ascii="Calibri" w:hAnsi="Calibri" w:cs="Calibri"/>
                <w:b/>
                <w:bCs/>
                <w:i/>
                <w:iCs/>
                <w:color w:val="000000"/>
                <w:lang w:val="en-GB" w:eastAsia="sv-SE"/>
              </w:rPr>
              <w:t>e</w:t>
            </w:r>
            <w:r w:rsidRPr="00475FD9">
              <w:rPr>
                <w:rFonts w:ascii="Calibri" w:hAnsi="Calibri" w:cs="Calibri"/>
                <w:b/>
                <w:bCs/>
                <w:i/>
                <w:iCs/>
                <w:color w:val="000000"/>
                <w:vertAlign w:val="subscript"/>
                <w:lang w:val="en-GB" w:eastAsia="sv-SE"/>
              </w:rPr>
              <w:t>LO</w:t>
            </w:r>
          </w:p>
        </w:tc>
        <w:tc>
          <w:tcPr>
            <w:tcW w:w="960" w:type="dxa"/>
            <w:shd w:val="clear" w:color="auto" w:fill="auto"/>
            <w:noWrap/>
            <w:vAlign w:val="bottom"/>
            <w:hideMark/>
          </w:tcPr>
          <w:p w14:paraId="59B15406" w14:textId="77777777" w:rsidR="00475FD9" w:rsidRPr="00475FD9" w:rsidRDefault="00475FD9" w:rsidP="00FD6070">
            <w:pPr>
              <w:spacing w:line="240" w:lineRule="auto"/>
              <w:jc w:val="center"/>
              <w:rPr>
                <w:rFonts w:ascii="Calibri" w:hAnsi="Calibri" w:cs="Calibri"/>
                <w:b/>
                <w:bCs/>
                <w:i/>
                <w:iCs/>
                <w:color w:val="000000"/>
                <w:lang w:val="en-GB" w:eastAsia="sv-SE"/>
              </w:rPr>
            </w:pPr>
            <w:r w:rsidRPr="00475FD9">
              <w:rPr>
                <w:rFonts w:ascii="Calibri" w:hAnsi="Calibri" w:cs="Calibri"/>
                <w:b/>
                <w:bCs/>
                <w:i/>
                <w:iCs/>
                <w:color w:val="000000"/>
                <w:lang w:val="en-GB" w:eastAsia="sv-SE"/>
              </w:rPr>
              <w:t>e</w:t>
            </w:r>
            <w:r w:rsidRPr="00475FD9">
              <w:rPr>
                <w:rFonts w:ascii="Calibri" w:hAnsi="Calibri" w:cs="Calibri"/>
                <w:b/>
                <w:bCs/>
                <w:i/>
                <w:iCs/>
                <w:color w:val="000000"/>
                <w:vertAlign w:val="subscript"/>
                <w:lang w:val="en-GB" w:eastAsia="sv-SE"/>
              </w:rPr>
              <w:t>HI</w:t>
            </w:r>
          </w:p>
        </w:tc>
        <w:tc>
          <w:tcPr>
            <w:tcW w:w="960" w:type="dxa"/>
            <w:shd w:val="clear" w:color="auto" w:fill="auto"/>
            <w:noWrap/>
            <w:vAlign w:val="bottom"/>
            <w:hideMark/>
          </w:tcPr>
          <w:p w14:paraId="02F15DB9" w14:textId="77777777" w:rsidR="00475FD9" w:rsidRPr="00475FD9" w:rsidRDefault="00475FD9" w:rsidP="00FD6070">
            <w:pPr>
              <w:spacing w:line="240" w:lineRule="auto"/>
              <w:jc w:val="center"/>
              <w:rPr>
                <w:rFonts w:ascii="Calibri" w:hAnsi="Calibri" w:cs="Calibri"/>
                <w:b/>
                <w:bCs/>
                <w:i/>
                <w:iCs/>
                <w:color w:val="000000"/>
                <w:lang w:val="en-GB" w:eastAsia="sv-SE"/>
              </w:rPr>
            </w:pPr>
            <w:r w:rsidRPr="00475FD9">
              <w:rPr>
                <w:rFonts w:ascii="Calibri" w:hAnsi="Calibri" w:cs="Calibri"/>
                <w:b/>
                <w:bCs/>
                <w:i/>
                <w:iCs/>
                <w:color w:val="000000"/>
                <w:lang w:val="en-GB" w:eastAsia="sv-SE"/>
              </w:rPr>
              <w:t>F</w:t>
            </w:r>
            <w:r w:rsidRPr="00475FD9">
              <w:rPr>
                <w:rFonts w:ascii="Calibri" w:hAnsi="Calibri" w:cs="Calibri"/>
                <w:b/>
                <w:bCs/>
                <w:i/>
                <w:iCs/>
                <w:color w:val="000000"/>
                <w:vertAlign w:val="subscript"/>
                <w:lang w:val="en-GB" w:eastAsia="sv-SE"/>
              </w:rPr>
              <w:t>F</w:t>
            </w:r>
          </w:p>
        </w:tc>
        <w:tc>
          <w:tcPr>
            <w:tcW w:w="1207" w:type="dxa"/>
            <w:shd w:val="clear" w:color="auto" w:fill="auto"/>
            <w:noWrap/>
            <w:vAlign w:val="bottom"/>
            <w:hideMark/>
          </w:tcPr>
          <w:p w14:paraId="00A53922" w14:textId="77777777" w:rsidR="00475FD9" w:rsidRPr="00475FD9" w:rsidRDefault="00475FD9" w:rsidP="00FD6070">
            <w:pPr>
              <w:spacing w:line="240" w:lineRule="auto"/>
              <w:jc w:val="center"/>
              <w:rPr>
                <w:rFonts w:ascii="Calibri" w:hAnsi="Calibri" w:cs="Calibri"/>
                <w:b/>
                <w:bCs/>
                <w:color w:val="000000"/>
                <w:lang w:val="en-GB" w:eastAsia="sv-SE"/>
              </w:rPr>
            </w:pPr>
            <w:r w:rsidRPr="00475FD9">
              <w:rPr>
                <w:rFonts w:ascii="Calibri" w:hAnsi="Calibri" w:cs="Calibri"/>
                <w:b/>
                <w:bCs/>
                <w:color w:val="000000"/>
                <w:lang w:val="en-GB" w:eastAsia="sv-SE"/>
              </w:rPr>
              <w:t>AACS</w:t>
            </w:r>
          </w:p>
        </w:tc>
        <w:tc>
          <w:tcPr>
            <w:tcW w:w="1276" w:type="dxa"/>
            <w:shd w:val="clear" w:color="auto" w:fill="auto"/>
            <w:noWrap/>
            <w:vAlign w:val="bottom"/>
            <w:hideMark/>
          </w:tcPr>
          <w:p w14:paraId="5D8D864C" w14:textId="77777777" w:rsidR="00475FD9" w:rsidRPr="00475FD9" w:rsidRDefault="00475FD9" w:rsidP="00FD6070">
            <w:pPr>
              <w:spacing w:line="240" w:lineRule="auto"/>
              <w:jc w:val="center"/>
              <w:rPr>
                <w:rFonts w:ascii="Calibri" w:hAnsi="Calibri" w:cs="Calibri"/>
                <w:b/>
                <w:bCs/>
                <w:color w:val="000000"/>
                <w:lang w:val="en-GB" w:eastAsia="sv-SE"/>
              </w:rPr>
            </w:pPr>
            <w:r w:rsidRPr="00475FD9">
              <w:rPr>
                <w:rFonts w:ascii="Calibri" w:hAnsi="Calibri" w:cs="Calibri"/>
                <w:b/>
                <w:bCs/>
                <w:color w:val="000000"/>
                <w:lang w:val="en-GB" w:eastAsia="sv-SE"/>
              </w:rPr>
              <w:t>AAPS</w:t>
            </w:r>
          </w:p>
        </w:tc>
      </w:tr>
      <w:tr w:rsidR="00475FD9" w:rsidRPr="00150A31" w14:paraId="18F50116" w14:textId="77777777" w:rsidTr="000526C4">
        <w:trPr>
          <w:trHeight w:val="300"/>
        </w:trPr>
        <w:tc>
          <w:tcPr>
            <w:tcW w:w="1696" w:type="dxa"/>
            <w:shd w:val="clear" w:color="auto" w:fill="auto"/>
            <w:noWrap/>
            <w:vAlign w:val="bottom"/>
            <w:hideMark/>
          </w:tcPr>
          <w:p w14:paraId="79BDA82B" w14:textId="77777777" w:rsidR="00475FD9" w:rsidRPr="00150A31" w:rsidRDefault="00475FD9" w:rsidP="00FD6070">
            <w:pPr>
              <w:spacing w:line="240" w:lineRule="auto"/>
              <w:rPr>
                <w:rFonts w:ascii="Calibri" w:hAnsi="Calibri" w:cs="Calibri"/>
                <w:color w:val="000000"/>
                <w:lang w:val="en-GB" w:eastAsia="sv-SE"/>
              </w:rPr>
            </w:pPr>
            <w:r w:rsidRPr="00150A31">
              <w:rPr>
                <w:rFonts w:ascii="Calibri" w:hAnsi="Calibri" w:cs="Calibri"/>
                <w:color w:val="000000"/>
                <w:lang w:val="en-GB" w:eastAsia="sv-SE"/>
              </w:rPr>
              <w:t>Dry</w:t>
            </w:r>
          </w:p>
        </w:tc>
        <w:tc>
          <w:tcPr>
            <w:tcW w:w="591" w:type="dxa"/>
            <w:shd w:val="clear" w:color="auto" w:fill="auto"/>
            <w:noWrap/>
            <w:vAlign w:val="bottom"/>
            <w:hideMark/>
          </w:tcPr>
          <w:p w14:paraId="7BE97E2A"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600</w:t>
            </w:r>
          </w:p>
        </w:tc>
        <w:tc>
          <w:tcPr>
            <w:tcW w:w="960" w:type="dxa"/>
            <w:shd w:val="clear" w:color="auto" w:fill="auto"/>
            <w:noWrap/>
            <w:vAlign w:val="bottom"/>
            <w:hideMark/>
          </w:tcPr>
          <w:p w14:paraId="479A1DE6"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0</w:t>
            </w:r>
          </w:p>
        </w:tc>
        <w:tc>
          <w:tcPr>
            <w:tcW w:w="960" w:type="dxa"/>
            <w:shd w:val="clear" w:color="auto" w:fill="auto"/>
            <w:noWrap/>
            <w:vAlign w:val="bottom"/>
            <w:hideMark/>
          </w:tcPr>
          <w:p w14:paraId="7E79D824"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1.4</w:t>
            </w:r>
          </w:p>
        </w:tc>
        <w:tc>
          <w:tcPr>
            <w:tcW w:w="960" w:type="dxa"/>
            <w:shd w:val="clear" w:color="auto" w:fill="auto"/>
            <w:noWrap/>
            <w:vAlign w:val="bottom"/>
            <w:hideMark/>
          </w:tcPr>
          <w:p w14:paraId="2365EA3F"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0.9</w:t>
            </w:r>
          </w:p>
        </w:tc>
        <w:tc>
          <w:tcPr>
            <w:tcW w:w="1207" w:type="dxa"/>
            <w:shd w:val="clear" w:color="auto" w:fill="auto"/>
            <w:noWrap/>
            <w:vAlign w:val="bottom"/>
            <w:hideMark/>
          </w:tcPr>
          <w:p w14:paraId="17D82E75"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239 (81)</w:t>
            </w:r>
          </w:p>
        </w:tc>
        <w:tc>
          <w:tcPr>
            <w:tcW w:w="1276" w:type="dxa"/>
            <w:shd w:val="clear" w:color="auto" w:fill="auto"/>
            <w:noWrap/>
            <w:vAlign w:val="bottom"/>
            <w:hideMark/>
          </w:tcPr>
          <w:p w14:paraId="5B7B017D"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2148 (733)</w:t>
            </w:r>
          </w:p>
        </w:tc>
      </w:tr>
      <w:tr w:rsidR="00475FD9" w:rsidRPr="00150A31" w14:paraId="1C96DAA6" w14:textId="77777777" w:rsidTr="000526C4">
        <w:trPr>
          <w:trHeight w:val="300"/>
        </w:trPr>
        <w:tc>
          <w:tcPr>
            <w:tcW w:w="1696" w:type="dxa"/>
            <w:shd w:val="clear" w:color="auto" w:fill="auto"/>
            <w:noWrap/>
            <w:vAlign w:val="bottom"/>
            <w:hideMark/>
          </w:tcPr>
          <w:p w14:paraId="0A377952" w14:textId="77777777" w:rsidR="00475FD9" w:rsidRPr="00150A31" w:rsidRDefault="00475FD9" w:rsidP="00FD6070">
            <w:pPr>
              <w:spacing w:line="240" w:lineRule="auto"/>
              <w:rPr>
                <w:rFonts w:ascii="Calibri" w:hAnsi="Calibri" w:cs="Calibri"/>
                <w:color w:val="000000"/>
                <w:lang w:val="en-GB" w:eastAsia="sv-SE"/>
              </w:rPr>
            </w:pPr>
            <w:r w:rsidRPr="00150A31">
              <w:rPr>
                <w:rFonts w:ascii="Calibri" w:hAnsi="Calibri" w:cs="Calibri"/>
                <w:color w:val="000000"/>
                <w:lang w:val="en-GB" w:eastAsia="sv-SE"/>
              </w:rPr>
              <w:t>Water swollen</w:t>
            </w:r>
          </w:p>
        </w:tc>
        <w:tc>
          <w:tcPr>
            <w:tcW w:w="591" w:type="dxa"/>
            <w:shd w:val="clear" w:color="auto" w:fill="auto"/>
            <w:noWrap/>
            <w:vAlign w:val="bottom"/>
            <w:hideMark/>
          </w:tcPr>
          <w:p w14:paraId="0D35E77B"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800</w:t>
            </w:r>
          </w:p>
        </w:tc>
        <w:tc>
          <w:tcPr>
            <w:tcW w:w="960" w:type="dxa"/>
            <w:shd w:val="clear" w:color="auto" w:fill="auto"/>
            <w:noWrap/>
            <w:vAlign w:val="bottom"/>
            <w:hideMark/>
          </w:tcPr>
          <w:p w14:paraId="67FDFEFF"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1</w:t>
            </w:r>
          </w:p>
        </w:tc>
        <w:tc>
          <w:tcPr>
            <w:tcW w:w="960" w:type="dxa"/>
            <w:shd w:val="clear" w:color="auto" w:fill="auto"/>
            <w:noWrap/>
            <w:vAlign w:val="bottom"/>
            <w:hideMark/>
          </w:tcPr>
          <w:p w14:paraId="162C6803"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1.4</w:t>
            </w:r>
          </w:p>
        </w:tc>
        <w:tc>
          <w:tcPr>
            <w:tcW w:w="960" w:type="dxa"/>
            <w:shd w:val="clear" w:color="auto" w:fill="auto"/>
            <w:noWrap/>
            <w:vAlign w:val="bottom"/>
            <w:hideMark/>
          </w:tcPr>
          <w:p w14:paraId="409EF9BB"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0.5</w:t>
            </w:r>
          </w:p>
        </w:tc>
        <w:tc>
          <w:tcPr>
            <w:tcW w:w="1207" w:type="dxa"/>
            <w:shd w:val="clear" w:color="auto" w:fill="auto"/>
            <w:noWrap/>
            <w:vAlign w:val="bottom"/>
            <w:hideMark/>
          </w:tcPr>
          <w:p w14:paraId="2DDF4F14"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479 (127)</w:t>
            </w:r>
          </w:p>
        </w:tc>
        <w:tc>
          <w:tcPr>
            <w:tcW w:w="1276" w:type="dxa"/>
            <w:shd w:val="clear" w:color="auto" w:fill="auto"/>
            <w:noWrap/>
            <w:vAlign w:val="bottom"/>
            <w:hideMark/>
          </w:tcPr>
          <w:p w14:paraId="6AE98B6E" w14:textId="77777777" w:rsidR="00475FD9" w:rsidRPr="00150A31" w:rsidRDefault="00475FD9" w:rsidP="00FD6070">
            <w:pPr>
              <w:spacing w:line="240" w:lineRule="auto"/>
              <w:jc w:val="center"/>
              <w:rPr>
                <w:rFonts w:ascii="Calibri" w:hAnsi="Calibri" w:cs="Calibri"/>
                <w:color w:val="000000"/>
                <w:lang w:val="en-GB" w:eastAsia="sv-SE"/>
              </w:rPr>
            </w:pPr>
            <w:r w:rsidRPr="00150A31">
              <w:rPr>
                <w:rFonts w:ascii="Calibri" w:hAnsi="Calibri" w:cs="Calibri"/>
                <w:color w:val="000000"/>
                <w:lang w:val="en-GB" w:eastAsia="sv-SE"/>
              </w:rPr>
              <w:t>479 (127)</w:t>
            </w:r>
          </w:p>
        </w:tc>
      </w:tr>
    </w:tbl>
    <w:p w14:paraId="44857759" w14:textId="77777777" w:rsidR="00903949" w:rsidRPr="00903949" w:rsidRDefault="00903949" w:rsidP="00903949">
      <w:pPr>
        <w:rPr>
          <w:lang w:val="en-GB"/>
        </w:rPr>
      </w:pPr>
    </w:p>
    <w:p w14:paraId="617D4321" w14:textId="71A9EE03" w:rsidR="00903949" w:rsidRDefault="00475FD9" w:rsidP="00903949">
      <w:pPr>
        <w:rPr>
          <w:lang w:val="en-GB"/>
        </w:rPr>
      </w:pPr>
      <w:r w:rsidRPr="00150A31">
        <w:rPr>
          <w:lang w:val="en-GB"/>
        </w:rPr>
        <w:t xml:space="preserve">For the purpose of modelling experimental data, one useful feature of the discrete Equation [S4] was exploited; the SCF in Equation [S4], </w:t>
      </w:r>
      <w:r w:rsidRPr="00150A31">
        <w:rPr>
          <w:i/>
          <w:iCs/>
          <w:lang w:val="en-GB"/>
        </w:rPr>
        <w:t>g</w:t>
      </w:r>
      <w:r w:rsidRPr="00150A31">
        <w:rPr>
          <w:i/>
          <w:iCs/>
          <w:vertAlign w:val="subscript"/>
          <w:lang w:val="en-GB"/>
        </w:rPr>
        <w:t>n</w:t>
      </w:r>
      <w:r w:rsidRPr="00150A31">
        <w:rPr>
          <w:lang w:val="en-GB"/>
        </w:rPr>
        <w:t xml:space="preserve">, has no explicit dependence on the step size in real space i.e. the value chosen for the </w:t>
      </w:r>
      <w:r w:rsidRPr="00150A31">
        <w:rPr>
          <w:rFonts w:ascii="Symbol" w:hAnsi="Symbol"/>
          <w:i/>
          <w:iCs/>
          <w:lang w:val="en-GB"/>
        </w:rPr>
        <w:t></w:t>
      </w:r>
      <w:r w:rsidRPr="00150A31">
        <w:rPr>
          <w:i/>
          <w:iCs/>
          <w:lang w:val="en-GB"/>
        </w:rPr>
        <w:t>x</w:t>
      </w:r>
      <w:r w:rsidRPr="00150A31">
        <w:rPr>
          <w:lang w:val="en-GB"/>
        </w:rPr>
        <w:t xml:space="preserve">. Once a SCF of sufficiently low noise was simulated, for a set of values assigned to the low and high electron density values and the volumetric fill factor, that SCF could be used to calculate SAXS intensity profiles for any choice of </w:t>
      </w:r>
      <w:r w:rsidRPr="00150A31">
        <w:rPr>
          <w:rFonts w:ascii="Symbol" w:hAnsi="Symbol"/>
          <w:i/>
          <w:iCs/>
          <w:lang w:val="en-GB"/>
        </w:rPr>
        <w:t></w:t>
      </w:r>
      <w:r w:rsidRPr="00150A31">
        <w:rPr>
          <w:i/>
          <w:iCs/>
          <w:lang w:val="en-GB"/>
        </w:rPr>
        <w:t>x</w:t>
      </w:r>
      <w:r w:rsidRPr="00150A31">
        <w:rPr>
          <w:lang w:val="en-GB"/>
        </w:rPr>
        <w:t xml:space="preserve"> and q-range as long as the Nyquist criteria (Press et al. 1992) in Equation [S7] was fulfilled.</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9"/>
        <w:gridCol w:w="3938"/>
      </w:tblGrid>
      <w:tr w:rsidR="00475FD9" w:rsidRPr="00150A31" w14:paraId="4DE70204" w14:textId="77777777" w:rsidTr="00090430">
        <w:trPr>
          <w:trHeight w:val="385"/>
        </w:trPr>
        <w:tc>
          <w:tcPr>
            <w:tcW w:w="3999" w:type="dxa"/>
            <w:vAlign w:val="center"/>
          </w:tcPr>
          <w:p w14:paraId="145E72A5" w14:textId="77777777" w:rsidR="00475FD9" w:rsidRPr="00150A31" w:rsidRDefault="00C47680" w:rsidP="00475FD9">
            <w:pPr>
              <w:pStyle w:val="equation"/>
              <w:rPr>
                <w:lang w:val="en-GB"/>
              </w:rPr>
            </w:pPr>
            <m:oMathPara>
              <m:oMathParaPr>
                <m:jc m:val="left"/>
              </m:oMathParaPr>
              <m:oMath>
                <m:sSub>
                  <m:sSubPr>
                    <m:ctrlPr>
                      <w:rPr>
                        <w:rFonts w:ascii="Cambria Math" w:hAnsi="Cambria Math"/>
                        <w:lang w:val="en-GB"/>
                      </w:rPr>
                    </m:ctrlPr>
                  </m:sSubPr>
                  <m:e>
                    <m:r>
                      <w:rPr>
                        <w:rFonts w:ascii="Cambria Math" w:hAnsi="Cambria Math"/>
                        <w:lang w:val="en-GB"/>
                      </w:rPr>
                      <m:t>q</m:t>
                    </m:r>
                  </m:e>
                  <m:sub>
                    <m:r>
                      <w:rPr>
                        <w:rFonts w:ascii="Cambria Math" w:hAnsi="Cambria Math"/>
                        <w:lang w:val="en-GB"/>
                      </w:rPr>
                      <m:t>MAX</m:t>
                    </m:r>
                  </m:sub>
                </m:sSub>
                <m:r>
                  <m:rPr>
                    <m:sty m:val="p"/>
                  </m:rPr>
                  <w:rPr>
                    <w:rFonts w:ascii="Cambria Math" w:hAnsi="Cambria Math"/>
                    <w:lang w:val="en-GB"/>
                  </w:rPr>
                  <m:t>∆</m:t>
                </m:r>
                <m:r>
                  <w:rPr>
                    <w:rFonts w:ascii="Cambria Math" w:hAnsi="Cambria Math"/>
                    <w:lang w:val="en-GB"/>
                  </w:rPr>
                  <m:t>x</m:t>
                </m:r>
                <m:r>
                  <m:rPr>
                    <m:sty m:val="p"/>
                  </m:rPr>
                  <w:rPr>
                    <w:rFonts w:ascii="Cambria Math" w:hAnsi="Cambria Math"/>
                    <w:lang w:val="en-GB"/>
                  </w:rPr>
                  <m:t>&lt;</m:t>
                </m:r>
                <m:r>
                  <w:rPr>
                    <w:rFonts w:ascii="Cambria Math" w:hAnsi="Cambria Math"/>
                    <w:lang w:val="en-GB"/>
                  </w:rPr>
                  <m:t>π</m:t>
                </m:r>
              </m:oMath>
            </m:oMathPara>
          </w:p>
        </w:tc>
        <w:tc>
          <w:tcPr>
            <w:tcW w:w="3938" w:type="dxa"/>
            <w:vAlign w:val="center"/>
          </w:tcPr>
          <w:p w14:paraId="0660E2BC" w14:textId="77777777" w:rsidR="00475FD9" w:rsidRPr="00150A31" w:rsidRDefault="00475FD9" w:rsidP="00475FD9">
            <w:pPr>
              <w:pStyle w:val="equation"/>
              <w:jc w:val="right"/>
              <w:rPr>
                <w:lang w:val="en-GB"/>
              </w:rPr>
            </w:pPr>
            <w:r w:rsidRPr="00150A31">
              <w:rPr>
                <w:lang w:val="en-GB"/>
              </w:rPr>
              <w:t>[S7]</w:t>
            </w:r>
          </w:p>
        </w:tc>
      </w:tr>
    </w:tbl>
    <w:p w14:paraId="50476E6B" w14:textId="77777777" w:rsidR="00090430" w:rsidRPr="00150A31" w:rsidRDefault="00090430" w:rsidP="00090430">
      <w:pPr>
        <w:rPr>
          <w:lang w:val="en-GB"/>
        </w:rPr>
      </w:pPr>
      <w:r w:rsidRPr="00150A31">
        <w:rPr>
          <w:lang w:val="en-GB"/>
        </w:rPr>
        <w:t>This reduced the number of simulated SCFs that was needed for modelling purposes and allowed for a convenient separation between the simulation of the SCF, and the less numerically demanding calculation of the SAXS intensity profile.</w:t>
      </w:r>
    </w:p>
    <w:p w14:paraId="1F1CD969" w14:textId="2BBE2CDB" w:rsidR="00475FD9" w:rsidRDefault="00090430" w:rsidP="00090430">
      <w:pPr>
        <w:rPr>
          <w:lang w:val="en-GB"/>
        </w:rPr>
      </w:pPr>
      <w:r w:rsidRPr="00150A31">
        <w:rPr>
          <w:lang w:val="en-GB"/>
        </w:rPr>
        <w:t>Modelling of experimental data was performed by adding intensity components and if needed a background term, Equation [S1], subsequently adjusting the weight (</w:t>
      </w:r>
      <w:r w:rsidRPr="00150A31">
        <w:rPr>
          <w:i/>
          <w:iCs/>
          <w:lang w:val="en-GB"/>
        </w:rPr>
        <w:t>w</w:t>
      </w:r>
      <w:r w:rsidRPr="00150A31">
        <w:rPr>
          <w:lang w:val="en-GB"/>
        </w:rPr>
        <w:t>) and real space step size (</w:t>
      </w:r>
      <w:r w:rsidRPr="00150A31">
        <w:rPr>
          <w:rFonts w:ascii="Symbol" w:hAnsi="Symbol"/>
          <w:i/>
          <w:iCs/>
          <w:lang w:val="en-GB"/>
        </w:rPr>
        <w:t></w:t>
      </w:r>
      <w:r w:rsidRPr="00150A31">
        <w:rPr>
          <w:i/>
          <w:iCs/>
          <w:lang w:val="en-GB"/>
        </w:rPr>
        <w:t>x</w:t>
      </w:r>
      <w:r w:rsidRPr="00150A31">
        <w:rPr>
          <w:lang w:val="en-GB"/>
        </w:rPr>
        <w:t>) of each intensity component, Equation [S4], while trying to minimize the sum of squared relative residuals (SSRR), Equation [S8].</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3"/>
        <w:gridCol w:w="3764"/>
      </w:tblGrid>
      <w:tr w:rsidR="00090430" w:rsidRPr="00150A31" w14:paraId="004394F2" w14:textId="77777777" w:rsidTr="00090430">
        <w:tc>
          <w:tcPr>
            <w:tcW w:w="4173" w:type="dxa"/>
            <w:vAlign w:val="center"/>
          </w:tcPr>
          <w:p w14:paraId="4FCE802E" w14:textId="77777777" w:rsidR="00090430" w:rsidRPr="00150A31" w:rsidRDefault="00090430" w:rsidP="00090430">
            <w:pPr>
              <w:pStyle w:val="equation"/>
              <w:rPr>
                <w:lang w:val="en-GB"/>
              </w:rPr>
            </w:pPr>
            <m:oMathPara>
              <m:oMathParaPr>
                <m:jc m:val="left"/>
              </m:oMathParaPr>
              <m:oMath>
                <m:r>
                  <w:rPr>
                    <w:rFonts w:ascii="Cambria Math" w:hAnsi="Cambria Math"/>
                    <w:lang w:val="en-GB"/>
                  </w:rPr>
                  <m:t>SSRR</m:t>
                </m:r>
                <m:r>
                  <m:rPr>
                    <m:sty m:val="p"/>
                  </m:rPr>
                  <w:rPr>
                    <w:rFonts w:ascii="Cambria Math" w:hAnsi="Cambria Math"/>
                    <w:lang w:val="en-GB"/>
                  </w:rPr>
                  <m:t>=</m:t>
                </m:r>
                <m:nary>
                  <m:naryPr>
                    <m:chr m:val="∑"/>
                    <m:limLoc m:val="undOvr"/>
                    <m:supHide m:val="1"/>
                    <m:ctrlPr>
                      <w:rPr>
                        <w:rFonts w:ascii="Cambria Math" w:hAnsi="Cambria Math"/>
                        <w:lang w:val="en-GB"/>
                      </w:rPr>
                    </m:ctrlPr>
                  </m:naryPr>
                  <m:sub>
                    <m:r>
                      <w:rPr>
                        <w:rFonts w:ascii="Cambria Math" w:hAnsi="Cambria Math"/>
                        <w:lang w:val="en-GB"/>
                      </w:rPr>
                      <m:t>i</m:t>
                    </m:r>
                  </m:sub>
                  <m:sup/>
                  <m:e>
                    <m:sSup>
                      <m:sSupPr>
                        <m:ctrlPr>
                          <w:rPr>
                            <w:rFonts w:ascii="Cambria Math" w:hAnsi="Cambria Math"/>
                            <w:lang w:val="en-GB"/>
                          </w:rPr>
                        </m:ctrlPr>
                      </m:sSupPr>
                      <m:e>
                        <m:d>
                          <m:dPr>
                            <m:begChr m:val="["/>
                            <m:endChr m:val="]"/>
                            <m:ctrlPr>
                              <w:rPr>
                                <w:rFonts w:ascii="Cambria Math" w:hAnsi="Cambria Math"/>
                                <w:lang w:val="en-GB"/>
                              </w:rPr>
                            </m:ctrlPr>
                          </m:dPr>
                          <m:e>
                            <m:f>
                              <m:fPr>
                                <m:ctrlPr>
                                  <w:rPr>
                                    <w:rFonts w:ascii="Cambria Math" w:hAnsi="Cambria Math"/>
                                    <w:lang w:val="en-GB"/>
                                  </w:rPr>
                                </m:ctrlPr>
                              </m:fPr>
                              <m:num>
                                <m:d>
                                  <m:dPr>
                                    <m:ctrlPr>
                                      <w:rPr>
                                        <w:rFonts w:ascii="Cambria Math" w:hAnsi="Cambria Math"/>
                                        <w:lang w:val="en-GB"/>
                                      </w:rPr>
                                    </m:ctrlPr>
                                  </m:dPr>
                                  <m:e>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EXP</m:t>
                                        </m:r>
                                        <m:r>
                                          <m:rPr>
                                            <m:sty m:val="p"/>
                                          </m:rPr>
                                          <w:rPr>
                                            <w:rFonts w:ascii="Cambria Math" w:hAnsi="Cambria Math"/>
                                            <w:lang w:val="en-GB"/>
                                          </w:rPr>
                                          <m:t>,</m:t>
                                        </m:r>
                                        <m:r>
                                          <w:rPr>
                                            <w:rFonts w:ascii="Cambria Math" w:hAnsi="Cambria Math"/>
                                            <w:lang w:val="en-GB"/>
                                          </w:rPr>
                                          <m:t>i</m:t>
                                        </m:r>
                                      </m:sub>
                                    </m:sSub>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CALC</m:t>
                                        </m:r>
                                        <m:r>
                                          <m:rPr>
                                            <m:sty m:val="p"/>
                                          </m:rPr>
                                          <w:rPr>
                                            <w:rFonts w:ascii="Cambria Math" w:hAnsi="Cambria Math"/>
                                            <w:lang w:val="en-GB"/>
                                          </w:rPr>
                                          <m:t>,</m:t>
                                        </m:r>
                                        <m:r>
                                          <w:rPr>
                                            <w:rFonts w:ascii="Cambria Math" w:hAnsi="Cambria Math"/>
                                            <w:lang w:val="en-GB"/>
                                          </w:rPr>
                                          <m:t>i</m:t>
                                        </m:r>
                                      </m:sub>
                                    </m:sSub>
                                  </m:e>
                                </m:d>
                              </m:num>
                              <m:den>
                                <m:sSub>
                                  <m:sSubPr>
                                    <m:ctrlPr>
                                      <w:rPr>
                                        <w:rFonts w:ascii="Cambria Math" w:hAnsi="Cambria Math"/>
                                        <w:lang w:val="en-GB"/>
                                      </w:rPr>
                                    </m:ctrlPr>
                                  </m:sSubPr>
                                  <m:e>
                                    <m:r>
                                      <w:rPr>
                                        <w:rFonts w:ascii="Cambria Math" w:hAnsi="Cambria Math"/>
                                        <w:lang w:val="en-GB"/>
                                      </w:rPr>
                                      <m:t>I</m:t>
                                    </m:r>
                                  </m:e>
                                  <m:sub>
                                    <m:r>
                                      <w:rPr>
                                        <w:rFonts w:ascii="Cambria Math" w:hAnsi="Cambria Math"/>
                                        <w:lang w:val="en-GB"/>
                                      </w:rPr>
                                      <m:t>EXP</m:t>
                                    </m:r>
                                    <m:r>
                                      <m:rPr>
                                        <m:sty m:val="p"/>
                                      </m:rPr>
                                      <w:rPr>
                                        <w:rFonts w:ascii="Cambria Math" w:hAnsi="Cambria Math"/>
                                        <w:lang w:val="en-GB"/>
                                      </w:rPr>
                                      <m:t>,</m:t>
                                    </m:r>
                                    <m:r>
                                      <w:rPr>
                                        <w:rFonts w:ascii="Cambria Math" w:hAnsi="Cambria Math"/>
                                        <w:lang w:val="en-GB"/>
                                      </w:rPr>
                                      <m:t>i</m:t>
                                    </m:r>
                                  </m:sub>
                                </m:sSub>
                              </m:den>
                            </m:f>
                          </m:e>
                        </m:d>
                      </m:e>
                      <m:sup>
                        <m:r>
                          <m:rPr>
                            <m:sty m:val="p"/>
                          </m:rPr>
                          <w:rPr>
                            <w:rFonts w:ascii="Cambria Math" w:hAnsi="Cambria Math"/>
                            <w:lang w:val="en-GB"/>
                          </w:rPr>
                          <m:t>2</m:t>
                        </m:r>
                      </m:sup>
                    </m:sSup>
                  </m:e>
                </m:nary>
              </m:oMath>
            </m:oMathPara>
          </w:p>
        </w:tc>
        <w:tc>
          <w:tcPr>
            <w:tcW w:w="3764" w:type="dxa"/>
            <w:vAlign w:val="center"/>
          </w:tcPr>
          <w:p w14:paraId="40185361" w14:textId="77777777" w:rsidR="00090430" w:rsidRPr="00150A31" w:rsidRDefault="00090430" w:rsidP="00090430">
            <w:pPr>
              <w:pStyle w:val="equation"/>
              <w:jc w:val="right"/>
              <w:rPr>
                <w:lang w:val="en-GB"/>
              </w:rPr>
            </w:pPr>
            <w:r w:rsidRPr="00150A31">
              <w:rPr>
                <w:lang w:val="en-GB"/>
              </w:rPr>
              <w:t>[S8]</w:t>
            </w:r>
          </w:p>
        </w:tc>
      </w:tr>
    </w:tbl>
    <w:p w14:paraId="4D4FD641" w14:textId="77777777" w:rsidR="00090430" w:rsidRPr="00150A31" w:rsidRDefault="00090430" w:rsidP="00090430">
      <w:pPr>
        <w:pStyle w:val="run-in"/>
        <w:rPr>
          <w:lang w:val="en-GB"/>
        </w:rPr>
      </w:pPr>
      <w:r w:rsidRPr="00150A31">
        <w:rPr>
          <w:lang w:val="en-GB"/>
        </w:rPr>
        <w:t>References</w:t>
      </w:r>
    </w:p>
    <w:p w14:paraId="0ADB4F89" w14:textId="77777777" w:rsidR="00090430" w:rsidRPr="00150A31" w:rsidRDefault="00090430" w:rsidP="00090430">
      <w:pPr>
        <w:pStyle w:val="reference"/>
        <w:rPr>
          <w:lang w:val="en-GB"/>
        </w:rPr>
      </w:pPr>
      <w:r w:rsidRPr="00150A31">
        <w:rPr>
          <w:lang w:val="en-GB"/>
        </w:rPr>
        <w:t>Press WH, Teukolsky S A, Vetterling W T, and Flannery B P. (1992) Chapter 12 and 13 in Numerical Recipes in C. The Art of Scientific Computing, 2</w:t>
      </w:r>
      <w:r w:rsidRPr="00150A31">
        <w:rPr>
          <w:vertAlign w:val="superscript"/>
          <w:lang w:val="en-GB"/>
        </w:rPr>
        <w:t>nd</w:t>
      </w:r>
      <w:r w:rsidRPr="00150A31">
        <w:rPr>
          <w:lang w:val="en-GB"/>
        </w:rPr>
        <w:t xml:space="preserve"> Ed. Cambridge University Press, Cambridge U.K.   </w:t>
      </w:r>
    </w:p>
    <w:p w14:paraId="1A86FF08" w14:textId="77777777" w:rsidR="00090430" w:rsidRPr="00150A31" w:rsidRDefault="00090430" w:rsidP="00090430">
      <w:pPr>
        <w:pStyle w:val="reference"/>
        <w:rPr>
          <w:lang w:val="en-GB"/>
        </w:rPr>
      </w:pPr>
      <w:r w:rsidRPr="00150A31">
        <w:rPr>
          <w:lang w:val="en-GB"/>
        </w:rPr>
        <w:t>Porod G (1982) Chapter 2, General Theory. In: in Small angle x-ray scattering, Glatter O and Kratky O (ed.) Academic Press, London, pp 17-52</w:t>
      </w:r>
      <w:r>
        <w:rPr>
          <w:lang w:val="en-GB"/>
        </w:rPr>
        <w:t xml:space="preserve">. </w:t>
      </w:r>
      <w:r w:rsidRPr="00696D0F">
        <w:rPr>
          <w:lang w:val="en-GB"/>
        </w:rPr>
        <w:t>doi.org/10.1002/actp.1985.010360520</w:t>
      </w:r>
      <w:r>
        <w:rPr>
          <w:lang w:val="en-GB"/>
        </w:rPr>
        <w:t>.</w:t>
      </w:r>
    </w:p>
    <w:p w14:paraId="39CB8588" w14:textId="77777777" w:rsidR="00090430" w:rsidRPr="00903949" w:rsidRDefault="00090430" w:rsidP="00090430">
      <w:pPr>
        <w:rPr>
          <w:lang w:val="en-GB"/>
        </w:rPr>
      </w:pPr>
    </w:p>
    <w:sectPr w:rsidR="00090430" w:rsidRPr="00903949" w:rsidSect="009F130B">
      <w:footerReference w:type="default" r:id="rId13"/>
      <w:pgSz w:w="11907" w:h="16840"/>
      <w:pgMar w:top="1418" w:right="1418" w:bottom="1134" w:left="2552" w:header="720"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80B71" w14:textId="77777777" w:rsidR="00C47680" w:rsidRDefault="00C47680">
      <w:r>
        <w:separator/>
      </w:r>
    </w:p>
  </w:endnote>
  <w:endnote w:type="continuationSeparator" w:id="0">
    <w:p w14:paraId="483931FB" w14:textId="77777777" w:rsidR="00C47680" w:rsidRDefault="00C47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0E51E" w14:textId="77777777" w:rsidR="003E2C52" w:rsidRDefault="00F26BC5">
    <w:pPr>
      <w:pStyle w:val="Sidfot"/>
      <w:jc w:val="right"/>
    </w:pPr>
    <w:r>
      <w:rPr>
        <w:rStyle w:val="Sidnummer"/>
      </w:rPr>
      <w:fldChar w:fldCharType="begin"/>
    </w:r>
    <w:r>
      <w:rPr>
        <w:rStyle w:val="Sidnummer"/>
      </w:rPr>
      <w:instrText xml:space="preserve"> PAGE </w:instrText>
    </w:r>
    <w:r>
      <w:rPr>
        <w:rStyle w:val="Sidnummer"/>
      </w:rPr>
      <w:fldChar w:fldCharType="separate"/>
    </w:r>
    <w:r>
      <w:rPr>
        <w:rStyle w:val="Sidnummer"/>
        <w:noProof/>
      </w:rPr>
      <w:t>1</w:t>
    </w:r>
    <w:r>
      <w:rPr>
        <w:rStyle w:val="Sid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F3094" w14:textId="77777777" w:rsidR="00C47680" w:rsidRDefault="00C47680">
      <w:r>
        <w:separator/>
      </w:r>
    </w:p>
  </w:footnote>
  <w:footnote w:type="continuationSeparator" w:id="0">
    <w:p w14:paraId="56D777CB" w14:textId="77777777" w:rsidR="00C47680" w:rsidRDefault="00C476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3822B0"/>
    <w:multiLevelType w:val="hybridMultilevel"/>
    <w:tmpl w:val="E0F6D3C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24E"/>
    <w:rsid w:val="00037EB9"/>
    <w:rsid w:val="000526C4"/>
    <w:rsid w:val="00090430"/>
    <w:rsid w:val="000A246D"/>
    <w:rsid w:val="000D4974"/>
    <w:rsid w:val="001D3E66"/>
    <w:rsid w:val="001F391B"/>
    <w:rsid w:val="003619B3"/>
    <w:rsid w:val="0038124E"/>
    <w:rsid w:val="003D0FF9"/>
    <w:rsid w:val="003E2C52"/>
    <w:rsid w:val="00475FD9"/>
    <w:rsid w:val="0048542D"/>
    <w:rsid w:val="00560BA0"/>
    <w:rsid w:val="00614ECC"/>
    <w:rsid w:val="00695E50"/>
    <w:rsid w:val="006D6204"/>
    <w:rsid w:val="00786049"/>
    <w:rsid w:val="007C548F"/>
    <w:rsid w:val="00824292"/>
    <w:rsid w:val="00825A87"/>
    <w:rsid w:val="00847553"/>
    <w:rsid w:val="00903949"/>
    <w:rsid w:val="009F130B"/>
    <w:rsid w:val="00B07D46"/>
    <w:rsid w:val="00C322B2"/>
    <w:rsid w:val="00C46BE7"/>
    <w:rsid w:val="00C47680"/>
    <w:rsid w:val="00C52F4D"/>
    <w:rsid w:val="00CB6576"/>
    <w:rsid w:val="00D10E0D"/>
    <w:rsid w:val="00D947F9"/>
    <w:rsid w:val="00E56B26"/>
    <w:rsid w:val="00EA306B"/>
    <w:rsid w:val="00F26BC5"/>
    <w:rsid w:val="00F2759F"/>
    <w:rsid w:val="00F94D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C97EB9"/>
  <w15:chartTrackingRefBased/>
  <w15:docId w15:val="{A2F77481-98BF-4F43-AED4-57AC022FD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spacing w:line="360" w:lineRule="auto"/>
      <w:textAlignment w:val="baseline"/>
    </w:pPr>
    <w:rPr>
      <w:sz w:val="24"/>
      <w:lang w:val="en-US" w:eastAsia="de-D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pPr>
      <w:tabs>
        <w:tab w:val="center" w:pos="4536"/>
        <w:tab w:val="right" w:pos="9072"/>
      </w:tabs>
    </w:pPr>
  </w:style>
  <w:style w:type="paragraph" w:styleId="Sidfot">
    <w:name w:val="footer"/>
    <w:basedOn w:val="Normal"/>
    <w:pPr>
      <w:tabs>
        <w:tab w:val="center" w:pos="4536"/>
        <w:tab w:val="right" w:pos="9072"/>
      </w:tabs>
    </w:pPr>
  </w:style>
  <w:style w:type="character" w:styleId="Sidnummer">
    <w:name w:val="page number"/>
    <w:basedOn w:val="Standardstycketeckensnitt"/>
  </w:style>
  <w:style w:type="paragraph" w:customStyle="1" w:styleId="abbreviations">
    <w:name w:val="abbreviations"/>
    <w:basedOn w:val="abstract"/>
    <w:next w:val="Normal"/>
    <w:pPr>
      <w:tabs>
        <w:tab w:val="left" w:pos="3402"/>
      </w:tabs>
      <w:ind w:left="3402" w:hanging="3402"/>
    </w:pPr>
  </w:style>
  <w:style w:type="paragraph" w:customStyle="1" w:styleId="Rubrik1">
    <w:name w:val="Rubrik1"/>
    <w:basedOn w:val="Normal"/>
    <w:next w:val="author"/>
    <w:rPr>
      <w:rFonts w:ascii="Arial" w:hAnsi="Arial"/>
      <w:b/>
      <w:sz w:val="36"/>
    </w:rPr>
  </w:style>
  <w:style w:type="paragraph" w:customStyle="1" w:styleId="heading1">
    <w:name w:val="heading1"/>
    <w:basedOn w:val="Normal"/>
    <w:next w:val="Normal"/>
    <w:pPr>
      <w:keepNext/>
      <w:spacing w:before="240" w:after="180"/>
    </w:pPr>
    <w:rPr>
      <w:rFonts w:ascii="Arial" w:hAnsi="Arial"/>
      <w:b/>
      <w:sz w:val="32"/>
    </w:rPr>
  </w:style>
  <w:style w:type="paragraph" w:customStyle="1" w:styleId="heading2">
    <w:name w:val="heading2"/>
    <w:basedOn w:val="Normal"/>
    <w:next w:val="Normal"/>
    <w:pPr>
      <w:keepNext/>
      <w:spacing w:before="240" w:after="180"/>
    </w:pPr>
    <w:rPr>
      <w:rFonts w:ascii="Arial" w:hAnsi="Arial"/>
      <w:b/>
    </w:rPr>
  </w:style>
  <w:style w:type="paragraph" w:customStyle="1" w:styleId="heading3">
    <w:name w:val="heading3"/>
    <w:basedOn w:val="Normal"/>
    <w:next w:val="Normal"/>
    <w:pPr>
      <w:keepNext/>
      <w:spacing w:before="240" w:after="180"/>
    </w:pPr>
    <w:rPr>
      <w:rFonts w:ascii="Arial" w:hAnsi="Arial"/>
      <w:i/>
    </w:rPr>
  </w:style>
  <w:style w:type="paragraph" w:customStyle="1" w:styleId="run-in">
    <w:name w:val="run-in"/>
    <w:basedOn w:val="Normal"/>
    <w:next w:val="Normal"/>
    <w:pPr>
      <w:keepNext/>
      <w:spacing w:before="120"/>
    </w:pPr>
    <w:rPr>
      <w:b/>
    </w:rPr>
  </w:style>
  <w:style w:type="table" w:styleId="Tabellrutnt">
    <w:name w:val="Table Grid"/>
    <w:basedOn w:val="Normaltabell"/>
    <w:uiPriority w:val="39"/>
    <w:rsid w:val="001D3E66"/>
    <w:rPr>
      <w:rFonts w:asciiTheme="minorHAnsi" w:eastAsiaTheme="minorHAnsi" w:hAnsiTheme="minorHAnsi" w:cstheme="minorBidi"/>
      <w:sz w:val="22"/>
      <w:szCs w:val="22"/>
      <w:lang w:val="sv-S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citation">
    <w:name w:val="figurecitation"/>
    <w:basedOn w:val="Normal"/>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Normal"/>
    <w:pPr>
      <w:spacing w:before="240"/>
    </w:pPr>
  </w:style>
  <w:style w:type="paragraph" w:customStyle="1" w:styleId="author">
    <w:name w:val="author"/>
    <w:basedOn w:val="Normal"/>
    <w:next w:val="affiliation"/>
    <w:pPr>
      <w:spacing w:before="120"/>
    </w:pPr>
  </w:style>
  <w:style w:type="paragraph" w:customStyle="1" w:styleId="affiliation">
    <w:name w:val="affiliation"/>
    <w:basedOn w:val="Normal"/>
    <w:next w:val="phone"/>
    <w:pPr>
      <w:spacing w:before="120" w:line="240" w:lineRule="auto"/>
    </w:pPr>
    <w:rPr>
      <w:i/>
    </w:rPr>
  </w:style>
  <w:style w:type="paragraph" w:customStyle="1" w:styleId="email">
    <w:name w:val="email"/>
    <w:basedOn w:val="Normal"/>
    <w:next w:val="url"/>
    <w:pPr>
      <w:spacing w:before="120" w:line="240" w:lineRule="auto"/>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Normal"/>
    <w:next w:val="keywords"/>
    <w:pPr>
      <w:spacing w:before="120"/>
    </w:pPr>
    <w:rPr>
      <w:sz w:val="20"/>
    </w:rPr>
  </w:style>
  <w:style w:type="paragraph" w:customStyle="1" w:styleId="keywords">
    <w:name w:val="keywords"/>
    <w:basedOn w:val="Normal"/>
    <w:next w:val="Normal"/>
    <w:pPr>
      <w:spacing w:before="120"/>
    </w:pPr>
    <w:rPr>
      <w:i/>
    </w:rPr>
  </w:style>
  <w:style w:type="paragraph" w:customStyle="1" w:styleId="extraaddress">
    <w:name w:val="extraaddress"/>
    <w:basedOn w:val="email"/>
  </w:style>
  <w:style w:type="paragraph" w:customStyle="1" w:styleId="reference">
    <w:name w:val="reference"/>
    <w:basedOn w:val="Normal"/>
    <w:rPr>
      <w:sz w:val="20"/>
    </w:rPr>
  </w:style>
  <w:style w:type="paragraph" w:customStyle="1" w:styleId="equation">
    <w:name w:val="equation"/>
    <w:basedOn w:val="Normal"/>
    <w:next w:val="Normal"/>
    <w:pPr>
      <w:spacing w:before="120" w:after="120"/>
      <w:jc w:val="center"/>
    </w:pPr>
  </w:style>
  <w:style w:type="paragraph" w:customStyle="1" w:styleId="articlenote">
    <w:name w:val="articlenote"/>
    <w:basedOn w:val="Normal"/>
    <w:next w:val="Normal"/>
    <w:pPr>
      <w:spacing w:line="240" w:lineRule="auto"/>
    </w:pPr>
    <w:rPr>
      <w:sz w:val="22"/>
    </w:rPr>
  </w:style>
  <w:style w:type="paragraph" w:customStyle="1" w:styleId="figlegend">
    <w:name w:val="figlegend"/>
    <w:basedOn w:val="Normal"/>
    <w:next w:val="Normal"/>
    <w:pPr>
      <w:spacing w:before="120"/>
    </w:pPr>
    <w:rPr>
      <w:sz w:val="20"/>
    </w:rPr>
  </w:style>
  <w:style w:type="paragraph" w:customStyle="1" w:styleId="tablelegend">
    <w:name w:val="tablelegend"/>
    <w:basedOn w:val="Normal"/>
    <w:next w:val="Normal"/>
    <w:pPr>
      <w:spacing w:before="120"/>
    </w:pPr>
    <w:rPr>
      <w:sz w:val="20"/>
    </w:rPr>
  </w:style>
  <w:style w:type="paragraph" w:styleId="Ingetavstnd">
    <w:name w:val="No Spacing"/>
    <w:uiPriority w:val="1"/>
    <w:qFormat/>
    <w:rsid w:val="001D3E66"/>
    <w:pPr>
      <w:overflowPunct w:val="0"/>
      <w:autoSpaceDE w:val="0"/>
      <w:autoSpaceDN w:val="0"/>
      <w:adjustRightInd w:val="0"/>
      <w:textAlignment w:val="baseline"/>
    </w:pPr>
    <w:rPr>
      <w:sz w:val="24"/>
      <w:lang w:val="en-US" w:eastAsia="de-DE"/>
    </w:rPr>
  </w:style>
  <w:style w:type="paragraph" w:customStyle="1" w:styleId="url">
    <w:name w:val="url"/>
    <w:basedOn w:val="email"/>
    <w:next w:val="Normal"/>
  </w:style>
  <w:style w:type="paragraph" w:styleId="Liststycke">
    <w:name w:val="List Paragraph"/>
    <w:basedOn w:val="Normal"/>
    <w:uiPriority w:val="34"/>
    <w:qFormat/>
    <w:rsid w:val="003619B3"/>
    <w:pPr>
      <w:overflowPunct/>
      <w:autoSpaceDE/>
      <w:autoSpaceDN/>
      <w:adjustRightInd/>
      <w:spacing w:after="160" w:line="259" w:lineRule="auto"/>
      <w:ind w:left="720"/>
      <w:contextualSpacing/>
      <w:textAlignment w:val="auto"/>
    </w:pPr>
    <w:rPr>
      <w:rFonts w:asciiTheme="minorHAnsi" w:eastAsiaTheme="minorHAnsi" w:hAnsiTheme="minorHAnsi" w:cstheme="minorBidi"/>
      <w:sz w:val="22"/>
      <w:szCs w:val="22"/>
      <w:lang w:val="sv-SE" w:eastAsia="en-US"/>
    </w:rPr>
  </w:style>
  <w:style w:type="character" w:styleId="Radnummer">
    <w:name w:val="line number"/>
    <w:basedOn w:val="Standardstycketeckensnitt"/>
    <w:rsid w:val="009F1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asla\OneDrive%20-%20RISE\Dokument\work\Troedsson\Troedsson%202017\Pek6%20Cellulose\sv-journ.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895B1DF443FDC48BD4F81B646EBC3D0" ma:contentTypeVersion="10" ma:contentTypeDescription="Skapa ett nytt dokument." ma:contentTypeScope="" ma:versionID="78575bd30aa04ff034c16656de675c67">
  <xsd:schema xmlns:xsd="http://www.w3.org/2001/XMLSchema" xmlns:xs="http://www.w3.org/2001/XMLSchema" xmlns:p="http://schemas.microsoft.com/office/2006/metadata/properties" xmlns:ns3="3f9a3c52-8320-4e37-b2ac-fb5dcd948083" targetNamespace="http://schemas.microsoft.com/office/2006/metadata/properties" ma:root="true" ma:fieldsID="ad58cbd952f216586bc42faf83225773" ns3:_="">
    <xsd:import namespace="3f9a3c52-8320-4e37-b2ac-fb5dcd94808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9a3c52-8320-4e37-b2ac-fb5dcd9480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54FB8B-1710-4067-89F1-5FF41EBF805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D2A7558-C56F-48CE-8F0F-972C54C671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9a3c52-8320-4e37-b2ac-fb5dcd9480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2C4AAF-2E0C-443B-B94C-0A8F7BCF45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sv-journ.dot</Template>
  <TotalTime>0</TotalTime>
  <Pages>10</Pages>
  <Words>2627</Words>
  <Characters>14974</Characters>
  <Application>Microsoft Office Word</Application>
  <DocSecurity>0</DocSecurity>
  <Lines>124</Lines>
  <Paragraphs>35</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17566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subject/>
  <dc:creator>Tomas Larsson</dc:creator>
  <cp:keywords/>
  <dc:description>Springer Heidelberg 2005</dc:description>
  <cp:lastModifiedBy>Tomas Larsson</cp:lastModifiedBy>
  <cp:revision>2</cp:revision>
  <cp:lastPrinted>1997-08-25T15:11:00Z</cp:lastPrinted>
  <dcterms:created xsi:type="dcterms:W3CDTF">2021-05-25T11:37:00Z</dcterms:created>
  <dcterms:modified xsi:type="dcterms:W3CDTF">2021-05-25T11:37:00Z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0x0101006895B1DF443FDC48BD4F81B646EBC3D0</vt:lpwstr>
  </property>
</Properties>
</file>