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320FD" w14:textId="77777777" w:rsidR="000A6CBF" w:rsidRPr="007105D7" w:rsidRDefault="000A6CBF" w:rsidP="000A6CBF">
      <w:pPr>
        <w:rPr>
          <w:rFonts w:ascii="Times New Roman" w:hAnsi="Times New Roman" w:cs="Times New Roman"/>
          <w:b/>
          <w:bCs/>
          <w:lang w:val="en-US"/>
        </w:rPr>
      </w:pPr>
      <w:bookmarkStart w:id="0" w:name="_Hlk184671675"/>
      <w:bookmarkEnd w:id="0"/>
      <w:r w:rsidRPr="007105D7">
        <w:rPr>
          <w:rFonts w:ascii="Times New Roman" w:hAnsi="Times New Roman" w:cs="Times New Roman"/>
          <w:b/>
          <w:bCs/>
          <w:lang w:val="en-US"/>
        </w:rPr>
        <w:t>Development of a sustainable strategy for cultured fat production based on serum-free 3D culture of bovine adipose stem cells</w:t>
      </w:r>
    </w:p>
    <w:p w14:paraId="1B29552D" w14:textId="77777777" w:rsidR="00630221" w:rsidRPr="007105D7" w:rsidRDefault="00630221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7105D7">
        <w:rPr>
          <w:rFonts w:ascii="Times New Roman" w:hAnsi="Times New Roman" w:cs="Times New Roman"/>
          <w:b/>
          <w:bCs/>
          <w:u w:val="single"/>
          <w:lang w:val="en-US"/>
        </w:rPr>
        <w:t xml:space="preserve">Supplementary information </w:t>
      </w:r>
    </w:p>
    <w:p w14:paraId="1FEDDC82" w14:textId="1C28FF7A" w:rsidR="00A55A23" w:rsidRPr="007105D7" w:rsidRDefault="00C77EAD" w:rsidP="00BA2E5B">
      <w:pPr>
        <w:rPr>
          <w:rFonts w:ascii="Times New Roman" w:hAnsi="Times New Roman" w:cs="Times New Roman"/>
          <w:b/>
          <w:bCs/>
          <w:lang w:val="en-US"/>
        </w:rPr>
      </w:pPr>
      <w:r w:rsidRPr="007105D7">
        <w:rPr>
          <w:rFonts w:ascii="Times New Roman" w:hAnsi="Times New Roman" w:cs="Times New Roman"/>
          <w:b/>
          <w:bCs/>
          <w:lang w:val="en-US"/>
        </w:rPr>
        <w:t>Assess</w:t>
      </w:r>
      <w:r w:rsidR="00BD7673" w:rsidRPr="007105D7">
        <w:rPr>
          <w:rFonts w:ascii="Times New Roman" w:hAnsi="Times New Roman" w:cs="Times New Roman"/>
          <w:b/>
          <w:bCs/>
          <w:lang w:val="en-US"/>
        </w:rPr>
        <w:t>ment of Ki-67 expression</w:t>
      </w:r>
    </w:p>
    <w:p w14:paraId="6F7D739D" w14:textId="5F74AEAB" w:rsidR="008E2B8E" w:rsidRPr="007105D7" w:rsidRDefault="006A67C0" w:rsidP="00BA2E5B">
      <w:pPr>
        <w:rPr>
          <w:rFonts w:ascii="Times New Roman" w:hAnsi="Times New Roman" w:cs="Times New Roman"/>
          <w:lang w:val="en-US"/>
        </w:rPr>
      </w:pPr>
      <w:r w:rsidRPr="007105D7">
        <w:rPr>
          <w:rFonts w:ascii="Times New Roman" w:hAnsi="Times New Roman" w:cs="Times New Roman"/>
          <w:lang w:val="en-US"/>
        </w:rPr>
        <w:t>For the evaluation of proliferation potential, cells previously cultured in each medium until passage 9 were seeded in triplicate into 6-well plates. After 24 hours of culture, cells were fixed with 4% paraformaldehyde for 15 minutes at room temperature followed by permeabilization with 0.1% Triton X-100 in PBS for 5 minutes. Nonspecific binding was blocked with 1% bovine serum albumin (BSA) in PBS for 30 minutes. The cells were then incubated with a polyclonal rabbit anti-Ki-67 primary antibody (PA5-19462, Invitrogen, dilution 1:100). After washing, the cells were incubated with a goat anti-rabbit IgG (H+L) antibody conjugated with Alexa Fluor 555 (Invitrogen, dilution 1:250). The primary and secondary antibodies were incubated for 1 hour at room temperature with gentle shaking. The cell nuclei were counterstained with Hoechst 33342 (Sigma-Aldrich, dilution 1:1000). Samples were observed using a fluorescence microscope (Axio Observer Z1, Carl Zeiss) and images were captured using a digital camera (C11440 ORCA Hamamatsu) and ZEN 2012 software. For each condition, six randomly selected fields were imaged at low magnification (5× objective) and the ZEN software's built-in routines for automatic cell counting were used. The percentage of Ki-67–positive cells was calculated by dividing the number of Ki-67–positive nuclei by the total number of nuclei per field.</w:t>
      </w:r>
    </w:p>
    <w:p w14:paraId="4720283B" w14:textId="2CA315D6" w:rsidR="006E2F83" w:rsidRPr="007105D7" w:rsidRDefault="000A7B06" w:rsidP="00BA2E5B">
      <w:pPr>
        <w:rPr>
          <w:rFonts w:ascii="Times New Roman" w:hAnsi="Times New Roman" w:cs="Times New Roman"/>
          <w:b/>
          <w:bCs/>
          <w:lang w:val="en-US"/>
        </w:rPr>
      </w:pPr>
      <w:r w:rsidRPr="007105D7">
        <w:rPr>
          <w:rFonts w:ascii="Times New Roman" w:hAnsi="Times New Roman" w:cs="Times New Roman"/>
          <w:b/>
          <w:bCs/>
          <w:lang w:val="en-US"/>
        </w:rPr>
        <w:t>Evaluation of the colony forming units (CFU-F)</w:t>
      </w:r>
    </w:p>
    <w:p w14:paraId="54DE80F6" w14:textId="2A884C3E" w:rsidR="00BA2E5B" w:rsidRPr="007105D7" w:rsidRDefault="007B7F57" w:rsidP="00BA2E5B">
      <w:pPr>
        <w:rPr>
          <w:rFonts w:ascii="Times New Roman" w:hAnsi="Times New Roman" w:cs="Times New Roman"/>
          <w:lang w:val="en-US"/>
        </w:rPr>
      </w:pPr>
      <w:r w:rsidRPr="007105D7">
        <w:rPr>
          <w:rFonts w:ascii="Times New Roman" w:hAnsi="Times New Roman" w:cs="Times New Roman"/>
          <w:lang w:val="en-US"/>
        </w:rPr>
        <w:t>The</w:t>
      </w:r>
      <w:r w:rsidR="00B4625C" w:rsidRPr="007105D7">
        <w:rPr>
          <w:rFonts w:ascii="Times New Roman" w:hAnsi="Times New Roman" w:cs="Times New Roman"/>
          <w:lang w:val="en-US"/>
        </w:rPr>
        <w:t xml:space="preserve"> bASCs</w:t>
      </w:r>
      <w:r w:rsidR="000A7B06" w:rsidRPr="007105D7">
        <w:rPr>
          <w:rFonts w:ascii="Times New Roman" w:hAnsi="Times New Roman" w:cs="Times New Roman"/>
          <w:lang w:val="en-US"/>
        </w:rPr>
        <w:t xml:space="preserve"> were seeded in triplicate in 6-well plates at four different densities (20, 60, 120</w:t>
      </w:r>
      <w:r w:rsidR="007E1B5F" w:rsidRPr="007105D7">
        <w:rPr>
          <w:rFonts w:ascii="Times New Roman" w:hAnsi="Times New Roman" w:cs="Times New Roman"/>
          <w:lang w:val="en-US"/>
        </w:rPr>
        <w:t>,</w:t>
      </w:r>
      <w:r w:rsidR="000A7B06" w:rsidRPr="007105D7">
        <w:rPr>
          <w:rFonts w:ascii="Times New Roman" w:hAnsi="Times New Roman" w:cs="Times New Roman"/>
          <w:lang w:val="en-US"/>
        </w:rPr>
        <w:t xml:space="preserve"> and 150 cells/well) and cultured in serum-containing GM for 14 days. The medium was changed on day 7 and every 3 days thereafter. On day 14, the cells were fixed with 4% formaldehyde and stained with 0.05% crystal violet (Sigma-Aldrich). The plates were placed on an LED light pad (Shenzhen Huion Trend Technology) and images were captured with a single-lens reflex camera (EOS750D, Canon). CFU-F efficiency was determined in the 60 cells/well group by dividing the initial cell density by the average number of cell colonies formed.</w:t>
      </w:r>
    </w:p>
    <w:p w14:paraId="2E5F413F" w14:textId="7021BEC0" w:rsidR="00630221" w:rsidRPr="007105D7" w:rsidRDefault="00630221">
      <w:pPr>
        <w:rPr>
          <w:rFonts w:ascii="Times New Roman" w:hAnsi="Times New Roman" w:cs="Times New Roman"/>
          <w:b/>
          <w:bCs/>
          <w:lang w:val="en-US"/>
        </w:rPr>
      </w:pPr>
      <w:r w:rsidRPr="007105D7">
        <w:rPr>
          <w:rFonts w:ascii="Times New Roman" w:hAnsi="Times New Roman" w:cs="Times New Roman"/>
          <w:b/>
          <w:bCs/>
          <w:lang w:val="en-US"/>
        </w:rPr>
        <w:t>Osteogenesis assay</w:t>
      </w:r>
    </w:p>
    <w:p w14:paraId="2B9A4CE1" w14:textId="78A898A8" w:rsidR="00BA2E5B" w:rsidRPr="007105D7" w:rsidRDefault="00215C60" w:rsidP="00BA2E5B">
      <w:pPr>
        <w:rPr>
          <w:rFonts w:ascii="Times New Roman" w:hAnsi="Times New Roman" w:cs="Times New Roman"/>
          <w:lang w:val="en-US"/>
        </w:rPr>
      </w:pPr>
      <w:r w:rsidRPr="007105D7">
        <w:rPr>
          <w:rFonts w:ascii="Times New Roman" w:hAnsi="Times New Roman" w:cs="Times New Roman"/>
          <w:lang w:val="en-US"/>
        </w:rPr>
        <w:t>The bASCs were seeded in triplicate in a 24-well plate in serum-containing GM at a density of 8,000 cells/cm</w:t>
      </w:r>
      <w:r w:rsidRPr="007105D7">
        <w:rPr>
          <w:rFonts w:ascii="Times New Roman" w:hAnsi="Times New Roman" w:cs="Times New Roman"/>
          <w:vertAlign w:val="superscript"/>
          <w:lang w:val="en-US"/>
        </w:rPr>
        <w:t>2</w:t>
      </w:r>
      <w:r w:rsidRPr="007105D7">
        <w:rPr>
          <w:rFonts w:ascii="Times New Roman" w:hAnsi="Times New Roman" w:cs="Times New Roman"/>
          <w:lang w:val="en-US"/>
        </w:rPr>
        <w:t xml:space="preserve">. After reaching 80-90% confluence, the medium was replaced with StemPro Osteogenic Differentiation Media (StemPro, ThermoFisher Scientific). One group of wells was kept in GM as a negative control. After 8 days, cells were fixed with 4% formaldehyde for 1 hour and the mineralized matrix was stained with Alizarin Red S </w:t>
      </w:r>
      <w:r w:rsidR="006E7BA5" w:rsidRPr="007105D7">
        <w:rPr>
          <w:rFonts w:ascii="Times New Roman" w:hAnsi="Times New Roman" w:cs="Times New Roman"/>
          <w:lang w:val="en-US"/>
        </w:rPr>
        <w:t xml:space="preserve">(14 mg/ml) </w:t>
      </w:r>
      <w:r w:rsidRPr="007105D7">
        <w:rPr>
          <w:rFonts w:ascii="Times New Roman" w:hAnsi="Times New Roman" w:cs="Times New Roman"/>
          <w:lang w:val="en-US"/>
        </w:rPr>
        <w:t xml:space="preserve">for 3 minutes. Cell images were taken under a standard inverted microscope (CKX41, Olympus). </w:t>
      </w:r>
    </w:p>
    <w:p w14:paraId="627CE018" w14:textId="687D2D85" w:rsidR="00F24A4D" w:rsidRPr="007105D7" w:rsidRDefault="00F24A4D">
      <w:pPr>
        <w:rPr>
          <w:rFonts w:ascii="Times New Roman" w:hAnsi="Times New Roman" w:cs="Times New Roman"/>
          <w:lang w:val="en-US"/>
        </w:rPr>
      </w:pPr>
      <w:r w:rsidRPr="007105D7">
        <w:rPr>
          <w:rFonts w:ascii="Times New Roman" w:hAnsi="Times New Roman" w:cs="Times New Roman"/>
          <w:lang w:val="en-US"/>
        </w:rPr>
        <w:br w:type="page"/>
      </w:r>
    </w:p>
    <w:p w14:paraId="7A9B63CE" w14:textId="6F1F1905" w:rsidR="00F24A4D" w:rsidRPr="007105D7" w:rsidRDefault="00690293" w:rsidP="00EB615B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7105D7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70FD7A5" wp14:editId="039E2BBA">
            <wp:extent cx="5076881" cy="3218937"/>
            <wp:effectExtent l="0" t="0" r="0" b="635"/>
            <wp:docPr id="1812898198" name="Picture 3" descr="A graph and char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98198" name="Picture 3" descr="A graph and chart of a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4" t="13457" r="20155" b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66" cy="32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82A26" w14:textId="02D99B94" w:rsidR="00630221" w:rsidRPr="007105D7" w:rsidRDefault="004923E8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Fig. S1. </w:t>
      </w:r>
      <w:r w:rsidRPr="004923E8">
        <w:rPr>
          <w:rFonts w:ascii="Times New Roman" w:hAnsi="Times New Roman" w:cs="Times New Roman"/>
          <w:lang w:val="en-US"/>
        </w:rPr>
        <w:t xml:space="preserve">Analysis of proliferation based on Ki-67 expression. (a) Representative images of Ki-67 staining (green) in bASCs grown in growth medium supplemented with fetal bovine serum (FBS) or serum-free supplement (SFM). The images on the right </w:t>
      </w:r>
      <w:r w:rsidR="008D35E6">
        <w:rPr>
          <w:rFonts w:ascii="Times New Roman" w:hAnsi="Times New Roman" w:cs="Times New Roman"/>
          <w:lang w:val="en-US"/>
        </w:rPr>
        <w:t>include</w:t>
      </w:r>
      <w:r w:rsidRPr="004923E8">
        <w:rPr>
          <w:rFonts w:ascii="Times New Roman" w:hAnsi="Times New Roman" w:cs="Times New Roman"/>
          <w:lang w:val="en-US"/>
        </w:rPr>
        <w:t xml:space="preserve"> Hoechst 33342 stain</w:t>
      </w:r>
      <w:r w:rsidR="00C46284">
        <w:rPr>
          <w:rFonts w:ascii="Times New Roman" w:hAnsi="Times New Roman" w:cs="Times New Roman"/>
          <w:lang w:val="en-US"/>
        </w:rPr>
        <w:t xml:space="preserve">ing </w:t>
      </w:r>
      <w:r w:rsidRPr="004923E8">
        <w:rPr>
          <w:rFonts w:ascii="Times New Roman" w:hAnsi="Times New Roman" w:cs="Times New Roman"/>
          <w:lang w:val="en-US"/>
        </w:rPr>
        <w:t>for the cell nuclei (blue). Scale bar = 100 µm. (b) Quantitative evaluation of the number of Ki-67-positive cells under the different culture conditions. (**</w:t>
      </w:r>
      <w:r w:rsidRPr="004923E8">
        <w:rPr>
          <w:rFonts w:ascii="Times New Roman" w:hAnsi="Times New Roman" w:cs="Times New Roman"/>
          <w:i/>
          <w:iCs/>
          <w:lang w:val="en-US"/>
        </w:rPr>
        <w:t>p</w:t>
      </w:r>
      <w:r w:rsidRPr="004923E8">
        <w:rPr>
          <w:rFonts w:ascii="Times New Roman" w:hAnsi="Times New Roman" w:cs="Times New Roman"/>
          <w:lang w:val="en-US"/>
        </w:rPr>
        <w:t>&lt;0.01</w:t>
      </w:r>
      <w:r w:rsidR="00052974">
        <w:rPr>
          <w:rFonts w:ascii="Times New Roman" w:hAnsi="Times New Roman" w:cs="Times New Roman"/>
          <w:lang w:val="en-US"/>
        </w:rPr>
        <w:t>, n=6</w:t>
      </w:r>
      <w:r w:rsidRPr="004923E8">
        <w:rPr>
          <w:rFonts w:ascii="Times New Roman" w:hAnsi="Times New Roman" w:cs="Times New Roman"/>
          <w:lang w:val="en-US"/>
        </w:rPr>
        <w:t>)</w:t>
      </w:r>
      <w:r w:rsidR="00052974">
        <w:rPr>
          <w:rFonts w:ascii="Times New Roman" w:hAnsi="Times New Roman" w:cs="Times New Roman"/>
          <w:lang w:val="en-US"/>
        </w:rPr>
        <w:t>.</w:t>
      </w:r>
    </w:p>
    <w:p w14:paraId="68E12E13" w14:textId="00A18FD7" w:rsidR="002B6146" w:rsidRPr="007105D7" w:rsidRDefault="00AD254E" w:rsidP="002B614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58AFACC" wp14:editId="604967F7">
            <wp:extent cx="5629111" cy="2876550"/>
            <wp:effectExtent l="0" t="0" r="0" b="0"/>
            <wp:docPr id="1724857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32" cy="2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4C89" w14:textId="7898BF0E" w:rsidR="00041C94" w:rsidRPr="007105D7" w:rsidRDefault="002B6146">
      <w:pPr>
        <w:rPr>
          <w:rFonts w:ascii="Times New Roman" w:hAnsi="Times New Roman" w:cs="Times New Roman"/>
          <w:lang w:val="en-US"/>
        </w:rPr>
      </w:pPr>
      <w:r w:rsidRPr="007105D7">
        <w:rPr>
          <w:rFonts w:ascii="Times New Roman" w:hAnsi="Times New Roman" w:cs="Times New Roman"/>
          <w:b/>
          <w:bCs/>
          <w:lang w:val="en-US"/>
        </w:rPr>
        <w:t>Fig. S</w:t>
      </w:r>
      <w:r>
        <w:rPr>
          <w:rFonts w:ascii="Times New Roman" w:hAnsi="Times New Roman" w:cs="Times New Roman"/>
          <w:b/>
          <w:bCs/>
          <w:lang w:val="en-US"/>
        </w:rPr>
        <w:t>2</w:t>
      </w:r>
      <w:r w:rsidRPr="007105D7">
        <w:rPr>
          <w:rFonts w:ascii="Times New Roman" w:hAnsi="Times New Roman" w:cs="Times New Roman"/>
          <w:b/>
          <w:bCs/>
          <w:lang w:val="en-US"/>
        </w:rPr>
        <w:t>.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D767F1">
        <w:rPr>
          <w:rFonts w:ascii="Times New Roman" w:hAnsi="Times New Roman" w:cs="Times New Roman"/>
          <w:lang w:val="en-US"/>
        </w:rPr>
        <w:t xml:space="preserve">Representative flow cytometry </w:t>
      </w:r>
      <w:r>
        <w:rPr>
          <w:rFonts w:ascii="Times New Roman" w:hAnsi="Times New Roman" w:cs="Times New Roman"/>
          <w:lang w:val="en-US"/>
        </w:rPr>
        <w:t>plots</w:t>
      </w:r>
      <w:r w:rsidRPr="00D767F1">
        <w:rPr>
          <w:rFonts w:ascii="Times New Roman" w:hAnsi="Times New Roman" w:cs="Times New Roman"/>
          <w:lang w:val="en-US"/>
        </w:rPr>
        <w:t xml:space="preserve"> of live/dead cell staining in 2D and 3D cultures at </w:t>
      </w:r>
      <w:r w:rsidR="00763768">
        <w:rPr>
          <w:rFonts w:ascii="Times New Roman" w:hAnsi="Times New Roman" w:cs="Times New Roman"/>
          <w:lang w:val="en-US"/>
        </w:rPr>
        <w:t>d</w:t>
      </w:r>
      <w:r w:rsidRPr="00D767F1">
        <w:rPr>
          <w:rFonts w:ascii="Times New Roman" w:hAnsi="Times New Roman" w:cs="Times New Roman"/>
          <w:lang w:val="en-US"/>
        </w:rPr>
        <w:t>ay 1 (</w:t>
      </w:r>
      <w:r w:rsidR="00763768">
        <w:rPr>
          <w:rFonts w:ascii="Times New Roman" w:hAnsi="Times New Roman" w:cs="Times New Roman"/>
          <w:lang w:val="en-US"/>
        </w:rPr>
        <w:t>d</w:t>
      </w:r>
      <w:r w:rsidRPr="00D767F1">
        <w:rPr>
          <w:rFonts w:ascii="Times New Roman" w:hAnsi="Times New Roman" w:cs="Times New Roman"/>
          <w:lang w:val="en-US"/>
        </w:rPr>
        <w:t xml:space="preserve">1) and </w:t>
      </w:r>
      <w:r w:rsidR="00763768">
        <w:rPr>
          <w:rFonts w:ascii="Times New Roman" w:hAnsi="Times New Roman" w:cs="Times New Roman"/>
          <w:lang w:val="en-US"/>
        </w:rPr>
        <w:t>d</w:t>
      </w:r>
      <w:r w:rsidRPr="00D767F1">
        <w:rPr>
          <w:rFonts w:ascii="Times New Roman" w:hAnsi="Times New Roman" w:cs="Times New Roman"/>
          <w:lang w:val="en-US"/>
        </w:rPr>
        <w:t>ay 3 (</w:t>
      </w:r>
      <w:r w:rsidR="00763768">
        <w:rPr>
          <w:rFonts w:ascii="Times New Roman" w:hAnsi="Times New Roman" w:cs="Times New Roman"/>
          <w:lang w:val="en-US"/>
        </w:rPr>
        <w:t>d</w:t>
      </w:r>
      <w:r w:rsidRPr="00D767F1">
        <w:rPr>
          <w:rFonts w:ascii="Times New Roman" w:hAnsi="Times New Roman" w:cs="Times New Roman"/>
          <w:lang w:val="en-US"/>
        </w:rPr>
        <w:t xml:space="preserve">3). Cells were stained with </w:t>
      </w:r>
      <w:r w:rsidRPr="00EC675D">
        <w:rPr>
          <w:rFonts w:ascii="Times New Roman" w:hAnsi="Times New Roman" w:cs="Times New Roman"/>
          <w:lang w:val="en-US"/>
        </w:rPr>
        <w:t>the fixable viability dye 570 (FVS 570</w:t>
      </w:r>
      <w:r>
        <w:rPr>
          <w:rFonts w:ascii="Times New Roman" w:hAnsi="Times New Roman" w:cs="Times New Roman"/>
          <w:lang w:val="en-US"/>
        </w:rPr>
        <w:t xml:space="preserve">) </w:t>
      </w:r>
      <w:r w:rsidRPr="00D767F1">
        <w:rPr>
          <w:rFonts w:ascii="Times New Roman" w:hAnsi="Times New Roman" w:cs="Times New Roman"/>
          <w:lang w:val="en-US"/>
        </w:rPr>
        <w:t xml:space="preserve">and analyzed by flow cytometry. The x-axis represents fluorescence intensity, and the y-axis represents side scatter (SSC-A). Each plot shows the percentage of live cells within the gated population. Conditions include 2D culture and 3D spheroids seeded with 5,000, 10,000, or 20,000 cells. </w:t>
      </w:r>
      <w:r w:rsidR="00041C94" w:rsidRPr="007105D7">
        <w:rPr>
          <w:rFonts w:ascii="Times New Roman" w:hAnsi="Times New Roman" w:cs="Times New Roman"/>
          <w:lang w:val="en-US"/>
        </w:rPr>
        <w:br w:type="page"/>
      </w:r>
    </w:p>
    <w:p w14:paraId="0700634A" w14:textId="147E078F" w:rsidR="00630221" w:rsidRPr="007105D7" w:rsidRDefault="005F738B" w:rsidP="005F738B">
      <w:pPr>
        <w:jc w:val="center"/>
        <w:rPr>
          <w:rFonts w:ascii="Times New Roman" w:hAnsi="Times New Roman" w:cs="Times New Roman"/>
          <w:lang w:val="en-US"/>
        </w:rPr>
      </w:pPr>
      <w:r w:rsidRPr="007105D7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6F5305F" wp14:editId="7FB2B914">
            <wp:extent cx="3542500" cy="4127500"/>
            <wp:effectExtent l="0" t="0" r="1270" b="6350"/>
            <wp:docPr id="1925627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413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152F8" w14:textId="5DADCB47" w:rsidR="00630221" w:rsidRPr="007105D7" w:rsidRDefault="00B316D9">
      <w:pPr>
        <w:rPr>
          <w:rFonts w:ascii="Times New Roman" w:hAnsi="Times New Roman" w:cs="Times New Roman"/>
          <w:lang w:val="en-US"/>
        </w:rPr>
      </w:pPr>
      <w:r w:rsidRPr="007105D7">
        <w:rPr>
          <w:rFonts w:ascii="Times New Roman" w:hAnsi="Times New Roman" w:cs="Times New Roman"/>
          <w:b/>
          <w:bCs/>
          <w:lang w:val="en-US"/>
        </w:rPr>
        <w:t>Fig. S</w:t>
      </w:r>
      <w:r w:rsidR="002B6146">
        <w:rPr>
          <w:rFonts w:ascii="Times New Roman" w:hAnsi="Times New Roman" w:cs="Times New Roman"/>
          <w:b/>
          <w:bCs/>
          <w:lang w:val="en-US"/>
        </w:rPr>
        <w:t>3</w:t>
      </w:r>
      <w:r w:rsidRPr="007105D7">
        <w:rPr>
          <w:rFonts w:ascii="Times New Roman" w:hAnsi="Times New Roman" w:cs="Times New Roman"/>
          <w:b/>
          <w:bCs/>
          <w:lang w:val="en-US"/>
        </w:rPr>
        <w:t>.</w:t>
      </w:r>
      <w:r w:rsidRPr="007105D7">
        <w:rPr>
          <w:rFonts w:ascii="Times New Roman" w:hAnsi="Times New Roman" w:cs="Times New Roman"/>
          <w:lang w:val="en-US"/>
        </w:rPr>
        <w:t xml:space="preserve"> Image of </w:t>
      </w:r>
      <w:r w:rsidR="00E233AB" w:rsidRPr="007105D7">
        <w:rPr>
          <w:rFonts w:ascii="Times New Roman" w:hAnsi="Times New Roman" w:cs="Times New Roman"/>
          <w:lang w:val="en-US"/>
        </w:rPr>
        <w:t xml:space="preserve">the plates displaying </w:t>
      </w:r>
      <w:r w:rsidRPr="007105D7">
        <w:rPr>
          <w:rFonts w:ascii="Times New Roman" w:hAnsi="Times New Roman" w:cs="Times New Roman"/>
          <w:lang w:val="en-US"/>
        </w:rPr>
        <w:t>colonies formed after 14 days of culture. In the 60 cell</w:t>
      </w:r>
      <w:r w:rsidR="00770E55" w:rsidRPr="007105D7">
        <w:rPr>
          <w:rFonts w:ascii="Times New Roman" w:hAnsi="Times New Roman" w:cs="Times New Roman"/>
          <w:lang w:val="en-US"/>
        </w:rPr>
        <w:t>s</w:t>
      </w:r>
      <w:r w:rsidRPr="007105D7">
        <w:rPr>
          <w:rFonts w:ascii="Times New Roman" w:hAnsi="Times New Roman" w:cs="Times New Roman"/>
          <w:lang w:val="en-US"/>
        </w:rPr>
        <w:t>/well group, the average number of colonies was 16.3 ± 2.4, resulting in an overall CFU-F efficiency of 27.3 ±</w:t>
      </w:r>
      <w:r w:rsidR="00770E55" w:rsidRPr="007105D7">
        <w:rPr>
          <w:rFonts w:ascii="Times New Roman" w:hAnsi="Times New Roman" w:cs="Times New Roman"/>
          <w:lang w:val="en-US"/>
        </w:rPr>
        <w:t xml:space="preserve"> </w:t>
      </w:r>
      <w:r w:rsidRPr="007105D7">
        <w:rPr>
          <w:rFonts w:ascii="Times New Roman" w:hAnsi="Times New Roman" w:cs="Times New Roman"/>
          <w:lang w:val="en-US"/>
        </w:rPr>
        <w:t>3.9%. The plates were flipped to better visualize the cell colonies</w:t>
      </w:r>
      <w:r w:rsidR="00770E55" w:rsidRPr="007105D7">
        <w:rPr>
          <w:rFonts w:ascii="Times New Roman" w:hAnsi="Times New Roman" w:cs="Times New Roman"/>
          <w:lang w:val="en-US"/>
        </w:rPr>
        <w:t xml:space="preserve"> in the wells (1, 2, and 3</w:t>
      </w:r>
      <w:r w:rsidR="00EC15E9" w:rsidRPr="007105D7">
        <w:rPr>
          <w:rFonts w:ascii="Times New Roman" w:hAnsi="Times New Roman" w:cs="Times New Roman"/>
          <w:lang w:val="en-US"/>
        </w:rPr>
        <w:t xml:space="preserve"> indicate replicate number</w:t>
      </w:r>
      <w:r w:rsidR="00770E55" w:rsidRPr="007105D7">
        <w:rPr>
          <w:rFonts w:ascii="Times New Roman" w:hAnsi="Times New Roman" w:cs="Times New Roman"/>
          <w:lang w:val="en-US"/>
        </w:rPr>
        <w:t>)</w:t>
      </w:r>
      <w:r w:rsidRPr="007105D7">
        <w:rPr>
          <w:rFonts w:ascii="Times New Roman" w:hAnsi="Times New Roman" w:cs="Times New Roman"/>
          <w:lang w:val="en-US"/>
        </w:rPr>
        <w:t>.</w:t>
      </w:r>
    </w:p>
    <w:p w14:paraId="39259F52" w14:textId="77777777" w:rsidR="00630221" w:rsidRPr="007105D7" w:rsidRDefault="00630221">
      <w:pPr>
        <w:rPr>
          <w:rFonts w:ascii="Times New Roman" w:hAnsi="Times New Roman" w:cs="Times New Roman"/>
          <w:lang w:val="en-US"/>
        </w:rPr>
      </w:pPr>
    </w:p>
    <w:p w14:paraId="2B28B842" w14:textId="696041A2" w:rsidR="00215C60" w:rsidRPr="007105D7" w:rsidRDefault="009E6FBE">
      <w:pPr>
        <w:rPr>
          <w:rFonts w:ascii="Times New Roman" w:hAnsi="Times New Roman" w:cs="Times New Roman"/>
          <w:lang w:val="en-US"/>
        </w:rPr>
      </w:pPr>
      <w:r w:rsidRPr="007105D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314241A" wp14:editId="0E6716D9">
            <wp:extent cx="5727700" cy="2178050"/>
            <wp:effectExtent l="0" t="0" r="6350" b="0"/>
            <wp:docPr id="476283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6B69" w14:textId="4482B700" w:rsidR="00630221" w:rsidRPr="007105D7" w:rsidRDefault="003226BA">
      <w:pPr>
        <w:rPr>
          <w:rFonts w:ascii="Times New Roman" w:hAnsi="Times New Roman" w:cs="Times New Roman"/>
          <w:lang w:val="en-US"/>
        </w:rPr>
      </w:pPr>
      <w:r w:rsidRPr="007105D7">
        <w:rPr>
          <w:rFonts w:ascii="Times New Roman" w:hAnsi="Times New Roman" w:cs="Times New Roman"/>
          <w:b/>
          <w:bCs/>
          <w:lang w:val="en-US"/>
        </w:rPr>
        <w:t>Fig. S</w:t>
      </w:r>
      <w:r w:rsidR="002B6146">
        <w:rPr>
          <w:rFonts w:ascii="Times New Roman" w:hAnsi="Times New Roman" w:cs="Times New Roman"/>
          <w:b/>
          <w:bCs/>
          <w:lang w:val="en-US"/>
        </w:rPr>
        <w:t>4</w:t>
      </w:r>
      <w:r w:rsidRPr="007105D7"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7105D7">
        <w:rPr>
          <w:rFonts w:ascii="Times New Roman" w:hAnsi="Times New Roman" w:cs="Times New Roman"/>
          <w:lang w:val="en-US"/>
        </w:rPr>
        <w:t xml:space="preserve">Alizarin red staining of bASCs after osteogenic induction. (a) Image of </w:t>
      </w:r>
      <w:r w:rsidR="009E6FBE" w:rsidRPr="007105D7">
        <w:rPr>
          <w:rFonts w:ascii="Times New Roman" w:hAnsi="Times New Roman" w:cs="Times New Roman"/>
          <w:lang w:val="en-US"/>
        </w:rPr>
        <w:t>the whole</w:t>
      </w:r>
      <w:r w:rsidRPr="007105D7">
        <w:rPr>
          <w:rFonts w:ascii="Times New Roman" w:hAnsi="Times New Roman" w:cs="Times New Roman"/>
          <w:lang w:val="en-US"/>
        </w:rPr>
        <w:t xml:space="preserve"> wells to visualize matrix production in cells cultured in osteogenic differentiation medium (DM) compared to cells cultured in growth medium (GM). (b) </w:t>
      </w:r>
      <w:r w:rsidR="00770E55" w:rsidRPr="007105D7">
        <w:rPr>
          <w:rFonts w:ascii="Times New Roman" w:hAnsi="Times New Roman" w:cs="Times New Roman"/>
          <w:lang w:val="en-US"/>
        </w:rPr>
        <w:t>Phase contrast</w:t>
      </w:r>
      <w:r w:rsidRPr="007105D7">
        <w:rPr>
          <w:rFonts w:ascii="Times New Roman" w:hAnsi="Times New Roman" w:cs="Times New Roman"/>
          <w:lang w:val="en-US"/>
        </w:rPr>
        <w:t xml:space="preserve"> micrographs showing the mineral matrix secreted by the cells </w:t>
      </w:r>
      <w:r w:rsidR="009E070B" w:rsidRPr="007105D7">
        <w:rPr>
          <w:rFonts w:ascii="Times New Roman" w:hAnsi="Times New Roman" w:cs="Times New Roman"/>
          <w:lang w:val="en-US"/>
        </w:rPr>
        <w:t xml:space="preserve">induced in </w:t>
      </w:r>
      <w:r w:rsidRPr="007105D7">
        <w:rPr>
          <w:rFonts w:ascii="Times New Roman" w:hAnsi="Times New Roman" w:cs="Times New Roman"/>
          <w:lang w:val="en-US"/>
        </w:rPr>
        <w:t xml:space="preserve">DM as opposed to </w:t>
      </w:r>
      <w:r w:rsidR="009E070B" w:rsidRPr="007105D7">
        <w:rPr>
          <w:rFonts w:ascii="Times New Roman" w:hAnsi="Times New Roman" w:cs="Times New Roman"/>
          <w:lang w:val="en-US"/>
        </w:rPr>
        <w:t xml:space="preserve">cells in </w:t>
      </w:r>
      <w:r w:rsidRPr="007105D7">
        <w:rPr>
          <w:rFonts w:ascii="Times New Roman" w:hAnsi="Times New Roman" w:cs="Times New Roman"/>
          <w:lang w:val="en-US"/>
        </w:rPr>
        <w:t>GM.</w:t>
      </w:r>
      <w:r w:rsidR="0006740F" w:rsidRPr="007105D7">
        <w:rPr>
          <w:rFonts w:ascii="Times New Roman" w:hAnsi="Times New Roman" w:cs="Times New Roman"/>
          <w:lang w:val="en-US"/>
        </w:rPr>
        <w:t xml:space="preserve"> Scale bar </w:t>
      </w:r>
      <w:r w:rsidR="009E6FBE" w:rsidRPr="007105D7">
        <w:rPr>
          <w:rFonts w:ascii="Times New Roman" w:hAnsi="Times New Roman" w:cs="Times New Roman"/>
          <w:lang w:val="en-US"/>
        </w:rPr>
        <w:t>= 100 µm</w:t>
      </w:r>
      <w:r w:rsidR="009E070B" w:rsidRPr="007105D7">
        <w:rPr>
          <w:rFonts w:ascii="Times New Roman" w:hAnsi="Times New Roman" w:cs="Times New Roman"/>
          <w:lang w:val="en-US"/>
        </w:rPr>
        <w:t>.</w:t>
      </w:r>
    </w:p>
    <w:sectPr w:rsidR="00630221" w:rsidRPr="00710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221"/>
    <w:rsid w:val="0000403D"/>
    <w:rsid w:val="00041C94"/>
    <w:rsid w:val="00052974"/>
    <w:rsid w:val="00063B6C"/>
    <w:rsid w:val="00066CC6"/>
    <w:rsid w:val="0006740F"/>
    <w:rsid w:val="00095F59"/>
    <w:rsid w:val="000A6CBF"/>
    <w:rsid w:val="000A7B06"/>
    <w:rsid w:val="000B414D"/>
    <w:rsid w:val="00111CD4"/>
    <w:rsid w:val="00132816"/>
    <w:rsid w:val="00140EE2"/>
    <w:rsid w:val="00150A86"/>
    <w:rsid w:val="001729D5"/>
    <w:rsid w:val="001D636B"/>
    <w:rsid w:val="00215C60"/>
    <w:rsid w:val="002B6146"/>
    <w:rsid w:val="002D53E4"/>
    <w:rsid w:val="0032050D"/>
    <w:rsid w:val="003226BA"/>
    <w:rsid w:val="003D5932"/>
    <w:rsid w:val="00402ABF"/>
    <w:rsid w:val="00434276"/>
    <w:rsid w:val="004923E8"/>
    <w:rsid w:val="0049279A"/>
    <w:rsid w:val="00493A32"/>
    <w:rsid w:val="004A0335"/>
    <w:rsid w:val="004C472D"/>
    <w:rsid w:val="004C4AD8"/>
    <w:rsid w:val="00531F24"/>
    <w:rsid w:val="005650D5"/>
    <w:rsid w:val="00583FDA"/>
    <w:rsid w:val="005B7790"/>
    <w:rsid w:val="005C0AD5"/>
    <w:rsid w:val="005E4190"/>
    <w:rsid w:val="005F738B"/>
    <w:rsid w:val="00630221"/>
    <w:rsid w:val="00634F7A"/>
    <w:rsid w:val="006509C6"/>
    <w:rsid w:val="00652655"/>
    <w:rsid w:val="0066777A"/>
    <w:rsid w:val="00690293"/>
    <w:rsid w:val="006A67C0"/>
    <w:rsid w:val="006D6886"/>
    <w:rsid w:val="006D78D7"/>
    <w:rsid w:val="006E2F83"/>
    <w:rsid w:val="006E7BA5"/>
    <w:rsid w:val="007105D7"/>
    <w:rsid w:val="00763768"/>
    <w:rsid w:val="00770E55"/>
    <w:rsid w:val="00771498"/>
    <w:rsid w:val="007A21FD"/>
    <w:rsid w:val="007A510E"/>
    <w:rsid w:val="007B7F57"/>
    <w:rsid w:val="007D2158"/>
    <w:rsid w:val="007E1B5F"/>
    <w:rsid w:val="0087562D"/>
    <w:rsid w:val="008D35E6"/>
    <w:rsid w:val="008E0E0A"/>
    <w:rsid w:val="008E2B8E"/>
    <w:rsid w:val="008E463C"/>
    <w:rsid w:val="00910C0E"/>
    <w:rsid w:val="00942619"/>
    <w:rsid w:val="00963ED7"/>
    <w:rsid w:val="00972F00"/>
    <w:rsid w:val="00997530"/>
    <w:rsid w:val="009C2C4C"/>
    <w:rsid w:val="009E070B"/>
    <w:rsid w:val="009E6FBE"/>
    <w:rsid w:val="00A55A23"/>
    <w:rsid w:val="00A67975"/>
    <w:rsid w:val="00A725F8"/>
    <w:rsid w:val="00A91B34"/>
    <w:rsid w:val="00AD254E"/>
    <w:rsid w:val="00AD4BBE"/>
    <w:rsid w:val="00AD53A7"/>
    <w:rsid w:val="00AE565D"/>
    <w:rsid w:val="00B06454"/>
    <w:rsid w:val="00B316D9"/>
    <w:rsid w:val="00B40836"/>
    <w:rsid w:val="00B4625C"/>
    <w:rsid w:val="00B6508E"/>
    <w:rsid w:val="00BA2E5B"/>
    <w:rsid w:val="00BB3A81"/>
    <w:rsid w:val="00BD7673"/>
    <w:rsid w:val="00C214D4"/>
    <w:rsid w:val="00C40C84"/>
    <w:rsid w:val="00C46284"/>
    <w:rsid w:val="00C70408"/>
    <w:rsid w:val="00C77EAD"/>
    <w:rsid w:val="00CD4337"/>
    <w:rsid w:val="00CF21FD"/>
    <w:rsid w:val="00CF455E"/>
    <w:rsid w:val="00D47993"/>
    <w:rsid w:val="00D50E76"/>
    <w:rsid w:val="00D767F1"/>
    <w:rsid w:val="00DB30F2"/>
    <w:rsid w:val="00DF10A6"/>
    <w:rsid w:val="00DF4E0B"/>
    <w:rsid w:val="00E233AB"/>
    <w:rsid w:val="00EA6AB7"/>
    <w:rsid w:val="00EB288F"/>
    <w:rsid w:val="00EB615B"/>
    <w:rsid w:val="00EC15E9"/>
    <w:rsid w:val="00EC675D"/>
    <w:rsid w:val="00ED56C0"/>
    <w:rsid w:val="00F24A4D"/>
    <w:rsid w:val="00F9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4273E"/>
  <w15:chartTrackingRefBased/>
  <w15:docId w15:val="{972BBEA5-2B6D-4D83-8E61-88E45DED3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02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02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02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02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02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02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02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02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02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02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02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02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02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02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02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02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02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02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02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02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2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02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02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02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02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02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02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02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022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3022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0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0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8D1A332-178E-4827-A124-688B4B72D3FD}">
  <we:reference id="wa200005121" version="1.2.0.0" store="en-US" storeType="OMEX"/>
  <we:alternateReferences>
    <we:reference id="wa200005121" version="1.2.0.0" store="" storeType="OMEX"/>
  </we:alternateReferences>
  <we:properties/>
  <we:bindings/>
  <we:snapshot xmlns:r="http://schemas.openxmlformats.org/officeDocument/2006/relationships"/>
</we:webextension>
</file>

<file path=docMetadata/LabelInfo.xml><?xml version="1.0" encoding="utf-8"?>
<clbl:labelList xmlns:clbl="http://schemas.microsoft.com/office/2020/mipLabelMetadata">
  <clbl:label id="{f5dbba49-ce06-496f-ac3e-0cf14361d934}" enabled="0" method="" siteId="{f5dbba49-ce06-496f-ac3e-0cf14361d93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625</Words>
  <Characters>3817</Characters>
  <Application>Microsoft Office Word</Application>
  <DocSecurity>0</DocSecurity>
  <Lines>31</Lines>
  <Paragraphs>8</Paragraphs>
  <ScaleCrop>false</ScaleCrop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Pennisi</dc:creator>
  <cp:keywords/>
  <dc:description/>
  <cp:lastModifiedBy>Pablo Pennisi</cp:lastModifiedBy>
  <cp:revision>42</cp:revision>
  <dcterms:created xsi:type="dcterms:W3CDTF">2025-06-10T20:53:00Z</dcterms:created>
  <dcterms:modified xsi:type="dcterms:W3CDTF">2025-06-11T09:33:00Z</dcterms:modified>
</cp:coreProperties>
</file>