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F56ED2">
      <w:pPr>
        <w:spacing w:before="0" w:after="0" w:line="480" w:lineRule="auto"/>
        <w:ind w:left="0" w:firstLine="0"/>
        <w:rPr>
          <w:rFonts w:eastAsiaTheme="minorEastAsia"/>
          <w:b/>
          <w:bCs w:val="0"/>
        </w:rPr>
      </w:pPr>
      <w:bookmarkStart w:id="0" w:name="_Hlk146482337"/>
      <w:r>
        <w:rPr>
          <w:rFonts w:eastAsiaTheme="minorEastAsia"/>
          <w:b/>
          <w:bCs w:val="0"/>
        </w:rPr>
        <w:t>Table S1 Definition of physical activity</w:t>
      </w:r>
      <w:bookmarkEnd w:id="0"/>
    </w:p>
    <w:p w14:paraId="7C609C64">
      <w:pPr>
        <w:spacing w:before="0" w:after="0" w:line="480" w:lineRule="auto"/>
        <w:ind w:left="0" w:firstLine="0"/>
        <w:rPr>
          <w:rFonts w:eastAsiaTheme="minorEastAsia"/>
          <w:b/>
          <w:bCs w:val="0"/>
        </w:rPr>
      </w:pPr>
      <w:r>
        <w:rPr>
          <w:rFonts w:eastAsiaTheme="minorEastAsia"/>
          <w:b/>
          <w:bCs w:val="0"/>
        </w:rPr>
        <w:t xml:space="preserve">Table S2 Definition of </w:t>
      </w:r>
      <w:r>
        <w:rPr>
          <w:rFonts w:eastAsiaTheme="minorEastAsia"/>
          <w:b/>
        </w:rPr>
        <w:t>smoking status</w:t>
      </w:r>
    </w:p>
    <w:p w14:paraId="73A4D7C1">
      <w:pPr>
        <w:spacing w:before="0" w:after="0" w:line="480" w:lineRule="auto"/>
        <w:ind w:left="0" w:firstLine="0"/>
        <w:rPr>
          <w:rFonts w:eastAsiaTheme="minorEastAsia"/>
          <w:b/>
          <w:bCs w:val="0"/>
        </w:rPr>
      </w:pPr>
      <w:r>
        <w:rPr>
          <w:rFonts w:hint="eastAsia" w:eastAsiaTheme="minorEastAsia"/>
          <w:b/>
          <w:bCs w:val="0"/>
        </w:rPr>
        <w:t>T</w:t>
      </w:r>
      <w:r>
        <w:rPr>
          <w:rFonts w:eastAsiaTheme="minorEastAsia"/>
          <w:b/>
          <w:bCs w:val="0"/>
        </w:rPr>
        <w:t>able S3</w:t>
      </w:r>
      <w:r>
        <w:t xml:space="preserve"> </w:t>
      </w:r>
      <w:r>
        <w:rPr>
          <w:rFonts w:eastAsiaTheme="minorEastAsia"/>
          <w:b/>
          <w:bCs w:val="0"/>
        </w:rPr>
        <w:t xml:space="preserve">The measurement methods </w:t>
      </w:r>
      <w:r>
        <w:rPr>
          <w:rFonts w:hint="eastAsia" w:eastAsiaTheme="minorEastAsia"/>
          <w:b/>
          <w:bCs w:val="0"/>
        </w:rPr>
        <w:t>of</w:t>
      </w:r>
      <w:r>
        <w:rPr>
          <w:rFonts w:eastAsiaTheme="minorEastAsia"/>
          <w:b/>
          <w:bCs w:val="0"/>
        </w:rPr>
        <w:t xml:space="preserve"> laboratory indicators</w:t>
      </w:r>
    </w:p>
    <w:p w14:paraId="7F5DEA09">
      <w:pPr>
        <w:spacing w:before="0" w:after="0" w:line="480" w:lineRule="auto"/>
        <w:ind w:left="0" w:firstLine="0"/>
        <w:rPr>
          <w:rFonts w:eastAsiaTheme="minorEastAsia"/>
          <w:b/>
          <w:bCs w:val="0"/>
        </w:rPr>
      </w:pPr>
      <w:r>
        <w:rPr>
          <w:rFonts w:hint="eastAsia" w:eastAsiaTheme="minorEastAsia"/>
          <w:b/>
          <w:bCs w:val="0"/>
        </w:rPr>
        <w:t>T</w:t>
      </w:r>
      <w:r>
        <w:rPr>
          <w:rFonts w:eastAsiaTheme="minorEastAsia"/>
          <w:b/>
          <w:bCs w:val="0"/>
        </w:rPr>
        <w:t>able S</w:t>
      </w:r>
      <w:r>
        <w:rPr>
          <w:rFonts w:hint="eastAsia" w:eastAsiaTheme="minorEastAsia"/>
          <w:b/>
          <w:bCs w:val="0"/>
          <w:lang w:val="en-US" w:eastAsia="zh-CN"/>
        </w:rPr>
        <w:t>4</w:t>
      </w:r>
      <w:bookmarkStart w:id="1" w:name="_GoBack"/>
      <w:bookmarkEnd w:id="1"/>
      <w:r>
        <w:rPr>
          <w:rFonts w:eastAsiaTheme="minorEastAsia"/>
          <w:b/>
          <w:bCs w:val="0"/>
        </w:rPr>
        <w:t xml:space="preserve"> Comprehensive details of the Survival Cohort Study Design for NHANES 1999-2004</w:t>
      </w:r>
    </w:p>
    <w:p w14:paraId="0E1E6713">
      <w:pPr>
        <w:spacing w:before="0" w:after="0" w:line="480" w:lineRule="auto"/>
        <w:ind w:left="0" w:firstLine="0"/>
        <w:rPr>
          <w:rFonts w:eastAsiaTheme="minorEastAsia"/>
          <w:b/>
          <w:bCs w:val="0"/>
        </w:rPr>
      </w:pPr>
      <w:r>
        <w:rPr>
          <w:rFonts w:eastAsiaTheme="minorEastAsia"/>
        </w:rPr>
        <w:br w:type="page"/>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7031"/>
      </w:tblGrid>
      <w:tr w14:paraId="6E5C3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02" w:type="dxa"/>
            <w:gridSpan w:val="2"/>
            <w:tcBorders>
              <w:top w:val="nil"/>
              <w:left w:val="nil"/>
              <w:bottom w:val="single" w:color="auto" w:sz="4" w:space="0"/>
              <w:right w:val="nil"/>
            </w:tcBorders>
          </w:tcPr>
          <w:p w14:paraId="4D73CBBF">
            <w:pPr>
              <w:spacing w:before="0" w:after="0" w:line="480" w:lineRule="auto"/>
              <w:ind w:left="0" w:firstLine="0"/>
              <w:rPr>
                <w:rFonts w:eastAsiaTheme="minorEastAsia"/>
                <w:b/>
                <w:bCs w:val="0"/>
              </w:rPr>
            </w:pPr>
            <w:r>
              <w:rPr>
                <w:rFonts w:eastAsiaTheme="minorEastAsia"/>
                <w:b/>
                <w:bCs w:val="0"/>
              </w:rPr>
              <w:t>Table S1 Definition of physical activity</w:t>
            </w:r>
          </w:p>
        </w:tc>
      </w:tr>
      <w:tr w14:paraId="44989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auto" w:sz="4" w:space="0"/>
            </w:tcBorders>
          </w:tcPr>
          <w:p w14:paraId="630B390F">
            <w:pPr>
              <w:spacing w:before="0" w:after="0" w:line="480" w:lineRule="auto"/>
              <w:ind w:left="0" w:firstLine="0"/>
              <w:rPr>
                <w:rFonts w:eastAsiaTheme="minorEastAsia"/>
              </w:rPr>
            </w:pPr>
            <w:r>
              <w:rPr>
                <w:rFonts w:eastAsiaTheme="minorEastAsia"/>
              </w:rPr>
              <w:t>Level 0</w:t>
            </w:r>
          </w:p>
        </w:tc>
        <w:tc>
          <w:tcPr>
            <w:tcW w:w="7031" w:type="dxa"/>
            <w:tcBorders>
              <w:top w:val="single" w:color="auto" w:sz="4" w:space="0"/>
            </w:tcBorders>
          </w:tcPr>
          <w:p w14:paraId="4098E511">
            <w:pPr>
              <w:spacing w:before="0" w:after="0" w:line="480" w:lineRule="auto"/>
              <w:ind w:left="0" w:firstLine="0"/>
              <w:rPr>
                <w:rFonts w:eastAsiaTheme="minorEastAsia"/>
              </w:rPr>
            </w:pPr>
            <w:r>
              <w:rPr>
                <w:rFonts w:eastAsiaTheme="minorEastAsia"/>
              </w:rPr>
              <w:t>Little or no regular recreation, sport or physical activity and avoids walking or exertion</w:t>
            </w:r>
          </w:p>
        </w:tc>
      </w:tr>
      <w:tr w14:paraId="15543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2CEEE5BD">
            <w:pPr>
              <w:spacing w:before="0" w:after="0" w:line="480" w:lineRule="auto"/>
              <w:ind w:left="0" w:firstLine="0"/>
              <w:rPr>
                <w:rFonts w:eastAsiaTheme="minorEastAsia"/>
              </w:rPr>
            </w:pPr>
            <w:r>
              <w:rPr>
                <w:rFonts w:eastAsiaTheme="minorEastAsia"/>
              </w:rPr>
              <w:t>Level 1</w:t>
            </w:r>
          </w:p>
        </w:tc>
        <w:tc>
          <w:tcPr>
            <w:tcW w:w="7031" w:type="dxa"/>
          </w:tcPr>
          <w:p w14:paraId="63F050AF">
            <w:pPr>
              <w:spacing w:before="0" w:after="0" w:line="480" w:lineRule="auto"/>
              <w:ind w:left="0" w:firstLine="0"/>
              <w:rPr>
                <w:rFonts w:eastAsiaTheme="minorEastAsia"/>
              </w:rPr>
            </w:pPr>
            <w:r>
              <w:rPr>
                <w:rFonts w:eastAsiaTheme="minorEastAsia"/>
              </w:rPr>
              <w:t>Little or no regular recreation, sport or physical activity but walks for pleasure and occasionally exercises</w:t>
            </w:r>
          </w:p>
        </w:tc>
      </w:tr>
      <w:tr w14:paraId="6FBF4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5C0CBB12">
            <w:pPr>
              <w:spacing w:before="0" w:after="0" w:line="480" w:lineRule="auto"/>
              <w:ind w:left="0" w:firstLine="0"/>
              <w:rPr>
                <w:rFonts w:eastAsiaTheme="minorEastAsia"/>
              </w:rPr>
            </w:pPr>
            <w:r>
              <w:rPr>
                <w:rFonts w:eastAsiaTheme="minorEastAsia"/>
              </w:rPr>
              <w:t>Level 2</w:t>
            </w:r>
          </w:p>
        </w:tc>
        <w:tc>
          <w:tcPr>
            <w:tcW w:w="7031" w:type="dxa"/>
          </w:tcPr>
          <w:p w14:paraId="6F717C6D">
            <w:pPr>
              <w:spacing w:before="0" w:after="0" w:line="480" w:lineRule="auto"/>
              <w:ind w:left="0" w:firstLine="0"/>
              <w:rPr>
                <w:rFonts w:eastAsiaTheme="minorEastAsia"/>
              </w:rPr>
            </w:pPr>
            <w:r>
              <w:rPr>
                <w:rFonts w:eastAsiaTheme="minorEastAsia"/>
              </w:rPr>
              <w:t>participating regularly in recreation or work requiring modest physical activity for 10 to 60 minutes per week</w:t>
            </w:r>
          </w:p>
        </w:tc>
      </w:tr>
      <w:tr w14:paraId="560CB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183DD382">
            <w:pPr>
              <w:spacing w:before="0" w:after="0" w:line="480" w:lineRule="auto"/>
              <w:ind w:left="0" w:firstLine="0"/>
              <w:rPr>
                <w:rFonts w:eastAsiaTheme="minorEastAsia"/>
              </w:rPr>
            </w:pPr>
            <w:r>
              <w:rPr>
                <w:rFonts w:eastAsiaTheme="minorEastAsia"/>
              </w:rPr>
              <w:t>Level 3</w:t>
            </w:r>
          </w:p>
        </w:tc>
        <w:tc>
          <w:tcPr>
            <w:tcW w:w="7031" w:type="dxa"/>
          </w:tcPr>
          <w:p w14:paraId="16E7CF69">
            <w:pPr>
              <w:spacing w:before="0" w:after="0" w:line="480" w:lineRule="auto"/>
              <w:ind w:left="0" w:firstLine="0"/>
              <w:rPr>
                <w:rFonts w:eastAsiaTheme="minorEastAsia"/>
              </w:rPr>
            </w:pPr>
            <w:r>
              <w:rPr>
                <w:rFonts w:eastAsiaTheme="minorEastAsia"/>
              </w:rPr>
              <w:t>participating regularly in recreation or work requiring modest physical activity for more than 60 minutes per week</w:t>
            </w:r>
          </w:p>
        </w:tc>
      </w:tr>
      <w:tr w14:paraId="5E4E8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40D27C63">
            <w:pPr>
              <w:spacing w:before="0" w:after="0" w:line="480" w:lineRule="auto"/>
              <w:ind w:left="0" w:firstLine="0"/>
              <w:rPr>
                <w:rFonts w:eastAsiaTheme="minorEastAsia"/>
              </w:rPr>
            </w:pPr>
            <w:r>
              <w:rPr>
                <w:rFonts w:eastAsiaTheme="minorEastAsia"/>
              </w:rPr>
              <w:t>Level 4</w:t>
            </w:r>
          </w:p>
        </w:tc>
        <w:tc>
          <w:tcPr>
            <w:tcW w:w="7031" w:type="dxa"/>
          </w:tcPr>
          <w:p w14:paraId="65FAB715">
            <w:pPr>
              <w:spacing w:before="0" w:after="0" w:line="480" w:lineRule="auto"/>
              <w:ind w:left="0" w:firstLine="0"/>
              <w:rPr>
                <w:rFonts w:eastAsiaTheme="minorEastAsia"/>
              </w:rPr>
            </w:pPr>
            <w:r>
              <w:rPr>
                <w:rFonts w:eastAsiaTheme="minorEastAsia"/>
              </w:rPr>
              <w:t>participating regularly in heavy physical activity less than 1 hour per week</w:t>
            </w:r>
          </w:p>
        </w:tc>
      </w:tr>
      <w:tr w14:paraId="52C28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05B70882">
            <w:pPr>
              <w:spacing w:before="0" w:after="0" w:line="480" w:lineRule="auto"/>
              <w:ind w:left="0" w:firstLine="0"/>
              <w:rPr>
                <w:rFonts w:eastAsiaTheme="minorEastAsia"/>
              </w:rPr>
            </w:pPr>
            <w:r>
              <w:rPr>
                <w:rFonts w:eastAsiaTheme="minorEastAsia"/>
              </w:rPr>
              <w:t>Level 5</w:t>
            </w:r>
          </w:p>
        </w:tc>
        <w:tc>
          <w:tcPr>
            <w:tcW w:w="7031" w:type="dxa"/>
          </w:tcPr>
          <w:p w14:paraId="59CE19D9">
            <w:pPr>
              <w:spacing w:before="0" w:after="0" w:line="480" w:lineRule="auto"/>
              <w:ind w:left="0" w:firstLine="0"/>
              <w:rPr>
                <w:rFonts w:eastAsiaTheme="minorEastAsia"/>
              </w:rPr>
            </w:pPr>
            <w:r>
              <w:rPr>
                <w:rFonts w:eastAsiaTheme="minorEastAsia"/>
              </w:rPr>
              <w:t>participating regularly in heavy physical activity for 1 - 3 hours per week</w:t>
            </w:r>
          </w:p>
        </w:tc>
      </w:tr>
      <w:tr w14:paraId="1700C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2FA30043">
            <w:pPr>
              <w:spacing w:before="0" w:after="0" w:line="480" w:lineRule="auto"/>
              <w:ind w:left="0" w:firstLine="0"/>
              <w:rPr>
                <w:rFonts w:eastAsiaTheme="minorEastAsia"/>
              </w:rPr>
            </w:pPr>
            <w:r>
              <w:rPr>
                <w:rFonts w:eastAsiaTheme="minorEastAsia"/>
              </w:rPr>
              <w:t>Level 6</w:t>
            </w:r>
          </w:p>
        </w:tc>
        <w:tc>
          <w:tcPr>
            <w:tcW w:w="7031" w:type="dxa"/>
          </w:tcPr>
          <w:p w14:paraId="1B4DE96D">
            <w:pPr>
              <w:spacing w:before="0" w:after="0" w:line="480" w:lineRule="auto"/>
              <w:ind w:left="0" w:firstLine="0"/>
              <w:rPr>
                <w:rFonts w:eastAsiaTheme="minorEastAsia"/>
              </w:rPr>
            </w:pPr>
            <w:r>
              <w:rPr>
                <w:rFonts w:eastAsiaTheme="minorEastAsia"/>
              </w:rPr>
              <w:t>participating regularly in heavy physical activity for more than 3 hours per week</w:t>
            </w:r>
          </w:p>
        </w:tc>
      </w:tr>
      <w:tr w14:paraId="7BBB1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2" w:type="dxa"/>
            <w:gridSpan w:val="2"/>
          </w:tcPr>
          <w:p w14:paraId="3784C660">
            <w:pPr>
              <w:spacing w:before="0" w:after="0" w:line="480" w:lineRule="auto"/>
              <w:ind w:left="0" w:firstLine="0"/>
              <w:rPr>
                <w:rFonts w:eastAsiaTheme="minorEastAsia"/>
              </w:rPr>
            </w:pPr>
            <w:r>
              <w:rPr>
                <w:rFonts w:eastAsiaTheme="minorEastAsia"/>
              </w:rPr>
              <w:t xml:space="preserve">A series of questions to describe the participant's typical physical activity level. (See </w:t>
            </w:r>
            <w:r>
              <w:fldChar w:fldCharType="begin"/>
            </w:r>
            <w:r>
              <w:instrText xml:space="preserve"> HYPERLINK "https://wwwn.cdc.gov/nchs/data/nhanes/2003-2004/manuals/cv_99-04.pdf" </w:instrText>
            </w:r>
            <w:r>
              <w:fldChar w:fldCharType="separate"/>
            </w:r>
            <w:r>
              <w:rPr>
                <w:rStyle w:val="10"/>
                <w:rFonts w:eastAsiaTheme="minorEastAsia"/>
              </w:rPr>
              <w:t>NHANES Cardiovascular MEC Manual (cdc.gov)</w:t>
            </w:r>
            <w:r>
              <w:rPr>
                <w:rStyle w:val="10"/>
                <w:rFonts w:eastAsiaTheme="minorEastAsia"/>
              </w:rPr>
              <w:fldChar w:fldCharType="end"/>
            </w:r>
            <w:r>
              <w:rPr>
                <w:rFonts w:eastAsiaTheme="minorEastAsia"/>
              </w:rPr>
              <w:t>, Appendix E)</w:t>
            </w:r>
          </w:p>
        </w:tc>
      </w:tr>
    </w:tbl>
    <w:p w14:paraId="01E57E5F">
      <w:pPr>
        <w:rPr>
          <w:rFonts w:eastAsiaTheme="minorEastAsia"/>
        </w:rPr>
      </w:pPr>
      <w:r>
        <w:rPr>
          <w:rFonts w:eastAsiaTheme="minorEastAsia"/>
        </w:rP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5301"/>
      </w:tblGrid>
      <w:tr w14:paraId="4B4C2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961" w:type="dxa"/>
            <w:gridSpan w:val="2"/>
            <w:tcBorders>
              <w:top w:val="nil"/>
              <w:left w:val="nil"/>
              <w:bottom w:val="single" w:color="auto" w:sz="4" w:space="0"/>
              <w:right w:val="nil"/>
            </w:tcBorders>
            <w:vAlign w:val="center"/>
          </w:tcPr>
          <w:p w14:paraId="1DAB2F8E">
            <w:pPr>
              <w:spacing w:before="0" w:after="0"/>
              <w:ind w:left="0" w:firstLine="0"/>
              <w:rPr>
                <w:rFonts w:eastAsiaTheme="minorEastAsia"/>
              </w:rPr>
            </w:pPr>
            <w:r>
              <w:rPr>
                <w:rFonts w:eastAsiaTheme="minorEastAsia"/>
                <w:b/>
                <w:bCs w:val="0"/>
              </w:rPr>
              <w:t xml:space="preserve">Table S2 Definition of </w:t>
            </w:r>
            <w:r>
              <w:rPr>
                <w:rFonts w:eastAsiaTheme="minorEastAsia"/>
                <w:b/>
              </w:rPr>
              <w:t>smoking status</w:t>
            </w:r>
          </w:p>
        </w:tc>
      </w:tr>
      <w:tr w14:paraId="645F0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660" w:type="dxa"/>
            <w:tcBorders>
              <w:top w:val="single" w:color="auto" w:sz="4" w:space="0"/>
            </w:tcBorders>
            <w:vAlign w:val="center"/>
          </w:tcPr>
          <w:p w14:paraId="431A0713">
            <w:pPr>
              <w:spacing w:before="0" w:after="0"/>
              <w:ind w:left="0" w:firstLine="0"/>
              <w:rPr>
                <w:rFonts w:eastAsiaTheme="minorEastAsia"/>
              </w:rPr>
            </w:pPr>
            <w:r>
              <w:rPr>
                <w:rFonts w:hint="eastAsia" w:eastAsiaTheme="minorEastAsia"/>
              </w:rPr>
              <w:t>1</w:t>
            </w:r>
            <w:r>
              <w:rPr>
                <w:rFonts w:eastAsiaTheme="minorEastAsia"/>
              </w:rPr>
              <w:t>2-19 years</w:t>
            </w:r>
          </w:p>
        </w:tc>
        <w:tc>
          <w:tcPr>
            <w:tcW w:w="5301" w:type="dxa"/>
            <w:tcBorders>
              <w:top w:val="single" w:color="auto" w:sz="4" w:space="0"/>
            </w:tcBorders>
            <w:vAlign w:val="center"/>
          </w:tcPr>
          <w:p w14:paraId="588E40F6">
            <w:pPr>
              <w:spacing w:before="0" w:after="0"/>
              <w:ind w:left="0" w:firstLine="0"/>
              <w:rPr>
                <w:rFonts w:eastAsiaTheme="minorEastAsia"/>
              </w:rPr>
            </w:pPr>
          </w:p>
        </w:tc>
      </w:tr>
      <w:tr w14:paraId="2B105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660" w:type="dxa"/>
            <w:vAlign w:val="center"/>
          </w:tcPr>
          <w:p w14:paraId="2DAE165A">
            <w:pPr>
              <w:spacing w:before="0" w:after="0"/>
              <w:ind w:left="566" w:leftChars="100" w:hanging="326" w:hangingChars="136"/>
              <w:rPr>
                <w:rFonts w:eastAsiaTheme="minorEastAsia"/>
              </w:rPr>
            </w:pPr>
            <w:r>
              <w:rPr>
                <w:rFonts w:eastAsiaTheme="minorEastAsia"/>
              </w:rPr>
              <w:t>Current smokers</w:t>
            </w:r>
          </w:p>
        </w:tc>
        <w:tc>
          <w:tcPr>
            <w:tcW w:w="5301" w:type="dxa"/>
            <w:vAlign w:val="center"/>
          </w:tcPr>
          <w:p w14:paraId="0A9C5909">
            <w:pPr>
              <w:spacing w:before="0" w:after="0"/>
              <w:ind w:left="0" w:firstLine="0"/>
              <w:rPr>
                <w:rFonts w:eastAsiaTheme="minorEastAsia"/>
              </w:rPr>
            </w:pPr>
            <w:r>
              <w:rPr>
                <w:rFonts w:eastAsiaTheme="minorEastAsia"/>
              </w:rPr>
              <w:t>Participants had smoked a full cigarette and continued smoking in the past month</w:t>
            </w:r>
          </w:p>
        </w:tc>
      </w:tr>
      <w:tr w14:paraId="6B4AE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660" w:type="dxa"/>
            <w:vAlign w:val="center"/>
          </w:tcPr>
          <w:p w14:paraId="2CB3E2E2">
            <w:pPr>
              <w:spacing w:before="0" w:after="0"/>
              <w:ind w:left="0" w:firstLine="240" w:firstLineChars="100"/>
              <w:rPr>
                <w:rFonts w:eastAsiaTheme="minorEastAsia"/>
              </w:rPr>
            </w:pPr>
            <w:r>
              <w:rPr>
                <w:rFonts w:eastAsiaTheme="minorEastAsia"/>
              </w:rPr>
              <w:t>Former smokers</w:t>
            </w:r>
          </w:p>
        </w:tc>
        <w:tc>
          <w:tcPr>
            <w:tcW w:w="5301" w:type="dxa"/>
            <w:vAlign w:val="center"/>
          </w:tcPr>
          <w:p w14:paraId="0C13B672">
            <w:pPr>
              <w:spacing w:before="0" w:after="0"/>
              <w:ind w:left="0" w:firstLine="0"/>
              <w:rPr>
                <w:rFonts w:eastAsiaTheme="minorEastAsia"/>
              </w:rPr>
            </w:pPr>
            <w:r>
              <w:rPr>
                <w:rFonts w:eastAsiaTheme="minorEastAsia"/>
              </w:rPr>
              <w:t>Participants had smoked a full cigarette but did not smoke in the past month</w:t>
            </w:r>
          </w:p>
        </w:tc>
      </w:tr>
      <w:tr w14:paraId="440BA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660" w:type="dxa"/>
            <w:vAlign w:val="center"/>
          </w:tcPr>
          <w:p w14:paraId="34408239">
            <w:pPr>
              <w:spacing w:before="0" w:after="0"/>
              <w:ind w:left="0" w:firstLine="240" w:firstLineChars="100"/>
              <w:rPr>
                <w:rFonts w:eastAsiaTheme="minorEastAsia"/>
              </w:rPr>
            </w:pPr>
            <w:r>
              <w:rPr>
                <w:rFonts w:eastAsiaTheme="minorEastAsia"/>
              </w:rPr>
              <w:t>Never smokers</w:t>
            </w:r>
          </w:p>
        </w:tc>
        <w:tc>
          <w:tcPr>
            <w:tcW w:w="5301" w:type="dxa"/>
            <w:vAlign w:val="center"/>
          </w:tcPr>
          <w:p w14:paraId="29D0A30B">
            <w:pPr>
              <w:spacing w:before="0" w:after="0"/>
              <w:ind w:left="0" w:firstLine="0"/>
              <w:rPr>
                <w:rFonts w:eastAsiaTheme="minorEastAsia"/>
              </w:rPr>
            </w:pPr>
            <w:r>
              <w:rPr>
                <w:rFonts w:eastAsiaTheme="minorEastAsia"/>
              </w:rPr>
              <w:t>Participants had not smoked a full cigarette or had never tried smoking</w:t>
            </w:r>
          </w:p>
        </w:tc>
      </w:tr>
      <w:tr w14:paraId="78A28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660" w:type="dxa"/>
            <w:vAlign w:val="center"/>
          </w:tcPr>
          <w:p w14:paraId="0EA3363D">
            <w:pPr>
              <w:spacing w:before="0" w:after="0"/>
              <w:ind w:left="0" w:firstLine="0"/>
              <w:rPr>
                <w:rFonts w:eastAsiaTheme="minorEastAsia"/>
              </w:rPr>
            </w:pPr>
            <w:r>
              <w:rPr>
                <w:rFonts w:hint="eastAsia" w:eastAsiaTheme="minorEastAsia"/>
              </w:rPr>
              <w:t>2</w:t>
            </w:r>
            <w:r>
              <w:rPr>
                <w:rFonts w:eastAsiaTheme="minorEastAsia"/>
              </w:rPr>
              <w:t>0-49 years</w:t>
            </w:r>
          </w:p>
        </w:tc>
        <w:tc>
          <w:tcPr>
            <w:tcW w:w="5301" w:type="dxa"/>
            <w:vAlign w:val="center"/>
          </w:tcPr>
          <w:p w14:paraId="26648081">
            <w:pPr>
              <w:spacing w:before="0" w:after="0"/>
              <w:ind w:left="0" w:firstLine="0"/>
              <w:rPr>
                <w:rFonts w:eastAsiaTheme="minorEastAsia"/>
              </w:rPr>
            </w:pPr>
          </w:p>
        </w:tc>
      </w:tr>
      <w:tr w14:paraId="72ACA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660" w:type="dxa"/>
            <w:vAlign w:val="center"/>
          </w:tcPr>
          <w:p w14:paraId="0F0D3B01">
            <w:pPr>
              <w:spacing w:before="0" w:after="0"/>
              <w:ind w:left="0" w:firstLine="240" w:firstLineChars="100"/>
              <w:rPr>
                <w:rFonts w:eastAsiaTheme="minorEastAsia"/>
              </w:rPr>
            </w:pPr>
            <w:r>
              <w:rPr>
                <w:rFonts w:eastAsiaTheme="minorEastAsia"/>
              </w:rPr>
              <w:t>Current smokers</w:t>
            </w:r>
          </w:p>
        </w:tc>
        <w:tc>
          <w:tcPr>
            <w:tcW w:w="5301" w:type="dxa"/>
            <w:vAlign w:val="center"/>
          </w:tcPr>
          <w:p w14:paraId="099D4D57">
            <w:pPr>
              <w:spacing w:before="0" w:after="0"/>
              <w:ind w:left="0" w:firstLine="0"/>
              <w:rPr>
                <w:rFonts w:eastAsiaTheme="minorEastAsia"/>
              </w:rPr>
            </w:pPr>
            <w:r>
              <w:rPr>
                <w:rFonts w:eastAsiaTheme="minorEastAsia"/>
              </w:rPr>
              <w:t>Participants had smoked more than 100 cigarettes in their lifetime and currently smoking</w:t>
            </w:r>
          </w:p>
        </w:tc>
      </w:tr>
      <w:tr w14:paraId="7E20A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660" w:type="dxa"/>
            <w:vAlign w:val="center"/>
          </w:tcPr>
          <w:p w14:paraId="65034A1F">
            <w:pPr>
              <w:spacing w:before="0" w:after="0"/>
              <w:ind w:left="0" w:firstLine="240" w:firstLineChars="100"/>
              <w:rPr>
                <w:rFonts w:eastAsiaTheme="minorEastAsia"/>
              </w:rPr>
            </w:pPr>
            <w:r>
              <w:rPr>
                <w:rFonts w:eastAsiaTheme="minorEastAsia"/>
              </w:rPr>
              <w:t>Former smokers</w:t>
            </w:r>
          </w:p>
        </w:tc>
        <w:tc>
          <w:tcPr>
            <w:tcW w:w="5301" w:type="dxa"/>
            <w:vAlign w:val="center"/>
          </w:tcPr>
          <w:p w14:paraId="4A3F6C0A">
            <w:pPr>
              <w:spacing w:before="0" w:after="0"/>
              <w:ind w:left="0" w:firstLine="0"/>
              <w:rPr>
                <w:rFonts w:eastAsiaTheme="minorEastAsia"/>
              </w:rPr>
            </w:pPr>
            <w:r>
              <w:rPr>
                <w:rFonts w:eastAsiaTheme="minorEastAsia"/>
              </w:rPr>
              <w:t>Participants had smoked more than 100 cigarettes in their lifetime but not smoking recently</w:t>
            </w:r>
          </w:p>
        </w:tc>
      </w:tr>
      <w:tr w14:paraId="747FA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660" w:type="dxa"/>
            <w:vAlign w:val="center"/>
          </w:tcPr>
          <w:p w14:paraId="6234796F">
            <w:pPr>
              <w:spacing w:before="0" w:after="0"/>
              <w:ind w:left="0" w:firstLine="240" w:firstLineChars="100"/>
              <w:rPr>
                <w:rFonts w:eastAsiaTheme="minorEastAsia"/>
              </w:rPr>
            </w:pPr>
            <w:r>
              <w:rPr>
                <w:rFonts w:eastAsiaTheme="minorEastAsia"/>
              </w:rPr>
              <w:t>Never smokers</w:t>
            </w:r>
          </w:p>
        </w:tc>
        <w:tc>
          <w:tcPr>
            <w:tcW w:w="5301" w:type="dxa"/>
            <w:vAlign w:val="center"/>
          </w:tcPr>
          <w:p w14:paraId="12236FAB">
            <w:pPr>
              <w:spacing w:before="0" w:after="0"/>
              <w:ind w:left="0" w:firstLine="0"/>
              <w:rPr>
                <w:rFonts w:eastAsiaTheme="minorEastAsia"/>
              </w:rPr>
            </w:pPr>
            <w:r>
              <w:rPr>
                <w:rFonts w:eastAsiaTheme="minorEastAsia"/>
              </w:rPr>
              <w:t>Participants had smoked fewer than 100 cigarettes in their lifetime</w:t>
            </w:r>
          </w:p>
        </w:tc>
      </w:tr>
    </w:tbl>
    <w:p w14:paraId="1528F42F">
      <w:pPr>
        <w:rPr>
          <w:rFonts w:eastAsiaTheme="minorEastAsia"/>
        </w:rPr>
      </w:pPr>
      <w:r>
        <w:rPr>
          <w:rFonts w:eastAsiaTheme="minorEastAsia"/>
        </w:rPr>
        <w:br w:type="page"/>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6010"/>
      </w:tblGrid>
      <w:tr w14:paraId="0A9A6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8" w:type="dxa"/>
            <w:gridSpan w:val="2"/>
            <w:tcBorders>
              <w:top w:val="nil"/>
              <w:left w:val="nil"/>
              <w:bottom w:val="single" w:color="000000" w:sz="8" w:space="0"/>
              <w:right w:val="nil"/>
            </w:tcBorders>
          </w:tcPr>
          <w:p w14:paraId="3648315C">
            <w:pPr>
              <w:spacing w:before="0" w:after="0" w:line="480" w:lineRule="auto"/>
              <w:ind w:left="0" w:firstLine="0"/>
              <w:rPr>
                <w:rFonts w:eastAsiaTheme="minorEastAsia"/>
                <w:b/>
                <w:bCs w:val="0"/>
              </w:rPr>
            </w:pPr>
            <w:r>
              <w:rPr>
                <w:rFonts w:hint="eastAsia" w:eastAsiaTheme="minorEastAsia"/>
                <w:b/>
                <w:bCs w:val="0"/>
              </w:rPr>
              <w:t>T</w:t>
            </w:r>
            <w:r>
              <w:rPr>
                <w:rFonts w:eastAsiaTheme="minorEastAsia"/>
                <w:b/>
                <w:bCs w:val="0"/>
              </w:rPr>
              <w:t>able S3</w:t>
            </w:r>
            <w:r>
              <w:t xml:space="preserve"> </w:t>
            </w:r>
            <w:r>
              <w:rPr>
                <w:rFonts w:eastAsiaTheme="minorEastAsia"/>
                <w:b/>
                <w:bCs w:val="0"/>
              </w:rPr>
              <w:t xml:space="preserve">The measurement methods </w:t>
            </w:r>
            <w:r>
              <w:rPr>
                <w:rFonts w:hint="eastAsia" w:eastAsiaTheme="minorEastAsia"/>
                <w:b/>
                <w:bCs w:val="0"/>
              </w:rPr>
              <w:t>of</w:t>
            </w:r>
            <w:r>
              <w:rPr>
                <w:rFonts w:eastAsiaTheme="minorEastAsia"/>
                <w:b/>
                <w:bCs w:val="0"/>
              </w:rPr>
              <w:t xml:space="preserve"> laboratory indicators</w:t>
            </w:r>
          </w:p>
        </w:tc>
      </w:tr>
      <w:tr w14:paraId="6CBBA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000000" w:sz="8" w:space="0"/>
            </w:tcBorders>
          </w:tcPr>
          <w:p w14:paraId="608F9A7F">
            <w:pPr>
              <w:spacing w:before="0" w:after="0" w:line="480" w:lineRule="auto"/>
              <w:ind w:left="0" w:firstLine="0"/>
              <w:rPr>
                <w:rFonts w:eastAsiaTheme="minorEastAsia"/>
              </w:rPr>
            </w:pPr>
            <w:r>
              <w:rPr>
                <w:rFonts w:eastAsiaTheme="minorEastAsia"/>
              </w:rPr>
              <w:t>NHANES Laboratory Procedures Manual</w:t>
            </w:r>
          </w:p>
        </w:tc>
        <w:tc>
          <w:tcPr>
            <w:tcW w:w="6010" w:type="dxa"/>
            <w:tcBorders>
              <w:top w:val="single" w:color="000000" w:sz="8" w:space="0"/>
            </w:tcBorders>
          </w:tcPr>
          <w:p w14:paraId="0026D4BB">
            <w:pPr>
              <w:spacing w:before="0" w:after="0" w:line="480" w:lineRule="auto"/>
              <w:ind w:left="0" w:firstLine="0"/>
              <w:rPr>
                <w:rFonts w:eastAsiaTheme="minorEastAsia"/>
              </w:rPr>
            </w:pPr>
            <w:r>
              <w:fldChar w:fldCharType="begin"/>
            </w:r>
            <w:r>
              <w:instrText xml:space="preserve"> HYPERLINK "https://wwwn.cdc.gov/nchs/data/nhanes/1999-2000/manuals/1999-2000_MEC_Laboratory_Manual.pdf" </w:instrText>
            </w:r>
            <w:r>
              <w:fldChar w:fldCharType="separate"/>
            </w:r>
            <w:r>
              <w:rPr>
                <w:rStyle w:val="10"/>
                <w:rFonts w:eastAsiaTheme="minorEastAsia"/>
              </w:rPr>
              <w:t>1999-2000 MEC Laboratory/Medical Technologists Procedures Manual (cdc.gov)</w:t>
            </w:r>
            <w:r>
              <w:rPr>
                <w:rStyle w:val="10"/>
                <w:rFonts w:eastAsiaTheme="minorEastAsia"/>
              </w:rPr>
              <w:fldChar w:fldCharType="end"/>
            </w:r>
          </w:p>
        </w:tc>
      </w:tr>
      <w:tr w14:paraId="10042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2518" w:type="dxa"/>
          </w:tcPr>
          <w:p w14:paraId="7716B111">
            <w:pPr>
              <w:spacing w:before="0" w:after="0" w:line="480" w:lineRule="auto"/>
              <w:ind w:left="0" w:firstLine="0"/>
              <w:rPr>
                <w:rFonts w:eastAsiaTheme="minorEastAsia"/>
              </w:rPr>
            </w:pPr>
            <w:r>
              <w:rPr>
                <w:rFonts w:eastAsiaTheme="minorEastAsia"/>
              </w:rPr>
              <w:t>LDL-C</w:t>
            </w:r>
          </w:p>
        </w:tc>
        <w:tc>
          <w:tcPr>
            <w:tcW w:w="6010" w:type="dxa"/>
            <w:vMerge w:val="restart"/>
          </w:tcPr>
          <w:p w14:paraId="3C93DFF9">
            <w:pPr>
              <w:spacing w:before="0" w:after="0" w:line="480" w:lineRule="auto"/>
              <w:ind w:left="0" w:firstLine="0"/>
              <w:rPr>
                <w:rFonts w:eastAsiaTheme="minorEastAsia"/>
              </w:rPr>
            </w:pPr>
            <w:r>
              <w:fldChar w:fldCharType="begin"/>
            </w:r>
            <w:r>
              <w:instrText xml:space="preserve"> HYPERLINK "https://wwwn.cdc.gov/Nchs/Nhanes/1999-2000/LAB13AM.htm" </w:instrText>
            </w:r>
            <w:r>
              <w:fldChar w:fldCharType="separate"/>
            </w:r>
            <w:r>
              <w:rPr>
                <w:rStyle w:val="10"/>
              </w:rPr>
              <w:t>NHANES 1999-2000: Cholesterol - LDL &amp; Triglycerides Data Documentation, Codebook, and Frequencies (cdc.gov)</w:t>
            </w:r>
            <w:r>
              <w:rPr>
                <w:rStyle w:val="10"/>
              </w:rPr>
              <w:fldChar w:fldCharType="end"/>
            </w:r>
          </w:p>
        </w:tc>
      </w:tr>
      <w:tr w14:paraId="50B52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14:paraId="09FD1D49">
            <w:pPr>
              <w:spacing w:before="0" w:after="0" w:line="480" w:lineRule="auto"/>
              <w:ind w:left="0" w:firstLine="0"/>
              <w:rPr>
                <w:rFonts w:eastAsiaTheme="minorEastAsia"/>
              </w:rPr>
            </w:pPr>
            <w:r>
              <w:rPr>
                <w:rFonts w:hint="eastAsia" w:eastAsiaTheme="minorEastAsia"/>
              </w:rPr>
              <w:t>T</w:t>
            </w:r>
            <w:r>
              <w:rPr>
                <w:rFonts w:eastAsiaTheme="minorEastAsia"/>
              </w:rPr>
              <w:t>G</w:t>
            </w:r>
          </w:p>
        </w:tc>
        <w:tc>
          <w:tcPr>
            <w:tcW w:w="6010" w:type="dxa"/>
            <w:vMerge w:val="continue"/>
          </w:tcPr>
          <w:p w14:paraId="4E593E3A">
            <w:pPr>
              <w:spacing w:before="0" w:after="0" w:line="480" w:lineRule="auto"/>
              <w:ind w:left="0" w:firstLine="0"/>
              <w:rPr>
                <w:rFonts w:eastAsiaTheme="minorEastAsia"/>
              </w:rPr>
            </w:pPr>
          </w:p>
        </w:tc>
      </w:tr>
      <w:tr w14:paraId="741E2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14:paraId="509546F1">
            <w:pPr>
              <w:spacing w:before="0" w:after="0" w:line="480" w:lineRule="auto"/>
              <w:ind w:left="0" w:firstLine="0"/>
              <w:rPr>
                <w:rFonts w:eastAsiaTheme="minorEastAsia"/>
              </w:rPr>
            </w:pPr>
            <w:r>
              <w:rPr>
                <w:rFonts w:hint="eastAsia" w:eastAsiaTheme="minorEastAsia"/>
              </w:rPr>
              <w:t>F</w:t>
            </w:r>
            <w:r>
              <w:rPr>
                <w:rFonts w:eastAsiaTheme="minorEastAsia"/>
              </w:rPr>
              <w:t>PG</w:t>
            </w:r>
          </w:p>
        </w:tc>
        <w:tc>
          <w:tcPr>
            <w:tcW w:w="6010" w:type="dxa"/>
          </w:tcPr>
          <w:p w14:paraId="09CF6338">
            <w:pPr>
              <w:spacing w:before="0" w:after="0" w:line="480" w:lineRule="auto"/>
              <w:ind w:left="0" w:firstLine="0"/>
              <w:rPr>
                <w:rFonts w:eastAsiaTheme="minorEastAsia"/>
              </w:rPr>
            </w:pPr>
            <w:r>
              <w:fldChar w:fldCharType="begin"/>
            </w:r>
            <w:r>
              <w:instrText xml:space="preserve"> HYPERLINK "https://wwwn.cdc.gov/Nchs/Nhanes/1999-2000/LAB10AM.htm" </w:instrText>
            </w:r>
            <w:r>
              <w:fldChar w:fldCharType="separate"/>
            </w:r>
            <w:r>
              <w:rPr>
                <w:rStyle w:val="10"/>
              </w:rPr>
              <w:t>NHANES 1999-2000: Plasma Fasting Glucose, Serum C-peptide &amp; Insulin Data Documentation, Codebook, and Frequencies (cdc.gov)</w:t>
            </w:r>
            <w:r>
              <w:rPr>
                <w:rStyle w:val="10"/>
              </w:rPr>
              <w:fldChar w:fldCharType="end"/>
            </w:r>
          </w:p>
        </w:tc>
      </w:tr>
      <w:tr w14:paraId="12B8E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14:paraId="4327FD8F">
            <w:pPr>
              <w:spacing w:before="0" w:after="0" w:line="480" w:lineRule="auto"/>
              <w:ind w:left="0" w:firstLine="0"/>
              <w:rPr>
                <w:rFonts w:eastAsiaTheme="minorEastAsia"/>
              </w:rPr>
            </w:pPr>
            <w:r>
              <w:rPr>
                <w:rFonts w:hint="eastAsia" w:eastAsiaTheme="minorEastAsia"/>
              </w:rPr>
              <w:t>C</w:t>
            </w:r>
            <w:r>
              <w:rPr>
                <w:rFonts w:eastAsiaTheme="minorEastAsia"/>
              </w:rPr>
              <w:t>RP</w:t>
            </w:r>
          </w:p>
        </w:tc>
        <w:tc>
          <w:tcPr>
            <w:tcW w:w="6010" w:type="dxa"/>
          </w:tcPr>
          <w:p w14:paraId="703740AC">
            <w:pPr>
              <w:spacing w:before="0" w:after="0" w:line="480" w:lineRule="auto"/>
              <w:ind w:left="0" w:firstLine="0"/>
              <w:rPr>
                <w:rFonts w:eastAsiaTheme="minorEastAsia"/>
              </w:rPr>
            </w:pPr>
            <w:r>
              <w:fldChar w:fldCharType="begin"/>
            </w:r>
            <w:r>
              <w:instrText xml:space="preserve"> HYPERLINK "https://wwwn.cdc.gov/Nchs/Nhanes/1999-2000/LAB11.htm" </w:instrText>
            </w:r>
            <w:r>
              <w:fldChar w:fldCharType="separate"/>
            </w:r>
            <w:r>
              <w:rPr>
                <w:rStyle w:val="10"/>
              </w:rPr>
              <w:t>NHANES 1999-2000: C-Reactive Protein (CRP) Data Documentation, Codebook, and Frequencies (cdc.gov)</w:t>
            </w:r>
            <w:r>
              <w:rPr>
                <w:rStyle w:val="10"/>
              </w:rPr>
              <w:fldChar w:fldCharType="end"/>
            </w:r>
          </w:p>
        </w:tc>
      </w:tr>
      <w:tr w14:paraId="3A039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2518" w:type="dxa"/>
          </w:tcPr>
          <w:p w14:paraId="5B34AE72">
            <w:pPr>
              <w:spacing w:before="0" w:after="0" w:line="480" w:lineRule="auto"/>
              <w:ind w:left="0" w:firstLine="0"/>
              <w:rPr>
                <w:rFonts w:eastAsiaTheme="minorEastAsia"/>
              </w:rPr>
            </w:pPr>
            <w:r>
              <w:rPr>
                <w:rFonts w:eastAsiaTheme="minorEastAsia"/>
              </w:rPr>
              <w:t>Platelet count</w:t>
            </w:r>
          </w:p>
        </w:tc>
        <w:tc>
          <w:tcPr>
            <w:tcW w:w="6010" w:type="dxa"/>
            <w:vMerge w:val="restart"/>
          </w:tcPr>
          <w:p w14:paraId="0F152A47">
            <w:pPr>
              <w:spacing w:before="0" w:after="0" w:line="480" w:lineRule="auto"/>
              <w:ind w:left="0" w:firstLine="0"/>
              <w:rPr>
                <w:rFonts w:eastAsiaTheme="minorEastAsia"/>
              </w:rPr>
            </w:pPr>
            <w:r>
              <w:fldChar w:fldCharType="begin"/>
            </w:r>
            <w:r>
              <w:instrText xml:space="preserve"> HYPERLINK "https://wwwn.cdc.gov/Nchs/Nhanes/1999-2000/LAB25.htm" </w:instrText>
            </w:r>
            <w:r>
              <w:fldChar w:fldCharType="separate"/>
            </w:r>
            <w:r>
              <w:rPr>
                <w:rStyle w:val="10"/>
              </w:rPr>
              <w:t>NHANES 1999-2000: Complete Blood Count with 5-part Differential - Whole Blood Data Documentation, Codebook, and Frequencies (cdc.gov)</w:t>
            </w:r>
            <w:r>
              <w:rPr>
                <w:rStyle w:val="10"/>
              </w:rPr>
              <w:fldChar w:fldCharType="end"/>
            </w:r>
          </w:p>
        </w:tc>
      </w:tr>
      <w:tr w14:paraId="0F4D3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14:paraId="36DC8096">
            <w:pPr>
              <w:spacing w:before="0" w:after="0" w:line="480" w:lineRule="auto"/>
              <w:ind w:left="0" w:firstLine="0"/>
              <w:rPr>
                <w:rFonts w:eastAsiaTheme="minorEastAsia"/>
              </w:rPr>
            </w:pPr>
            <w:r>
              <w:rPr>
                <w:rFonts w:hint="eastAsia" w:eastAsiaTheme="minorEastAsia"/>
              </w:rPr>
              <w:t>H</w:t>
            </w:r>
            <w:r>
              <w:rPr>
                <w:rFonts w:eastAsiaTheme="minorEastAsia"/>
              </w:rPr>
              <w:t>b</w:t>
            </w:r>
          </w:p>
        </w:tc>
        <w:tc>
          <w:tcPr>
            <w:tcW w:w="6010" w:type="dxa"/>
            <w:vMerge w:val="continue"/>
          </w:tcPr>
          <w:p w14:paraId="443DBB75">
            <w:pPr>
              <w:spacing w:before="0" w:after="0" w:line="480" w:lineRule="auto"/>
              <w:ind w:left="0" w:firstLine="0"/>
            </w:pPr>
          </w:p>
        </w:tc>
      </w:tr>
      <w:tr w14:paraId="4BC58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14:paraId="213CB0EA">
            <w:pPr>
              <w:spacing w:before="0" w:after="0" w:line="480" w:lineRule="auto"/>
              <w:ind w:left="0" w:firstLine="0"/>
              <w:rPr>
                <w:rFonts w:eastAsiaTheme="minorEastAsia"/>
              </w:rPr>
            </w:pPr>
            <w:r>
              <w:rPr>
                <w:rFonts w:eastAsiaTheme="minorEastAsia"/>
              </w:rPr>
              <w:t>HbA1c</w:t>
            </w:r>
          </w:p>
        </w:tc>
        <w:tc>
          <w:tcPr>
            <w:tcW w:w="6010" w:type="dxa"/>
          </w:tcPr>
          <w:p w14:paraId="305BC5F1">
            <w:pPr>
              <w:spacing w:before="0" w:after="0" w:line="480" w:lineRule="auto"/>
              <w:ind w:left="0" w:firstLine="0"/>
            </w:pPr>
            <w:r>
              <w:fldChar w:fldCharType="begin"/>
            </w:r>
            <w:r>
              <w:instrText xml:space="preserve"> HYPERLINK "https://wwwn.cdc.gov/Nchs/Nhanes/1999-2000/LAB10.htm" </w:instrText>
            </w:r>
            <w:r>
              <w:fldChar w:fldCharType="separate"/>
            </w:r>
            <w:r>
              <w:rPr>
                <w:rStyle w:val="10"/>
              </w:rPr>
              <w:t>NHANES 1999-2000: Glycohemoglobin Data Documentation, Codebook, and Frequencies (cdc.gov)</w:t>
            </w:r>
            <w:r>
              <w:rPr>
                <w:rStyle w:val="10"/>
              </w:rPr>
              <w:fldChar w:fldCharType="end"/>
            </w:r>
          </w:p>
        </w:tc>
      </w:tr>
      <w:tr w14:paraId="76B49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14:paraId="74AF2EC1">
            <w:pPr>
              <w:spacing w:before="0" w:after="0" w:line="480" w:lineRule="auto"/>
              <w:ind w:left="0" w:firstLine="0"/>
              <w:rPr>
                <w:rFonts w:eastAsiaTheme="minorEastAsia"/>
              </w:rPr>
            </w:pPr>
            <w:r>
              <w:rPr>
                <w:rFonts w:hint="eastAsia" w:eastAsiaTheme="minorEastAsia"/>
              </w:rPr>
              <w:t>H</w:t>
            </w:r>
            <w:r>
              <w:rPr>
                <w:rFonts w:eastAsiaTheme="minorEastAsia"/>
              </w:rPr>
              <w:t>DL-C</w:t>
            </w:r>
          </w:p>
        </w:tc>
        <w:tc>
          <w:tcPr>
            <w:tcW w:w="6010" w:type="dxa"/>
          </w:tcPr>
          <w:p w14:paraId="7FA1A143">
            <w:pPr>
              <w:spacing w:before="0" w:after="0" w:line="480" w:lineRule="auto"/>
              <w:ind w:left="0" w:firstLine="0"/>
            </w:pPr>
            <w:r>
              <w:fldChar w:fldCharType="begin"/>
            </w:r>
            <w:r>
              <w:instrText xml:space="preserve"> HYPERLINK "https://wwwn.cdc.gov/Nchs/Nhanes/1999-2000/LAB13.htm" </w:instrText>
            </w:r>
            <w:r>
              <w:fldChar w:fldCharType="separate"/>
            </w:r>
            <w:r>
              <w:rPr>
                <w:rStyle w:val="10"/>
              </w:rPr>
              <w:t>NHANES 1999-2000: Cholesterol - Total &amp; HDL Data Documentation, Codebook, and Frequencies (cdc.gov)</w:t>
            </w:r>
            <w:r>
              <w:rPr>
                <w:rStyle w:val="10"/>
              </w:rPr>
              <w:fldChar w:fldCharType="end"/>
            </w:r>
          </w:p>
        </w:tc>
      </w:tr>
    </w:tbl>
    <w:p w14:paraId="7004962D">
      <w:pPr>
        <w:tabs>
          <w:tab w:val="left" w:pos="828"/>
        </w:tabs>
        <w:spacing w:before="0" w:after="0" w:line="480" w:lineRule="auto"/>
        <w:ind w:left="0" w:firstLine="0"/>
        <w:rPr>
          <w:rFonts w:eastAsiaTheme="minorEastAsia"/>
        </w:rPr>
      </w:pPr>
      <w:r>
        <w:rPr>
          <w:rFonts w:eastAsiaTheme="minorEastAsia"/>
        </w:rPr>
        <w:t>For ease of reference, detailed descriptions from the NHANES official website regarding laboratory indicator measurement methods have been compiled in the table below, using data from the 1999-2000 period as an example (</w:t>
      </w:r>
      <w:r>
        <w:br w:type="textWrapping"/>
      </w:r>
      <w:r>
        <w:rPr>
          <w:color w:val="0F0F0F"/>
        </w:rPr>
        <w:t>The laboratory examination methods remained consistent across the three periods: 1999-2000, 2001-2002, and 2003-2004</w:t>
      </w:r>
      <w:r>
        <w:rPr>
          <w:rFonts w:eastAsiaTheme="minorEastAsia"/>
        </w:rPr>
        <w:t>)</w:t>
      </w:r>
    </w:p>
    <w:p w14:paraId="78F967B9">
      <w:pPr>
        <w:spacing w:before="0" w:after="0" w:line="480" w:lineRule="auto"/>
        <w:ind w:left="0" w:firstLine="0"/>
        <w:rPr>
          <w:rFonts w:eastAsiaTheme="minorEastAsia"/>
        </w:rPr>
      </w:pPr>
    </w:p>
    <w:p w14:paraId="58583EB2">
      <w:pPr>
        <w:spacing w:before="0" w:after="0" w:line="480" w:lineRule="auto"/>
        <w:ind w:left="0" w:firstLine="0"/>
        <w:rPr>
          <w:rFonts w:eastAsiaTheme="minorEastAsia"/>
        </w:rPr>
        <w:sectPr>
          <w:pgSz w:w="11906" w:h="16838"/>
          <w:pgMar w:top="1440" w:right="1797" w:bottom="1440" w:left="1797" w:header="851" w:footer="992" w:gutter="0"/>
          <w:cols w:space="425" w:num="1"/>
          <w:docGrid w:type="lines" w:linePitch="326" w:charSpace="0"/>
        </w:sectPr>
      </w:pPr>
    </w:p>
    <w:p w14:paraId="79C12E93">
      <w:pPr>
        <w:ind w:left="0" w:leftChars="0" w:firstLine="0" w:firstLineChars="0"/>
        <w:rPr>
          <w:rFonts w:eastAsiaTheme="minorEastAsia"/>
        </w:rPr>
      </w:pP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2"/>
        <w:gridCol w:w="6396"/>
      </w:tblGrid>
      <w:tr w14:paraId="6F125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gridSpan w:val="2"/>
            <w:tcBorders>
              <w:top w:val="nil"/>
              <w:left w:val="nil"/>
              <w:bottom w:val="single" w:color="auto" w:sz="4" w:space="0"/>
              <w:right w:val="nil"/>
            </w:tcBorders>
          </w:tcPr>
          <w:p w14:paraId="045940A9">
            <w:pPr>
              <w:spacing w:before="0" w:after="0" w:line="480" w:lineRule="auto"/>
              <w:ind w:left="0" w:firstLine="0"/>
              <w:rPr>
                <w:rFonts w:eastAsiaTheme="minorEastAsia"/>
                <w:b/>
                <w:bCs w:val="0"/>
              </w:rPr>
            </w:pPr>
            <w:r>
              <w:rPr>
                <w:rFonts w:hint="eastAsia" w:eastAsiaTheme="minorEastAsia"/>
                <w:b/>
                <w:bCs w:val="0"/>
              </w:rPr>
              <w:t>T</w:t>
            </w:r>
            <w:r>
              <w:rPr>
                <w:rFonts w:eastAsiaTheme="minorEastAsia"/>
                <w:b/>
                <w:bCs w:val="0"/>
              </w:rPr>
              <w:t>able S</w:t>
            </w:r>
            <w:r>
              <w:rPr>
                <w:rFonts w:hint="eastAsia" w:eastAsiaTheme="minorEastAsia"/>
                <w:b/>
                <w:bCs w:val="0"/>
                <w:lang w:val="en-US" w:eastAsia="zh-CN"/>
              </w:rPr>
              <w:t>4</w:t>
            </w:r>
            <w:r>
              <w:rPr>
                <w:rFonts w:eastAsiaTheme="minorEastAsia"/>
                <w:b/>
                <w:bCs w:val="0"/>
              </w:rPr>
              <w:t xml:space="preserve"> Comprehensive Details of the Survival Cohort Study Design for NHANES 1999-2004</w:t>
            </w:r>
          </w:p>
        </w:tc>
      </w:tr>
      <w:tr w14:paraId="64925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Borders>
              <w:top w:val="single" w:color="auto" w:sz="4" w:space="0"/>
            </w:tcBorders>
          </w:tcPr>
          <w:p w14:paraId="2D29D42F">
            <w:pPr>
              <w:spacing w:before="0" w:after="0" w:line="480" w:lineRule="auto"/>
              <w:ind w:left="0" w:firstLine="0"/>
              <w:rPr>
                <w:rFonts w:eastAsiaTheme="minorEastAsia"/>
              </w:rPr>
            </w:pPr>
            <w:r>
              <w:rPr>
                <w:rFonts w:eastAsiaTheme="minorEastAsia"/>
              </w:rPr>
              <w:t>Study population</w:t>
            </w:r>
          </w:p>
        </w:tc>
        <w:tc>
          <w:tcPr>
            <w:tcW w:w="3750" w:type="pct"/>
            <w:tcBorders>
              <w:top w:val="single" w:color="auto" w:sz="4" w:space="0"/>
            </w:tcBorders>
          </w:tcPr>
          <w:p w14:paraId="38BDCDF1">
            <w:pPr>
              <w:spacing w:before="0" w:after="0" w:line="480" w:lineRule="auto"/>
              <w:ind w:left="0" w:firstLine="0"/>
              <w:rPr>
                <w:rFonts w:eastAsiaTheme="minorEastAsia"/>
              </w:rPr>
            </w:pPr>
            <w:r>
              <w:rPr>
                <w:rFonts w:eastAsiaTheme="minorEastAsia"/>
              </w:rPr>
              <w:t>The non-diabetic population participating in the cardiovascular fitness examination. Due to the unavailability of survival data for individuals under the age of 18 in NHANES, the age range for the survival cohort study is restricted to 18-49 years.</w:t>
            </w:r>
          </w:p>
        </w:tc>
      </w:tr>
      <w:tr w14:paraId="0C26B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14:paraId="5D7645F6">
            <w:pPr>
              <w:spacing w:before="0" w:after="0" w:line="480" w:lineRule="auto"/>
              <w:ind w:left="0" w:firstLine="0"/>
              <w:rPr>
                <w:rFonts w:eastAsiaTheme="minorEastAsia"/>
              </w:rPr>
            </w:pPr>
            <w:r>
              <w:rPr>
                <w:rFonts w:eastAsiaTheme="minorEastAsia"/>
              </w:rPr>
              <w:t>Exclusion Criteria</w:t>
            </w:r>
          </w:p>
        </w:tc>
        <w:tc>
          <w:tcPr>
            <w:tcW w:w="3750" w:type="pct"/>
          </w:tcPr>
          <w:p w14:paraId="1D66CF2D">
            <w:pPr>
              <w:spacing w:before="0" w:after="0" w:line="480" w:lineRule="auto"/>
              <w:ind w:left="0" w:firstLine="0"/>
              <w:rPr>
                <w:rFonts w:eastAsiaTheme="minorEastAsia"/>
              </w:rPr>
            </w:pPr>
            <w:r>
              <w:fldChar w:fldCharType="begin"/>
            </w:r>
            <w:r>
              <w:instrText xml:space="preserve"> HYPERLINK "https://wwwn.cdc.gov/Nchs/Nhanes/1999-2000/CVX.htm" \l "Appendix_A._Classification_of_the_Exclusion_Criteria_in_the_NAHNES_Cardiovascular_Fitness_Component" </w:instrText>
            </w:r>
            <w:r>
              <w:fldChar w:fldCharType="separate"/>
            </w:r>
            <w:r>
              <w:rPr>
                <w:rStyle w:val="10"/>
              </w:rPr>
              <w:t>NHANES 1999-2000: Cardiovascular Fitness Data Documentation, Codebook, and Frequencies (cdc.gov)</w:t>
            </w:r>
            <w:r>
              <w:rPr>
                <w:rStyle w:val="10"/>
              </w:rPr>
              <w:fldChar w:fldCharType="end"/>
            </w:r>
          </w:p>
        </w:tc>
      </w:tr>
      <w:tr w14:paraId="7D595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vMerge w:val="restart"/>
          </w:tcPr>
          <w:p w14:paraId="45765752">
            <w:pPr>
              <w:spacing w:before="0" w:after="0" w:line="480" w:lineRule="auto"/>
              <w:ind w:left="0" w:firstLine="0"/>
              <w:rPr>
                <w:rFonts w:eastAsiaTheme="minorEastAsia"/>
              </w:rPr>
            </w:pPr>
            <w:r>
              <w:rPr>
                <w:rFonts w:eastAsiaTheme="minorEastAsia"/>
              </w:rPr>
              <w:t>Definition of Mortality Outcome</w:t>
            </w:r>
          </w:p>
        </w:tc>
        <w:tc>
          <w:tcPr>
            <w:tcW w:w="3750" w:type="pct"/>
          </w:tcPr>
          <w:p w14:paraId="6800AF7E">
            <w:pPr>
              <w:spacing w:before="0" w:after="0" w:line="480" w:lineRule="auto"/>
              <w:ind w:left="0" w:firstLine="0"/>
              <w:rPr>
                <w:rFonts w:eastAsiaTheme="minorEastAsia"/>
              </w:rPr>
            </w:pPr>
            <w:r>
              <w:rPr>
                <w:rFonts w:eastAsiaTheme="minorEastAsia"/>
              </w:rPr>
              <w:t>We categorized all causes of death as all-cause mortality.</w:t>
            </w:r>
          </w:p>
        </w:tc>
      </w:tr>
      <w:tr w14:paraId="575BA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vMerge w:val="continue"/>
          </w:tcPr>
          <w:p w14:paraId="66B6885E">
            <w:pPr>
              <w:spacing w:before="0" w:after="0" w:line="480" w:lineRule="auto"/>
              <w:ind w:left="0" w:firstLine="0"/>
              <w:rPr>
                <w:rFonts w:eastAsiaTheme="minorEastAsia"/>
              </w:rPr>
            </w:pPr>
          </w:p>
        </w:tc>
        <w:tc>
          <w:tcPr>
            <w:tcW w:w="3750" w:type="pct"/>
          </w:tcPr>
          <w:p w14:paraId="039A73DD">
            <w:pPr>
              <w:spacing w:before="0" w:after="0" w:line="480" w:lineRule="auto"/>
              <w:ind w:left="0" w:firstLine="0"/>
            </w:pPr>
            <w:r>
              <w:t>Cardiovascular mortality was defined by the International Classification of Diseases, 10th Revision (ICD-10) codes 054-064.</w:t>
            </w:r>
          </w:p>
        </w:tc>
      </w:tr>
      <w:tr w14:paraId="0295E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14:paraId="720E4AD8">
            <w:pPr>
              <w:spacing w:before="0" w:after="0" w:line="480" w:lineRule="auto"/>
              <w:ind w:left="0" w:firstLine="0"/>
              <w:rPr>
                <w:rFonts w:eastAsiaTheme="minorEastAsia"/>
              </w:rPr>
            </w:pPr>
            <w:r>
              <w:rPr>
                <w:rFonts w:eastAsiaTheme="minorEastAsia"/>
              </w:rPr>
              <w:t>Source of Survival Data</w:t>
            </w:r>
          </w:p>
        </w:tc>
        <w:tc>
          <w:tcPr>
            <w:tcW w:w="3750" w:type="pct"/>
          </w:tcPr>
          <w:p w14:paraId="295A26F9">
            <w:pPr>
              <w:spacing w:before="0" w:after="0" w:line="480" w:lineRule="auto"/>
              <w:ind w:left="0" w:firstLine="0"/>
              <w:rPr>
                <w:rFonts w:eastAsiaTheme="minorEastAsia"/>
              </w:rPr>
            </w:pPr>
            <w:r>
              <w:rPr>
                <w:rFonts w:eastAsiaTheme="minorEastAsia"/>
              </w:rPr>
              <w:t>Mortality outcomes were determined by linking the dataset to National Death Index (NDI) records up to December 31, 2019.</w:t>
            </w:r>
            <w:r>
              <w:t xml:space="preserve"> </w:t>
            </w:r>
            <w:r>
              <w:fldChar w:fldCharType="begin"/>
            </w:r>
            <w:r>
              <w:instrText xml:space="preserve"> HYPERLINK "https://www.cdc.gov/nchs/data-linkage/mortality-public.htm" </w:instrText>
            </w:r>
            <w:r>
              <w:fldChar w:fldCharType="separate"/>
            </w:r>
            <w:r>
              <w:rPr>
                <w:color w:val="0000FF"/>
                <w:u w:val="single"/>
              </w:rPr>
              <w:t>NCHS Data Linkage - Mortality Data - Public-Use Files (cdc.gov)</w:t>
            </w:r>
            <w:r>
              <w:rPr>
                <w:color w:val="0000FF"/>
                <w:u w:val="single"/>
              </w:rPr>
              <w:fldChar w:fldCharType="end"/>
            </w:r>
          </w:p>
        </w:tc>
      </w:tr>
      <w:tr w14:paraId="5D07D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14:paraId="4B6C6F6C">
            <w:pPr>
              <w:spacing w:before="0" w:after="0" w:line="480" w:lineRule="auto"/>
              <w:ind w:left="0" w:firstLine="0"/>
              <w:rPr>
                <w:rFonts w:eastAsiaTheme="minorEastAsia"/>
              </w:rPr>
            </w:pPr>
            <w:r>
              <w:rPr>
                <w:rFonts w:eastAsiaTheme="minorEastAsia"/>
              </w:rPr>
              <w:t>Follow-up Status</w:t>
            </w:r>
          </w:p>
        </w:tc>
        <w:tc>
          <w:tcPr>
            <w:tcW w:w="3750" w:type="pct"/>
          </w:tcPr>
          <w:p w14:paraId="19FB696A">
            <w:pPr>
              <w:spacing w:before="0" w:after="0" w:line="480" w:lineRule="auto"/>
              <w:ind w:left="0" w:firstLine="0"/>
              <w:rPr>
                <w:rFonts w:eastAsiaTheme="minorEastAsia"/>
              </w:rPr>
            </w:pPr>
            <w:r>
              <w:rPr>
                <w:rFonts w:eastAsiaTheme="minorEastAsia"/>
              </w:rPr>
              <w:t>In total, 1877 participants were enrolled for follow-up, up until December 31, 2019, with one participant lost to follow-up</w:t>
            </w:r>
          </w:p>
        </w:tc>
      </w:tr>
    </w:tbl>
    <w:p w14:paraId="7D49DCB8">
      <w:pPr>
        <w:spacing w:before="0" w:after="0" w:line="480" w:lineRule="auto"/>
        <w:ind w:left="566" w:hanging="566" w:hangingChars="236"/>
        <w:rPr>
          <w:rFonts w:eastAsiaTheme="minorEastAsia"/>
        </w:rPr>
        <w:sectPr>
          <w:pgSz w:w="11906" w:h="16838"/>
          <w:pgMar w:top="1440" w:right="1797" w:bottom="1440" w:left="1797" w:header="851" w:footer="992" w:gutter="0"/>
          <w:cols w:space="425" w:num="1"/>
          <w:docGrid w:type="lines" w:linePitch="326" w:charSpace="0"/>
        </w:sectPr>
      </w:pPr>
    </w:p>
    <w:p w14:paraId="0BE276D2">
      <w:pPr>
        <w:rPr>
          <w:rFonts w:eastAsiaTheme="minorEastAsia"/>
        </w:rPr>
      </w:pPr>
    </w:p>
    <w:sectPr>
      <w:pgSz w:w="11906" w:h="16838"/>
      <w:pgMar w:top="1440" w:right="1797" w:bottom="1440" w:left="1797"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ExtB">
    <w:panose1 w:val="02020500000000000000"/>
    <w:charset w:val="88"/>
    <w:family w:val="roman"/>
    <w:pitch w:val="default"/>
    <w:sig w:usb0="8000002F" w:usb1="02000008" w:usb2="00000000" w:usb3="00000000" w:csb0="00100001"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characterSpacingControl w:val="doNotCompress"/>
  <w:footnotePr>
    <w:footnote w:id="0"/>
    <w:footnote w:id="1"/>
  </w:footnotePr>
  <w:compat>
    <w:useFELayout/>
    <w:compatSetting w:name="compatibilityMode" w:uri="http://schemas.microsoft.com/office/word" w:val="12"/>
  </w:compat>
  <w:docVars>
    <w:docVar w:name="commondata" w:val="eyJoZGlkIjoiMjBjYmQ1NDA4YjU0ODFhMmFjZmYzZWVmNGFlY2U2NzEifQ=="/>
    <w:docVar w:name="KY_MEDREF_DOCUID" w:val="{4EA504D9-ABB5-42C4-AE2C-C1EBECC53140}"/>
    <w:docVar w:name="KY_MEDREF_VERSION" w:val="3"/>
  </w:docVars>
  <w:rsids>
    <w:rsidRoot w:val="002C186C"/>
    <w:rsid w:val="00011E1C"/>
    <w:rsid w:val="00012E73"/>
    <w:rsid w:val="00022F28"/>
    <w:rsid w:val="000A068F"/>
    <w:rsid w:val="000C5F6B"/>
    <w:rsid w:val="000E194C"/>
    <w:rsid w:val="000F04B2"/>
    <w:rsid w:val="00102D7B"/>
    <w:rsid w:val="00114252"/>
    <w:rsid w:val="0014032E"/>
    <w:rsid w:val="00161A37"/>
    <w:rsid w:val="00161D74"/>
    <w:rsid w:val="001621F0"/>
    <w:rsid w:val="001835D4"/>
    <w:rsid w:val="001A2E42"/>
    <w:rsid w:val="001E518D"/>
    <w:rsid w:val="0023028A"/>
    <w:rsid w:val="002337B6"/>
    <w:rsid w:val="00260756"/>
    <w:rsid w:val="00290A84"/>
    <w:rsid w:val="00290EDD"/>
    <w:rsid w:val="0029521F"/>
    <w:rsid w:val="002C186C"/>
    <w:rsid w:val="002C192E"/>
    <w:rsid w:val="002F0BC6"/>
    <w:rsid w:val="003316B9"/>
    <w:rsid w:val="00344307"/>
    <w:rsid w:val="003676D9"/>
    <w:rsid w:val="003751CD"/>
    <w:rsid w:val="003A2543"/>
    <w:rsid w:val="003A74B6"/>
    <w:rsid w:val="003D7E30"/>
    <w:rsid w:val="00421B39"/>
    <w:rsid w:val="004242BB"/>
    <w:rsid w:val="00425E8D"/>
    <w:rsid w:val="00437D49"/>
    <w:rsid w:val="00465B4D"/>
    <w:rsid w:val="00466DBB"/>
    <w:rsid w:val="00484F75"/>
    <w:rsid w:val="004A5D82"/>
    <w:rsid w:val="004A5F36"/>
    <w:rsid w:val="004C087F"/>
    <w:rsid w:val="004D55E3"/>
    <w:rsid w:val="004F26DA"/>
    <w:rsid w:val="00507A95"/>
    <w:rsid w:val="005134FA"/>
    <w:rsid w:val="00561E07"/>
    <w:rsid w:val="005622B6"/>
    <w:rsid w:val="00590861"/>
    <w:rsid w:val="00592274"/>
    <w:rsid w:val="005A4E92"/>
    <w:rsid w:val="005B7597"/>
    <w:rsid w:val="005C3870"/>
    <w:rsid w:val="005F3180"/>
    <w:rsid w:val="0063176F"/>
    <w:rsid w:val="006D0801"/>
    <w:rsid w:val="006F0F3A"/>
    <w:rsid w:val="00746BA0"/>
    <w:rsid w:val="00766EDC"/>
    <w:rsid w:val="00775909"/>
    <w:rsid w:val="00777D26"/>
    <w:rsid w:val="007875BF"/>
    <w:rsid w:val="007961C0"/>
    <w:rsid w:val="007C7901"/>
    <w:rsid w:val="00813D7B"/>
    <w:rsid w:val="00834EB4"/>
    <w:rsid w:val="008C6C35"/>
    <w:rsid w:val="008C6F53"/>
    <w:rsid w:val="00914961"/>
    <w:rsid w:val="00916C99"/>
    <w:rsid w:val="00932A52"/>
    <w:rsid w:val="009669C2"/>
    <w:rsid w:val="00996907"/>
    <w:rsid w:val="009A03F4"/>
    <w:rsid w:val="009D23CD"/>
    <w:rsid w:val="009E5D41"/>
    <w:rsid w:val="009F72BC"/>
    <w:rsid w:val="00A30308"/>
    <w:rsid w:val="00A84FBC"/>
    <w:rsid w:val="00AC1F8D"/>
    <w:rsid w:val="00AC6504"/>
    <w:rsid w:val="00B02323"/>
    <w:rsid w:val="00B066F0"/>
    <w:rsid w:val="00B577DE"/>
    <w:rsid w:val="00B7505B"/>
    <w:rsid w:val="00BA6158"/>
    <w:rsid w:val="00BB5E5D"/>
    <w:rsid w:val="00BD58B3"/>
    <w:rsid w:val="00C024DB"/>
    <w:rsid w:val="00C25A31"/>
    <w:rsid w:val="00C36729"/>
    <w:rsid w:val="00C75F6C"/>
    <w:rsid w:val="00C81D5F"/>
    <w:rsid w:val="00C95A50"/>
    <w:rsid w:val="00CC66FB"/>
    <w:rsid w:val="00CE302B"/>
    <w:rsid w:val="00D07A93"/>
    <w:rsid w:val="00D45768"/>
    <w:rsid w:val="00D504D1"/>
    <w:rsid w:val="00D60189"/>
    <w:rsid w:val="00D62D0B"/>
    <w:rsid w:val="00D72598"/>
    <w:rsid w:val="00D9384A"/>
    <w:rsid w:val="00D948DC"/>
    <w:rsid w:val="00DC245B"/>
    <w:rsid w:val="00DD32C0"/>
    <w:rsid w:val="00DE7431"/>
    <w:rsid w:val="00E25A06"/>
    <w:rsid w:val="00E26B6A"/>
    <w:rsid w:val="00E270F4"/>
    <w:rsid w:val="00E31E55"/>
    <w:rsid w:val="00EB69D4"/>
    <w:rsid w:val="00EE58CB"/>
    <w:rsid w:val="00F05920"/>
    <w:rsid w:val="00F252C6"/>
    <w:rsid w:val="00F5030B"/>
    <w:rsid w:val="00F53E60"/>
    <w:rsid w:val="00F5714E"/>
    <w:rsid w:val="00F82305"/>
    <w:rsid w:val="00FA0203"/>
    <w:rsid w:val="00FB4824"/>
    <w:rsid w:val="00FC482E"/>
    <w:rsid w:val="00FF476B"/>
    <w:rsid w:val="2D3D6579"/>
    <w:rsid w:val="463E1224"/>
    <w:rsid w:val="485338EE"/>
    <w:rsid w:val="51E42F70"/>
    <w:rsid w:val="53241156"/>
    <w:rsid w:val="70C6085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MingLiU-ExtB"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240" w:after="200"/>
      <w:ind w:left="567" w:hanging="567"/>
    </w:pPr>
    <w:rPr>
      <w:rFonts w:ascii="Arial" w:hAnsi="Arial" w:eastAsia="MingLiU-ExtB" w:cs="Arial"/>
      <w:bCs/>
      <w:kern w:val="2"/>
      <w:sz w:val="24"/>
      <w:szCs w:val="24"/>
      <w:lang w:val="en-US" w:eastAsia="zh-CN" w:bidi="ar-SA"/>
    </w:rPr>
  </w:style>
  <w:style w:type="paragraph" w:styleId="2">
    <w:name w:val="heading 3"/>
    <w:basedOn w:val="1"/>
    <w:next w:val="1"/>
    <w:link w:val="16"/>
    <w:semiHidden/>
    <w:unhideWhenUsed/>
    <w:qFormat/>
    <w:uiPriority w:val="9"/>
    <w:pPr>
      <w:keepNext/>
      <w:keepLines/>
      <w:spacing w:before="260" w:after="260" w:line="416" w:lineRule="auto"/>
      <w:outlineLvl w:val="2"/>
    </w:pPr>
    <w:rPr>
      <w:b/>
      <w:sz w:val="32"/>
      <w:szCs w:val="32"/>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3"/>
    <w:unhideWhenUsed/>
    <w:qFormat/>
    <w:uiPriority w:val="99"/>
    <w:pPr>
      <w:tabs>
        <w:tab w:val="center" w:pos="4153"/>
        <w:tab w:val="right" w:pos="8306"/>
      </w:tabs>
      <w:snapToGrid w:val="0"/>
    </w:pPr>
    <w:rPr>
      <w:sz w:val="18"/>
      <w:szCs w:val="18"/>
    </w:rPr>
  </w:style>
  <w:style w:type="paragraph" w:styleId="4">
    <w:name w:val="header"/>
    <w:basedOn w:val="1"/>
    <w:link w:val="12"/>
    <w:unhideWhenUsed/>
    <w:qFormat/>
    <w:uiPriority w:val="99"/>
    <w:pPr>
      <w:tabs>
        <w:tab w:val="center" w:pos="4153"/>
        <w:tab w:val="right" w:pos="8306"/>
      </w:tabs>
      <w:snapToGrid w:val="0"/>
      <w:jc w:val="center"/>
    </w:pPr>
    <w:rPr>
      <w:sz w:val="18"/>
      <w:szCs w:val="18"/>
    </w:rPr>
  </w:style>
  <w:style w:type="table" w:styleId="6">
    <w:name w:val="Table Grid"/>
    <w:basedOn w:val="5"/>
    <w:qFormat/>
    <w:uiPriority w:val="39"/>
    <w:pPr>
      <w:spacing w:before="0"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basedOn w:val="7"/>
    <w:semiHidden/>
    <w:unhideWhenUsed/>
    <w:qFormat/>
    <w:uiPriority w:val="99"/>
    <w:rPr>
      <w:color w:val="954F72" w:themeColor="followedHyperlink"/>
      <w:u w:val="single"/>
    </w:rPr>
  </w:style>
  <w:style w:type="character" w:styleId="9">
    <w:name w:val="line number"/>
    <w:basedOn w:val="7"/>
    <w:semiHidden/>
    <w:unhideWhenUsed/>
    <w:qFormat/>
    <w:uiPriority w:val="99"/>
  </w:style>
  <w:style w:type="character" w:styleId="10">
    <w:name w:val="Hyperlink"/>
    <w:basedOn w:val="7"/>
    <w:unhideWhenUsed/>
    <w:qFormat/>
    <w:uiPriority w:val="99"/>
    <w:rPr>
      <w:color w:val="0563C1" w:themeColor="hyperlink"/>
      <w:u w:val="single"/>
    </w:rPr>
  </w:style>
  <w:style w:type="table" w:customStyle="1" w:styleId="11">
    <w:name w:val="三线表"/>
    <w:basedOn w:val="5"/>
    <w:qFormat/>
    <w:uiPriority w:val="99"/>
    <w:rPr>
      <w:rFonts w:eastAsia="Arial"/>
    </w:rPr>
    <w:tblPr>
      <w:tblBorders>
        <w:top w:val="single" w:color="auto" w:sz="4" w:space="0"/>
        <w:bottom w:val="single" w:color="auto" w:sz="4" w:space="0"/>
      </w:tblBorders>
    </w:tblPr>
    <w:tblStylePr w:type="firstRow">
      <w:rPr>
        <w:rFonts w:eastAsia="Arial"/>
        <w:sz w:val="24"/>
      </w:rPr>
      <w:tcPr>
        <w:tcBorders>
          <w:top w:val="single" w:color="auto" w:sz="4" w:space="0"/>
          <w:bottom w:val="single" w:color="auto" w:sz="4" w:space="0"/>
        </w:tcBorders>
      </w:tcPr>
    </w:tblStylePr>
    <w:tblStylePr w:type="lastRow">
      <w:rPr>
        <w:rFonts w:eastAsia="Arial"/>
        <w:sz w:val="24"/>
      </w:rPr>
      <w:tcPr>
        <w:tcBorders>
          <w:top w:val="nil"/>
          <w:left w:val="nil"/>
          <w:bottom w:val="single" w:color="auto" w:sz="4" w:space="0"/>
          <w:right w:val="nil"/>
          <w:insideH w:val="nil"/>
          <w:insideV w:val="nil"/>
          <w:tl2br w:val="nil"/>
          <w:tr2bl w:val="nil"/>
        </w:tcBorders>
      </w:tcPr>
    </w:tblStylePr>
  </w:style>
  <w:style w:type="character" w:customStyle="1" w:styleId="12">
    <w:name w:val="页眉 字符"/>
    <w:basedOn w:val="7"/>
    <w:link w:val="4"/>
    <w:qFormat/>
    <w:uiPriority w:val="99"/>
    <w:rPr>
      <w:sz w:val="18"/>
      <w:szCs w:val="18"/>
    </w:rPr>
  </w:style>
  <w:style w:type="character" w:customStyle="1" w:styleId="13">
    <w:name w:val="页脚 字符"/>
    <w:basedOn w:val="7"/>
    <w:link w:val="3"/>
    <w:qFormat/>
    <w:uiPriority w:val="99"/>
    <w:rPr>
      <w:sz w:val="18"/>
      <w:szCs w:val="18"/>
    </w:rPr>
  </w:style>
  <w:style w:type="character" w:customStyle="1" w:styleId="14">
    <w:name w:val="Unresolved Mention"/>
    <w:basedOn w:val="7"/>
    <w:semiHidden/>
    <w:unhideWhenUsed/>
    <w:qFormat/>
    <w:uiPriority w:val="99"/>
    <w:rPr>
      <w:color w:val="605E5C"/>
      <w:shd w:val="clear" w:color="auto" w:fill="E1DFDD"/>
    </w:rPr>
  </w:style>
  <w:style w:type="character" w:styleId="15">
    <w:name w:val="Placeholder Text"/>
    <w:basedOn w:val="7"/>
    <w:semiHidden/>
    <w:qFormat/>
    <w:uiPriority w:val="99"/>
    <w:rPr>
      <w:color w:val="808080"/>
    </w:rPr>
  </w:style>
  <w:style w:type="character" w:customStyle="1" w:styleId="16">
    <w:name w:val="标题 3 字符"/>
    <w:basedOn w:val="7"/>
    <w:link w:val="2"/>
    <w:semiHidden/>
    <w:qFormat/>
    <w:uiPriority w:val="9"/>
    <w:rPr>
      <w:b/>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EAF367-DF6F-43A4-8431-F6AAAF1E1BFB}">
  <ds:schemaRefs/>
</ds:datastoreItem>
</file>

<file path=docProps/app.xml><?xml version="1.0" encoding="utf-8"?>
<Properties xmlns="http://schemas.openxmlformats.org/officeDocument/2006/extended-properties" xmlns:vt="http://schemas.openxmlformats.org/officeDocument/2006/docPropsVTypes">
  <Template>Normal.dotm</Template>
  <Pages>7</Pages>
  <Words>1525</Words>
  <Characters>9078</Characters>
  <Lines>82</Lines>
  <Paragraphs>23</Paragraphs>
  <TotalTime>591</TotalTime>
  <ScaleCrop>false</ScaleCrop>
  <LinksUpToDate>false</LinksUpToDate>
  <CharactersWithSpaces>10332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2023-09-08T08:13:00Z</dcterms:created>
  <dc:creator>大川 郭</dc:creator>
  <cp:lastModifiedBy>圆滚滚</cp:lastModifiedBy>
  <dcterms:modified xsi:type="dcterms:W3CDTF">2024-11-22T07:28:02Z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5A195B9BFE5A480E8344232E9AA49622_12</vt:lpwstr>
  </property>
</Properties>
</file>