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DF84F1" w14:textId="77777777" w:rsidR="009E76BE" w:rsidRPr="00422FE4" w:rsidRDefault="009E76BE" w:rsidP="002D0248">
      <w:pPr>
        <w:autoSpaceDE w:val="0"/>
        <w:autoSpaceDN w:val="0"/>
        <w:adjustRightInd w:val="0"/>
        <w:spacing w:after="0" w:line="480" w:lineRule="auto"/>
        <w:jc w:val="both"/>
        <w:rPr>
          <w:rFonts w:cstheme="minorHAnsi"/>
          <w:b/>
          <w:bCs/>
          <w:sz w:val="24"/>
          <w:szCs w:val="24"/>
          <w:lang w:val="en-US"/>
        </w:rPr>
      </w:pPr>
      <w:r w:rsidRPr="00422FE4">
        <w:rPr>
          <w:rFonts w:cstheme="minorHAnsi"/>
          <w:b/>
          <w:bCs/>
          <w:sz w:val="24"/>
          <w:szCs w:val="24"/>
          <w:lang w:val="en-US"/>
        </w:rPr>
        <w:sym w:font="Symbol" w:char="F062"/>
      </w:r>
      <w:r w:rsidRPr="00422FE4">
        <w:rPr>
          <w:rFonts w:cstheme="minorHAnsi"/>
          <w:b/>
          <w:bCs/>
          <w:sz w:val="24"/>
          <w:szCs w:val="24"/>
          <w:lang w:val="en-US"/>
        </w:rPr>
        <w:t>-lactamase-mediated resistance in MDR-</w:t>
      </w:r>
      <w:r w:rsidRPr="00422FE4">
        <w:rPr>
          <w:rFonts w:cstheme="minorHAnsi"/>
          <w:b/>
          <w:bCs/>
          <w:i/>
          <w:iCs/>
          <w:sz w:val="24"/>
          <w:szCs w:val="24"/>
          <w:lang w:val="en-US"/>
        </w:rPr>
        <w:t xml:space="preserve">Pseudomonas aeruginosa </w:t>
      </w:r>
      <w:r w:rsidRPr="00422FE4">
        <w:rPr>
          <w:rFonts w:cstheme="minorHAnsi"/>
          <w:b/>
          <w:bCs/>
          <w:sz w:val="24"/>
          <w:szCs w:val="24"/>
          <w:lang w:val="en-US"/>
        </w:rPr>
        <w:t>from Qatar</w:t>
      </w:r>
    </w:p>
    <w:p w14:paraId="04FBF895" w14:textId="77777777" w:rsidR="009E76BE" w:rsidRPr="007126E6" w:rsidRDefault="009E76BE" w:rsidP="003A19DF">
      <w:pPr>
        <w:autoSpaceDE w:val="0"/>
        <w:autoSpaceDN w:val="0"/>
        <w:adjustRightInd w:val="0"/>
        <w:spacing w:after="0" w:line="480" w:lineRule="auto"/>
        <w:jc w:val="both"/>
        <w:rPr>
          <w:rFonts w:cstheme="minorHAnsi"/>
          <w:sz w:val="24"/>
          <w:szCs w:val="24"/>
          <w:lang w:val="sv-SE"/>
        </w:rPr>
      </w:pPr>
      <w:bookmarkStart w:id="0" w:name="_Hlk45107627"/>
      <w:r w:rsidRPr="007126E6">
        <w:rPr>
          <w:rFonts w:cstheme="minorHAnsi"/>
          <w:sz w:val="24"/>
          <w:szCs w:val="24"/>
          <w:lang w:val="sv-SE"/>
        </w:rPr>
        <w:t>Mazen A. Sid Ahmed</w:t>
      </w:r>
      <w:r w:rsidRPr="007126E6">
        <w:rPr>
          <w:rFonts w:cstheme="minorHAnsi"/>
          <w:sz w:val="24"/>
          <w:szCs w:val="24"/>
          <w:vertAlign w:val="superscript"/>
          <w:lang w:val="sv-SE"/>
        </w:rPr>
        <w:t>1,2</w:t>
      </w:r>
      <w:r>
        <w:rPr>
          <w:rFonts w:cstheme="minorHAnsi"/>
          <w:sz w:val="24"/>
          <w:szCs w:val="24"/>
          <w:vertAlign w:val="superscript"/>
          <w:lang w:val="sv-SE"/>
        </w:rPr>
        <w:t>*</w:t>
      </w:r>
      <w:r w:rsidRPr="007126E6">
        <w:rPr>
          <w:rFonts w:cstheme="minorHAnsi"/>
          <w:sz w:val="24"/>
          <w:szCs w:val="24"/>
          <w:lang w:val="sv-SE"/>
        </w:rPr>
        <w:t>, Faisal Ahmad Khan</w:t>
      </w:r>
      <w:r w:rsidRPr="007126E6">
        <w:rPr>
          <w:rFonts w:cstheme="minorHAnsi"/>
          <w:sz w:val="24"/>
          <w:szCs w:val="24"/>
          <w:vertAlign w:val="superscript"/>
          <w:lang w:val="sv-SE"/>
        </w:rPr>
        <w:t>2</w:t>
      </w:r>
      <w:r w:rsidRPr="007126E6">
        <w:rPr>
          <w:rFonts w:cstheme="minorHAnsi"/>
          <w:sz w:val="24"/>
          <w:szCs w:val="24"/>
          <w:lang w:val="sv-SE"/>
        </w:rPr>
        <w:t>, Ali A. Sultan</w:t>
      </w:r>
      <w:r w:rsidRPr="007126E6">
        <w:rPr>
          <w:rFonts w:cstheme="minorHAnsi"/>
          <w:sz w:val="24"/>
          <w:szCs w:val="24"/>
          <w:vertAlign w:val="superscript"/>
          <w:lang w:val="sv-SE"/>
        </w:rPr>
        <w:t>3</w:t>
      </w:r>
      <w:r w:rsidRPr="007126E6">
        <w:rPr>
          <w:rFonts w:cstheme="minorHAnsi"/>
          <w:sz w:val="24"/>
          <w:szCs w:val="24"/>
          <w:lang w:val="sv-SE"/>
        </w:rPr>
        <w:t>,</w:t>
      </w:r>
      <w:r w:rsidRPr="007126E6">
        <w:rPr>
          <w:rFonts w:cstheme="minorHAnsi"/>
          <w:sz w:val="24"/>
          <w:szCs w:val="24"/>
          <w:vertAlign w:val="superscript"/>
          <w:lang w:val="sv-SE"/>
        </w:rPr>
        <w:t xml:space="preserve"> </w:t>
      </w:r>
      <w:r w:rsidRPr="007126E6">
        <w:rPr>
          <w:rFonts w:cstheme="minorHAnsi"/>
          <w:sz w:val="24"/>
          <w:szCs w:val="24"/>
          <w:lang w:val="sv-SE"/>
        </w:rPr>
        <w:t>Bo Söderquist</w:t>
      </w:r>
      <w:r w:rsidRPr="007126E6">
        <w:rPr>
          <w:rFonts w:cstheme="minorHAnsi"/>
          <w:sz w:val="24"/>
          <w:szCs w:val="24"/>
          <w:vertAlign w:val="superscript"/>
          <w:lang w:val="sv-SE"/>
        </w:rPr>
        <w:t>4</w:t>
      </w:r>
      <w:r w:rsidRPr="007126E6">
        <w:rPr>
          <w:rFonts w:cstheme="minorHAnsi"/>
          <w:sz w:val="24"/>
          <w:szCs w:val="24"/>
          <w:lang w:val="sv-SE"/>
        </w:rPr>
        <w:t>, Emad Ibrahim</w:t>
      </w:r>
      <w:r w:rsidRPr="007126E6">
        <w:rPr>
          <w:rFonts w:cstheme="minorHAnsi"/>
          <w:sz w:val="24"/>
          <w:szCs w:val="24"/>
          <w:vertAlign w:val="superscript"/>
          <w:lang w:val="sv-SE"/>
        </w:rPr>
        <w:t>1</w:t>
      </w:r>
      <w:r w:rsidRPr="007126E6">
        <w:rPr>
          <w:rFonts w:cstheme="minorHAnsi"/>
          <w:sz w:val="24"/>
          <w:szCs w:val="24"/>
          <w:lang w:val="sv-SE"/>
        </w:rPr>
        <w:t>, Jana Jass</w:t>
      </w:r>
      <w:r w:rsidRPr="007126E6">
        <w:rPr>
          <w:rFonts w:cstheme="minorHAnsi"/>
          <w:sz w:val="24"/>
          <w:szCs w:val="24"/>
          <w:vertAlign w:val="superscript"/>
          <w:lang w:val="sv-SE"/>
        </w:rPr>
        <w:t>2</w:t>
      </w:r>
      <w:r w:rsidRPr="007126E6">
        <w:rPr>
          <w:rFonts w:cstheme="minorHAnsi"/>
          <w:sz w:val="24"/>
          <w:szCs w:val="24"/>
          <w:lang w:val="sv-SE"/>
        </w:rPr>
        <w:t>, Ali S. Omrani</w:t>
      </w:r>
      <w:r w:rsidRPr="007126E6">
        <w:rPr>
          <w:rFonts w:cstheme="minorHAnsi"/>
          <w:sz w:val="24"/>
          <w:szCs w:val="24"/>
          <w:vertAlign w:val="superscript"/>
          <w:lang w:val="sv-SE"/>
        </w:rPr>
        <w:t>5,6</w:t>
      </w:r>
    </w:p>
    <w:bookmarkEnd w:id="0"/>
    <w:p w14:paraId="517C163D" w14:textId="77777777" w:rsidR="009E76BE" w:rsidRPr="000704F0" w:rsidRDefault="009E76BE" w:rsidP="003A19DF">
      <w:pPr>
        <w:pStyle w:val="ListParagraph"/>
        <w:numPr>
          <w:ilvl w:val="0"/>
          <w:numId w:val="1"/>
        </w:numPr>
        <w:autoSpaceDE w:val="0"/>
        <w:autoSpaceDN w:val="0"/>
        <w:adjustRightInd w:val="0"/>
        <w:spacing w:after="0" w:line="480" w:lineRule="auto"/>
        <w:jc w:val="both"/>
        <w:rPr>
          <w:rFonts w:cstheme="minorHAnsi"/>
          <w:sz w:val="24"/>
          <w:szCs w:val="24"/>
          <w:lang w:val="en-US"/>
        </w:rPr>
      </w:pPr>
      <w:r w:rsidRPr="000704F0">
        <w:rPr>
          <w:rFonts w:cstheme="minorHAnsi"/>
          <w:sz w:val="24"/>
          <w:szCs w:val="24"/>
          <w:lang w:val="en-US"/>
        </w:rPr>
        <w:t>Department of Laboratory Medicine and Pathology, Microbiology Division, Hamad Medical Corporation, Doha, Qatar</w:t>
      </w:r>
    </w:p>
    <w:p w14:paraId="206DFF26" w14:textId="77777777" w:rsidR="009E76BE" w:rsidRPr="000704F0" w:rsidRDefault="009E76BE" w:rsidP="003A19DF">
      <w:pPr>
        <w:pStyle w:val="ListParagraph"/>
        <w:numPr>
          <w:ilvl w:val="0"/>
          <w:numId w:val="1"/>
        </w:numPr>
        <w:autoSpaceDE w:val="0"/>
        <w:autoSpaceDN w:val="0"/>
        <w:adjustRightInd w:val="0"/>
        <w:spacing w:after="0" w:line="480" w:lineRule="auto"/>
        <w:jc w:val="both"/>
        <w:rPr>
          <w:rFonts w:cstheme="minorHAnsi"/>
          <w:sz w:val="24"/>
          <w:szCs w:val="24"/>
          <w:lang w:val="en-US"/>
        </w:rPr>
      </w:pPr>
      <w:r w:rsidRPr="000704F0">
        <w:rPr>
          <w:rFonts w:cstheme="minorHAnsi"/>
          <w:sz w:val="24"/>
          <w:szCs w:val="24"/>
          <w:lang w:val="en-US"/>
        </w:rPr>
        <w:t>The Life Science Centre - Biology, School of Science and Technology, Orebro University, Orebro, Sweden</w:t>
      </w:r>
    </w:p>
    <w:p w14:paraId="36E2183E" w14:textId="77777777" w:rsidR="009E76BE" w:rsidRPr="000704F0" w:rsidRDefault="009E76BE" w:rsidP="003A19DF">
      <w:pPr>
        <w:pStyle w:val="ListParagraph"/>
        <w:numPr>
          <w:ilvl w:val="0"/>
          <w:numId w:val="1"/>
        </w:numPr>
        <w:autoSpaceDE w:val="0"/>
        <w:autoSpaceDN w:val="0"/>
        <w:adjustRightInd w:val="0"/>
        <w:spacing w:after="0" w:line="480" w:lineRule="auto"/>
        <w:jc w:val="both"/>
        <w:rPr>
          <w:rFonts w:cstheme="minorHAnsi"/>
          <w:sz w:val="24"/>
          <w:szCs w:val="24"/>
          <w:lang w:val="en-US"/>
        </w:rPr>
      </w:pPr>
      <w:r w:rsidRPr="000704F0">
        <w:rPr>
          <w:rFonts w:cstheme="minorHAnsi"/>
          <w:sz w:val="24"/>
          <w:szCs w:val="24"/>
          <w:lang w:val="en-US"/>
        </w:rPr>
        <w:t>Department of Microbiology and Immunology, Weill Cornell Medicine-Qatar, Doha, Qatar.</w:t>
      </w:r>
    </w:p>
    <w:p w14:paraId="1AC8C849" w14:textId="77777777" w:rsidR="009E76BE" w:rsidRPr="000704F0" w:rsidRDefault="009E76BE" w:rsidP="003A19DF">
      <w:pPr>
        <w:pStyle w:val="ListParagraph"/>
        <w:numPr>
          <w:ilvl w:val="0"/>
          <w:numId w:val="1"/>
        </w:numPr>
        <w:autoSpaceDE w:val="0"/>
        <w:autoSpaceDN w:val="0"/>
        <w:adjustRightInd w:val="0"/>
        <w:spacing w:after="0" w:line="480" w:lineRule="auto"/>
        <w:jc w:val="both"/>
        <w:rPr>
          <w:rFonts w:cstheme="minorHAnsi"/>
          <w:sz w:val="24"/>
          <w:szCs w:val="24"/>
          <w:lang w:val="en-US"/>
        </w:rPr>
      </w:pPr>
      <w:r w:rsidRPr="000704F0">
        <w:rPr>
          <w:rFonts w:cstheme="minorHAnsi"/>
          <w:sz w:val="24"/>
          <w:szCs w:val="24"/>
          <w:lang w:val="en-US"/>
        </w:rPr>
        <w:t>School of Medical Sciences, Faculty of Medicine and Health, Orebro University, Orebro, Sweden.</w:t>
      </w:r>
    </w:p>
    <w:p w14:paraId="23B8501E" w14:textId="77777777" w:rsidR="009E76BE" w:rsidRPr="000704F0" w:rsidRDefault="009E76BE" w:rsidP="003A19DF">
      <w:pPr>
        <w:pStyle w:val="ListParagraph"/>
        <w:numPr>
          <w:ilvl w:val="0"/>
          <w:numId w:val="1"/>
        </w:numPr>
        <w:autoSpaceDE w:val="0"/>
        <w:autoSpaceDN w:val="0"/>
        <w:adjustRightInd w:val="0"/>
        <w:spacing w:after="0" w:line="480" w:lineRule="auto"/>
        <w:jc w:val="both"/>
        <w:rPr>
          <w:rFonts w:cstheme="minorHAnsi"/>
          <w:sz w:val="24"/>
          <w:szCs w:val="24"/>
          <w:lang w:val="en-US"/>
        </w:rPr>
      </w:pPr>
      <w:r w:rsidRPr="000704F0">
        <w:rPr>
          <w:rFonts w:cstheme="minorHAnsi"/>
          <w:sz w:val="24"/>
          <w:szCs w:val="24"/>
          <w:lang w:val="en-US"/>
        </w:rPr>
        <w:t>Division of Infectious Diseases, Department of Medicine, Hamad Medical Corporation, Doha, Qatar</w:t>
      </w:r>
    </w:p>
    <w:p w14:paraId="70E66031" w14:textId="77777777" w:rsidR="009E76BE" w:rsidRPr="000704F0" w:rsidRDefault="009E76BE" w:rsidP="003A19DF">
      <w:pPr>
        <w:pStyle w:val="ListParagraph"/>
        <w:numPr>
          <w:ilvl w:val="0"/>
          <w:numId w:val="1"/>
        </w:numPr>
        <w:autoSpaceDE w:val="0"/>
        <w:autoSpaceDN w:val="0"/>
        <w:adjustRightInd w:val="0"/>
        <w:spacing w:after="0" w:line="480" w:lineRule="auto"/>
        <w:jc w:val="both"/>
        <w:rPr>
          <w:rFonts w:cstheme="minorHAnsi"/>
          <w:sz w:val="24"/>
          <w:szCs w:val="24"/>
          <w:lang w:val="en-US"/>
        </w:rPr>
      </w:pPr>
      <w:r w:rsidRPr="000704F0">
        <w:rPr>
          <w:rFonts w:cstheme="minorHAnsi"/>
          <w:sz w:val="24"/>
          <w:szCs w:val="24"/>
          <w:lang w:val="en-US"/>
        </w:rPr>
        <w:t>Communicable Diseases Center, Hamad Medical Corporation, Doha, Qatar.</w:t>
      </w:r>
    </w:p>
    <w:p w14:paraId="51053B13" w14:textId="77777777" w:rsidR="009E76BE" w:rsidRPr="002B7A66" w:rsidRDefault="009E76BE" w:rsidP="003A19DF">
      <w:pPr>
        <w:autoSpaceDE w:val="0"/>
        <w:autoSpaceDN w:val="0"/>
        <w:adjustRightInd w:val="0"/>
        <w:spacing w:after="0" w:line="480" w:lineRule="auto"/>
        <w:rPr>
          <w:rFonts w:cstheme="minorHAnsi"/>
          <w:b/>
          <w:bCs/>
          <w:sz w:val="24"/>
          <w:szCs w:val="24"/>
          <w:lang w:val="en-US"/>
        </w:rPr>
      </w:pPr>
      <w:r w:rsidRPr="002B7A66">
        <w:rPr>
          <w:rFonts w:cstheme="minorHAnsi"/>
          <w:b/>
          <w:bCs/>
          <w:sz w:val="24"/>
          <w:szCs w:val="24"/>
          <w:lang w:val="en-US"/>
        </w:rPr>
        <w:t>Running Title</w:t>
      </w:r>
    </w:p>
    <w:p w14:paraId="50B82ABB" w14:textId="77777777" w:rsidR="009E76BE" w:rsidRPr="00C40106" w:rsidRDefault="009E76BE" w:rsidP="003A19DF">
      <w:pPr>
        <w:autoSpaceDE w:val="0"/>
        <w:autoSpaceDN w:val="0"/>
        <w:adjustRightInd w:val="0"/>
        <w:spacing w:after="0" w:line="480" w:lineRule="auto"/>
        <w:jc w:val="both"/>
        <w:rPr>
          <w:rFonts w:cstheme="minorHAnsi"/>
          <w:sz w:val="24"/>
          <w:szCs w:val="24"/>
          <w:lang w:val="en-US"/>
        </w:rPr>
      </w:pPr>
      <w:r w:rsidRPr="00C40106">
        <w:rPr>
          <w:rFonts w:cstheme="minorHAnsi"/>
          <w:sz w:val="24"/>
          <w:szCs w:val="24"/>
          <w:lang w:val="en-US"/>
        </w:rPr>
        <w:t>β-lactamases in MDR-</w:t>
      </w:r>
      <w:r w:rsidRPr="00C40106">
        <w:rPr>
          <w:rFonts w:cstheme="minorHAnsi"/>
          <w:i/>
          <w:iCs/>
          <w:sz w:val="24"/>
          <w:szCs w:val="24"/>
          <w:lang w:val="en-US"/>
        </w:rPr>
        <w:t>P. aeruginosa</w:t>
      </w:r>
      <w:r w:rsidRPr="00C40106">
        <w:rPr>
          <w:rFonts w:cstheme="minorHAnsi"/>
          <w:sz w:val="24"/>
          <w:szCs w:val="24"/>
          <w:lang w:val="en-US"/>
        </w:rPr>
        <w:t xml:space="preserve"> from Qatar</w:t>
      </w:r>
    </w:p>
    <w:p w14:paraId="444C382D" w14:textId="77777777" w:rsidR="009E76BE" w:rsidRPr="00DF0398" w:rsidRDefault="009E76BE" w:rsidP="003A19DF">
      <w:pPr>
        <w:autoSpaceDE w:val="0"/>
        <w:autoSpaceDN w:val="0"/>
        <w:adjustRightInd w:val="0"/>
        <w:spacing w:after="0" w:line="480" w:lineRule="auto"/>
        <w:jc w:val="both"/>
        <w:rPr>
          <w:rFonts w:cstheme="minorHAnsi"/>
          <w:sz w:val="24"/>
          <w:szCs w:val="24"/>
          <w:lang w:val="en-US"/>
        </w:rPr>
      </w:pPr>
      <w:r>
        <w:rPr>
          <w:rFonts w:cstheme="minorHAnsi"/>
          <w:b/>
          <w:bCs/>
          <w:sz w:val="24"/>
          <w:szCs w:val="24"/>
          <w:lang w:val="en-US"/>
        </w:rPr>
        <w:t>*</w:t>
      </w:r>
      <w:r w:rsidRPr="000704F0">
        <w:rPr>
          <w:rFonts w:cstheme="minorHAnsi"/>
          <w:b/>
          <w:bCs/>
          <w:sz w:val="24"/>
          <w:szCs w:val="24"/>
          <w:lang w:val="en-US"/>
        </w:rPr>
        <w:t>Corresponding Author:</w:t>
      </w:r>
    </w:p>
    <w:p w14:paraId="3B13F3EF" w14:textId="77777777" w:rsidR="009E76BE" w:rsidRDefault="009E76BE" w:rsidP="003A19DF">
      <w:pPr>
        <w:autoSpaceDE w:val="0"/>
        <w:autoSpaceDN w:val="0"/>
        <w:adjustRightInd w:val="0"/>
        <w:spacing w:after="0" w:line="480" w:lineRule="auto"/>
        <w:jc w:val="both"/>
        <w:rPr>
          <w:rFonts w:cstheme="minorHAnsi"/>
          <w:sz w:val="24"/>
          <w:szCs w:val="24"/>
          <w:lang w:val="en-US"/>
        </w:rPr>
      </w:pPr>
      <w:r>
        <w:rPr>
          <w:rFonts w:cstheme="minorHAnsi"/>
          <w:sz w:val="24"/>
          <w:szCs w:val="24"/>
          <w:lang w:val="en-US"/>
        </w:rPr>
        <w:t>Mazen A. Sid Ahmed</w:t>
      </w:r>
    </w:p>
    <w:p w14:paraId="0781ECA6" w14:textId="77777777" w:rsidR="009E76BE" w:rsidRPr="00344932" w:rsidRDefault="009E76BE" w:rsidP="003A19DF">
      <w:pPr>
        <w:autoSpaceDE w:val="0"/>
        <w:autoSpaceDN w:val="0"/>
        <w:adjustRightInd w:val="0"/>
        <w:spacing w:after="0" w:line="480" w:lineRule="auto"/>
        <w:jc w:val="both"/>
        <w:rPr>
          <w:rFonts w:cstheme="minorHAnsi"/>
          <w:sz w:val="24"/>
          <w:szCs w:val="24"/>
          <w:lang w:val="en-US"/>
        </w:rPr>
      </w:pPr>
      <w:r w:rsidRPr="00422FE4">
        <w:rPr>
          <w:rFonts w:cstheme="minorHAnsi"/>
          <w:sz w:val="24"/>
          <w:szCs w:val="24"/>
          <w:lang w:val="en-US"/>
        </w:rPr>
        <w:t xml:space="preserve">E-mail: </w:t>
      </w:r>
      <w:r w:rsidRPr="00187DEF">
        <w:rPr>
          <w:rFonts w:cstheme="minorHAnsi"/>
          <w:sz w:val="24"/>
          <w:szCs w:val="24"/>
          <w:lang w:val="en-US"/>
        </w:rPr>
        <w:t>Mahmed45@hamad.qa</w:t>
      </w:r>
      <w:r>
        <w:rPr>
          <w:rFonts w:cstheme="minorHAnsi"/>
          <w:sz w:val="24"/>
          <w:szCs w:val="24"/>
          <w:lang w:val="en-US"/>
        </w:rPr>
        <w:t xml:space="preserve"> , </w:t>
      </w:r>
      <w:r w:rsidRPr="00DF0398">
        <w:rPr>
          <w:rFonts w:cstheme="minorHAnsi"/>
          <w:sz w:val="24"/>
          <w:szCs w:val="24"/>
          <w:lang w:val="en-US"/>
        </w:rPr>
        <w:t xml:space="preserve">ORCID ID: </w:t>
      </w:r>
      <w:r w:rsidRPr="00187DEF">
        <w:rPr>
          <w:rFonts w:cstheme="minorHAnsi"/>
          <w:sz w:val="24"/>
          <w:szCs w:val="24"/>
          <w:lang w:val="en-US"/>
        </w:rPr>
        <w:t>https://orcid.org/0000-0002-6186-7770</w:t>
      </w:r>
    </w:p>
    <w:p w14:paraId="1E604119" w14:textId="77777777" w:rsidR="009E76BE" w:rsidRPr="0029291D" w:rsidRDefault="009E76BE" w:rsidP="003A19DF">
      <w:pPr>
        <w:autoSpaceDE w:val="0"/>
        <w:autoSpaceDN w:val="0"/>
        <w:adjustRightInd w:val="0"/>
        <w:spacing w:after="0" w:line="480" w:lineRule="auto"/>
        <w:jc w:val="both"/>
        <w:rPr>
          <w:rFonts w:cstheme="minorHAnsi"/>
          <w:sz w:val="24"/>
          <w:szCs w:val="24"/>
          <w:lang w:val="en-US"/>
        </w:rPr>
      </w:pPr>
      <w:r w:rsidRPr="0029291D">
        <w:rPr>
          <w:rFonts w:cstheme="minorHAnsi"/>
          <w:sz w:val="24"/>
          <w:szCs w:val="24"/>
          <w:lang w:val="en-US"/>
        </w:rPr>
        <w:t>P</w:t>
      </w:r>
      <w:r>
        <w:rPr>
          <w:rFonts w:cstheme="minorHAnsi"/>
          <w:sz w:val="24"/>
          <w:szCs w:val="24"/>
          <w:lang w:val="en-US"/>
        </w:rPr>
        <w:t>.</w:t>
      </w:r>
      <w:r w:rsidRPr="0029291D">
        <w:rPr>
          <w:rFonts w:cstheme="minorHAnsi"/>
          <w:sz w:val="24"/>
          <w:szCs w:val="24"/>
          <w:lang w:val="en-US"/>
        </w:rPr>
        <w:t>O</w:t>
      </w:r>
      <w:r>
        <w:rPr>
          <w:rFonts w:cstheme="minorHAnsi"/>
          <w:sz w:val="24"/>
          <w:szCs w:val="24"/>
          <w:lang w:val="en-US"/>
        </w:rPr>
        <w:t>.</w:t>
      </w:r>
      <w:r w:rsidRPr="0029291D">
        <w:rPr>
          <w:rFonts w:cstheme="minorHAnsi"/>
          <w:sz w:val="24"/>
          <w:szCs w:val="24"/>
          <w:lang w:val="en-US"/>
        </w:rPr>
        <w:t xml:space="preserve"> Box 3050</w:t>
      </w:r>
    </w:p>
    <w:p w14:paraId="6DAE16AC" w14:textId="77777777" w:rsidR="009E76BE" w:rsidRPr="009917C7" w:rsidRDefault="009E76BE" w:rsidP="003A19DF">
      <w:pPr>
        <w:autoSpaceDE w:val="0"/>
        <w:autoSpaceDN w:val="0"/>
        <w:adjustRightInd w:val="0"/>
        <w:spacing w:after="0" w:line="480" w:lineRule="auto"/>
        <w:jc w:val="both"/>
        <w:rPr>
          <w:rFonts w:cstheme="minorHAnsi"/>
          <w:sz w:val="24"/>
          <w:szCs w:val="24"/>
          <w:lang w:val="en-US"/>
        </w:rPr>
      </w:pPr>
      <w:r>
        <w:rPr>
          <w:rFonts w:cstheme="minorHAnsi"/>
          <w:sz w:val="24"/>
          <w:szCs w:val="24"/>
          <w:lang w:val="en-US"/>
        </w:rPr>
        <w:t>Division of Microbiology, Department of Pathology and Laboratory Medicine</w:t>
      </w:r>
    </w:p>
    <w:p w14:paraId="4AA8C656" w14:textId="77777777" w:rsidR="009E76BE" w:rsidRPr="00422FE4" w:rsidRDefault="009E76BE" w:rsidP="003A19DF">
      <w:pPr>
        <w:autoSpaceDE w:val="0"/>
        <w:autoSpaceDN w:val="0"/>
        <w:adjustRightInd w:val="0"/>
        <w:spacing w:after="0" w:line="480" w:lineRule="auto"/>
        <w:jc w:val="both"/>
        <w:rPr>
          <w:rFonts w:cstheme="minorHAnsi"/>
          <w:sz w:val="24"/>
          <w:szCs w:val="24"/>
          <w:lang w:val="en-US"/>
        </w:rPr>
      </w:pPr>
      <w:r w:rsidRPr="00422FE4">
        <w:rPr>
          <w:rFonts w:cstheme="minorHAnsi"/>
          <w:sz w:val="24"/>
          <w:szCs w:val="24"/>
          <w:lang w:val="en-US"/>
        </w:rPr>
        <w:t>Hamad Medical Corporation</w:t>
      </w:r>
      <w:r>
        <w:rPr>
          <w:rFonts w:cstheme="minorHAnsi"/>
          <w:sz w:val="24"/>
          <w:szCs w:val="24"/>
          <w:lang w:val="en-US"/>
        </w:rPr>
        <w:t xml:space="preserve">, </w:t>
      </w:r>
      <w:r w:rsidRPr="00422FE4">
        <w:rPr>
          <w:rFonts w:cstheme="minorHAnsi"/>
          <w:sz w:val="24"/>
          <w:szCs w:val="24"/>
          <w:lang w:val="en-US"/>
        </w:rPr>
        <w:t>Doha, Qatar</w:t>
      </w:r>
    </w:p>
    <w:p w14:paraId="47CDA2D7" w14:textId="77777777" w:rsidR="009E76BE" w:rsidRPr="00422FE4" w:rsidRDefault="009E76BE" w:rsidP="003A19DF">
      <w:pPr>
        <w:autoSpaceDE w:val="0"/>
        <w:autoSpaceDN w:val="0"/>
        <w:adjustRightInd w:val="0"/>
        <w:spacing w:after="0" w:line="480" w:lineRule="auto"/>
        <w:jc w:val="both"/>
        <w:rPr>
          <w:rFonts w:cstheme="minorHAnsi"/>
          <w:sz w:val="24"/>
          <w:szCs w:val="24"/>
          <w:lang w:val="en-US"/>
        </w:rPr>
      </w:pPr>
      <w:r w:rsidRPr="00422FE4">
        <w:rPr>
          <w:rFonts w:cstheme="minorHAnsi"/>
          <w:sz w:val="24"/>
          <w:szCs w:val="24"/>
          <w:lang w:val="en-US"/>
        </w:rPr>
        <w:t xml:space="preserve">Tel: +974 </w:t>
      </w:r>
      <w:bdo w:val="ltr">
        <w:r w:rsidRPr="00422FE4">
          <w:rPr>
            <w:rFonts w:cstheme="minorHAnsi"/>
            <w:sz w:val="24"/>
            <w:szCs w:val="24"/>
            <w:lang w:val="en-US"/>
          </w:rPr>
          <w:t>4025 4065</w:t>
        </w:r>
        <w:r w:rsidRPr="00422FE4">
          <w:rPr>
            <w:rFonts w:cstheme="minorHAnsi"/>
            <w:sz w:val="24"/>
            <w:szCs w:val="24"/>
            <w:lang w:val="en-US"/>
          </w:rPr>
          <w:t>‬</w:t>
        </w:r>
        <w:r w:rsidRPr="000704F0">
          <w:rPr>
            <w:sz w:val="24"/>
            <w:szCs w:val="24"/>
          </w:rPr>
          <w:t>‬</w:t>
        </w:r>
        <w:r w:rsidRPr="000704F0">
          <w:rPr>
            <w:sz w:val="24"/>
            <w:szCs w:val="24"/>
          </w:rPr>
          <w:t>‬</w:t>
        </w:r>
        <w:r w:rsidRPr="000704F0">
          <w:rPr>
            <w:sz w:val="24"/>
            <w:szCs w:val="24"/>
          </w:rPr>
          <w:t>‬</w:t>
        </w:r>
        <w:r w:rsidRPr="000704F0">
          <w:rPr>
            <w:sz w:val="24"/>
            <w:szCs w:val="24"/>
          </w:rPr>
          <w:t>‬</w:t>
        </w:r>
        <w:r w:rsidRPr="000704F0">
          <w:rPr>
            <w:sz w:val="24"/>
            <w:szCs w:val="24"/>
          </w:rPr>
          <w:t>‬</w:t>
        </w:r>
        <w:r w:rsidRPr="000704F0">
          <w:rPr>
            <w:sz w:val="24"/>
            <w:szCs w:val="24"/>
          </w:rPr>
          <w:t>‬</w:t>
        </w:r>
        <w:r w:rsidRPr="000704F0">
          <w:rPr>
            <w:sz w:val="24"/>
            <w:szCs w:val="24"/>
          </w:rPr>
          <w:t>‬</w:t>
        </w:r>
        <w:r w:rsidRPr="000704F0">
          <w:rPr>
            <w:sz w:val="24"/>
            <w:szCs w:val="24"/>
          </w:rPr>
          <w:t>‬</w:t>
        </w:r>
        <w:r w:rsidRPr="000704F0">
          <w:rPr>
            <w:sz w:val="24"/>
            <w:szCs w:val="24"/>
          </w:rPr>
          <w:t>‬</w:t>
        </w:r>
        <w:r w:rsidRPr="000704F0">
          <w:rPr>
            <w:sz w:val="24"/>
            <w:szCs w:val="24"/>
          </w:rPr>
          <w:t>‬</w:t>
        </w:r>
        <w:r w:rsidRPr="000704F0">
          <w:rPr>
            <w:sz w:val="24"/>
            <w:szCs w:val="24"/>
          </w:rPr>
          <w:t>‬</w:t>
        </w:r>
        <w:r w:rsidRPr="000704F0">
          <w:rPr>
            <w:sz w:val="24"/>
            <w:szCs w:val="24"/>
          </w:rPr>
          <w:t>‬</w:t>
        </w:r>
        <w:r w:rsidRPr="000704F0">
          <w:rPr>
            <w:sz w:val="24"/>
            <w:szCs w:val="24"/>
          </w:rP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F51914">
          <w:t>‬</w:t>
        </w:r>
        <w:r w:rsidR="00CC7626">
          <w:t>‬</w:t>
        </w:r>
        <w:r w:rsidR="00775442">
          <w:t>‬</w:t>
        </w:r>
      </w:bdo>
    </w:p>
    <w:p w14:paraId="36ECE487" w14:textId="77777777" w:rsidR="009E76BE" w:rsidRPr="00422FE4" w:rsidRDefault="009E76BE" w:rsidP="003A19DF">
      <w:pPr>
        <w:pageBreakBefore/>
        <w:spacing w:line="480" w:lineRule="auto"/>
        <w:jc w:val="both"/>
        <w:rPr>
          <w:rFonts w:cstheme="minorHAnsi"/>
          <w:sz w:val="24"/>
          <w:szCs w:val="24"/>
          <w:lang w:val="en-US"/>
        </w:rPr>
      </w:pPr>
      <w:r w:rsidRPr="00422FE4">
        <w:rPr>
          <w:rFonts w:cstheme="minorHAnsi"/>
          <w:b/>
          <w:bCs/>
          <w:sz w:val="24"/>
          <w:szCs w:val="24"/>
          <w:lang w:val="en-US"/>
        </w:rPr>
        <w:lastRenderedPageBreak/>
        <w:t>Abstract</w:t>
      </w:r>
    </w:p>
    <w:p w14:paraId="3907E164" w14:textId="77777777" w:rsidR="009E76BE" w:rsidRPr="00515DF9" w:rsidRDefault="009E76BE" w:rsidP="003A19DF">
      <w:pPr>
        <w:spacing w:after="120" w:line="480" w:lineRule="auto"/>
        <w:rPr>
          <w:rFonts w:eastAsia="Calibri" w:cstheme="minorHAnsi"/>
          <w:bCs/>
          <w:sz w:val="24"/>
          <w:szCs w:val="24"/>
        </w:rPr>
      </w:pPr>
      <w:r w:rsidRPr="004007EF">
        <w:rPr>
          <w:rFonts w:eastAsia="Calibri" w:cstheme="minorHAnsi"/>
          <w:b/>
          <w:sz w:val="24"/>
          <w:szCs w:val="24"/>
          <w:lang w:val="en-US"/>
        </w:rPr>
        <w:t xml:space="preserve">Background: </w:t>
      </w:r>
      <w:r>
        <w:rPr>
          <w:rFonts w:eastAsia="Calibri" w:cstheme="minorHAnsi"/>
          <w:bCs/>
          <w:sz w:val="24"/>
          <w:szCs w:val="24"/>
        </w:rPr>
        <w:t xml:space="preserve">The distribution of </w:t>
      </w:r>
      <w:r>
        <w:rPr>
          <w:rFonts w:eastAsia="Calibri" w:cstheme="minorHAnsi"/>
          <w:bCs/>
          <w:sz w:val="24"/>
          <w:szCs w:val="24"/>
        </w:rPr>
        <w:sym w:font="Symbol" w:char="F062"/>
      </w:r>
      <w:r>
        <w:rPr>
          <w:rFonts w:eastAsia="Calibri" w:cstheme="minorHAnsi"/>
          <w:bCs/>
          <w:sz w:val="24"/>
          <w:szCs w:val="24"/>
        </w:rPr>
        <w:t>-lactam</w:t>
      </w:r>
      <w:r w:rsidR="00993744">
        <w:rPr>
          <w:rFonts w:eastAsia="Calibri" w:cstheme="minorHAnsi"/>
          <w:bCs/>
          <w:sz w:val="24"/>
          <w:szCs w:val="24"/>
        </w:rPr>
        <w:t>ase</w:t>
      </w:r>
      <w:r>
        <w:rPr>
          <w:rFonts w:eastAsia="Calibri" w:cstheme="minorHAnsi"/>
          <w:bCs/>
          <w:sz w:val="24"/>
          <w:szCs w:val="24"/>
        </w:rPr>
        <w:t xml:space="preserve"> resistance genes in </w:t>
      </w:r>
      <w:r w:rsidRPr="00515DF9">
        <w:rPr>
          <w:rFonts w:eastAsia="Calibri" w:cstheme="minorHAnsi"/>
          <w:bCs/>
          <w:i/>
          <w:iCs/>
          <w:sz w:val="24"/>
          <w:szCs w:val="24"/>
        </w:rPr>
        <w:t>P. aeruginosa</w:t>
      </w:r>
      <w:r w:rsidRPr="00515DF9">
        <w:rPr>
          <w:rFonts w:eastAsia="Calibri" w:cstheme="minorHAnsi"/>
          <w:bCs/>
          <w:sz w:val="24"/>
          <w:szCs w:val="24"/>
        </w:rPr>
        <w:t xml:space="preserve"> </w:t>
      </w:r>
      <w:r>
        <w:rPr>
          <w:rFonts w:eastAsia="Calibri" w:cstheme="minorHAnsi"/>
          <w:bCs/>
          <w:sz w:val="24"/>
          <w:szCs w:val="24"/>
        </w:rPr>
        <w:t xml:space="preserve">is often </w:t>
      </w:r>
      <w:r w:rsidRPr="00422FE4">
        <w:rPr>
          <w:rFonts w:eastAsia="Calibri" w:cstheme="minorHAnsi"/>
          <w:bCs/>
          <w:sz w:val="24"/>
          <w:szCs w:val="24"/>
        </w:rPr>
        <w:t xml:space="preserve">closely related to the distribution of certain high-risk international clones. </w:t>
      </w:r>
      <w:r>
        <w:rPr>
          <w:rFonts w:eastAsia="Calibri" w:cstheme="minorHAnsi"/>
          <w:bCs/>
          <w:sz w:val="24"/>
          <w:szCs w:val="24"/>
        </w:rPr>
        <w:t xml:space="preserve">We used </w:t>
      </w:r>
      <w:r w:rsidRPr="00422FE4">
        <w:rPr>
          <w:rFonts w:eastAsia="Calibri" w:cstheme="minorHAnsi"/>
          <w:bCs/>
          <w:sz w:val="24"/>
          <w:szCs w:val="24"/>
        </w:rPr>
        <w:t>whole</w:t>
      </w:r>
      <w:r>
        <w:rPr>
          <w:rFonts w:eastAsia="Calibri" w:cstheme="minorHAnsi"/>
          <w:bCs/>
          <w:sz w:val="24"/>
          <w:szCs w:val="24"/>
        </w:rPr>
        <w:t>-</w:t>
      </w:r>
      <w:r w:rsidRPr="00422FE4">
        <w:rPr>
          <w:rFonts w:eastAsia="Calibri" w:cstheme="minorHAnsi"/>
          <w:bCs/>
          <w:sz w:val="24"/>
          <w:szCs w:val="24"/>
        </w:rPr>
        <w:t>genome sequencing (WGS) to identify the predominant sequence types</w:t>
      </w:r>
      <w:r>
        <w:rPr>
          <w:rFonts w:eastAsia="Calibri" w:cstheme="minorHAnsi"/>
          <w:bCs/>
          <w:sz w:val="24"/>
          <w:szCs w:val="24"/>
        </w:rPr>
        <w:t xml:space="preserve"> (ST)</w:t>
      </w:r>
      <w:r w:rsidRPr="00422FE4">
        <w:rPr>
          <w:rFonts w:eastAsia="Calibri" w:cstheme="minorHAnsi"/>
          <w:bCs/>
          <w:sz w:val="24"/>
          <w:szCs w:val="24"/>
        </w:rPr>
        <w:t xml:space="preserve"> and </w:t>
      </w:r>
      <w:r w:rsidRPr="00422FE4">
        <w:rPr>
          <w:rFonts w:eastAsia="Calibri" w:cstheme="minorHAnsi"/>
          <w:bCs/>
          <w:sz w:val="24"/>
          <w:szCs w:val="24"/>
        </w:rPr>
        <w:sym w:font="Symbol" w:char="F062"/>
      </w:r>
      <w:r w:rsidRPr="00422FE4">
        <w:rPr>
          <w:rFonts w:eastAsia="Calibri" w:cstheme="minorHAnsi"/>
          <w:bCs/>
          <w:sz w:val="24"/>
          <w:szCs w:val="24"/>
        </w:rPr>
        <w:t>-lactamase genes in</w:t>
      </w:r>
      <w:r w:rsidRPr="00B429AF">
        <w:rPr>
          <w:rFonts w:eastAsia="Calibri" w:cstheme="minorHAnsi"/>
          <w:bCs/>
          <w:sz w:val="24"/>
          <w:szCs w:val="24"/>
        </w:rPr>
        <w:t xml:space="preserve"> </w:t>
      </w:r>
      <w:r>
        <w:rPr>
          <w:rFonts w:eastAsia="Calibri" w:cstheme="minorHAnsi"/>
          <w:bCs/>
          <w:sz w:val="24"/>
          <w:szCs w:val="24"/>
        </w:rPr>
        <w:t>clinical isolates of</w:t>
      </w:r>
      <w:r w:rsidRPr="00422FE4">
        <w:rPr>
          <w:rFonts w:eastAsia="Calibri" w:cstheme="minorHAnsi"/>
          <w:bCs/>
          <w:sz w:val="24"/>
          <w:szCs w:val="24"/>
        </w:rPr>
        <w:t xml:space="preserve"> multidrug-resistant (</w:t>
      </w:r>
      <w:r w:rsidRPr="00515DF9">
        <w:rPr>
          <w:rFonts w:eastAsia="Calibri" w:cstheme="minorHAnsi"/>
          <w:bCs/>
          <w:sz w:val="24"/>
          <w:szCs w:val="24"/>
        </w:rPr>
        <w:t>MDR)-</w:t>
      </w:r>
      <w:r w:rsidRPr="00515DF9">
        <w:rPr>
          <w:rFonts w:eastAsia="Calibri" w:cstheme="minorHAnsi"/>
          <w:bCs/>
          <w:i/>
          <w:iCs/>
          <w:sz w:val="24"/>
          <w:szCs w:val="24"/>
        </w:rPr>
        <w:t xml:space="preserve">P. aeruginosa </w:t>
      </w:r>
      <w:r w:rsidRPr="00515DF9">
        <w:rPr>
          <w:rFonts w:eastAsia="Calibri" w:cstheme="minorHAnsi"/>
          <w:bCs/>
          <w:sz w:val="24"/>
          <w:szCs w:val="24"/>
        </w:rPr>
        <w:t>from Qatar</w:t>
      </w:r>
    </w:p>
    <w:p w14:paraId="7E5E84B4" w14:textId="77777777" w:rsidR="009E76BE" w:rsidRPr="005B3D9F" w:rsidRDefault="009E76BE" w:rsidP="003A19DF">
      <w:pPr>
        <w:spacing w:after="120" w:line="480" w:lineRule="auto"/>
        <w:rPr>
          <w:rFonts w:eastAsia="Calibri" w:cstheme="minorHAnsi"/>
          <w:bCs/>
          <w:sz w:val="24"/>
          <w:szCs w:val="24"/>
          <w:lang w:val="en-US"/>
        </w:rPr>
      </w:pPr>
      <w:r w:rsidRPr="005B3D9F">
        <w:rPr>
          <w:rFonts w:eastAsia="Calibri" w:cstheme="minorHAnsi"/>
          <w:b/>
          <w:sz w:val="24"/>
          <w:szCs w:val="24"/>
          <w:lang w:val="en-US"/>
        </w:rPr>
        <w:t xml:space="preserve">Methods: </w:t>
      </w:r>
      <w:r w:rsidRPr="005B3D9F">
        <w:rPr>
          <w:rFonts w:eastAsia="Calibri" w:cstheme="minorHAnsi"/>
          <w:sz w:val="24"/>
          <w:szCs w:val="24"/>
          <w:lang w:val="en-US"/>
        </w:rPr>
        <w:t>Microbiological identification and susceptibility tests were performed by automated BD Phoenix system and manual Liofilchem MIC Test Strips.</w:t>
      </w:r>
      <w:r>
        <w:rPr>
          <w:rFonts w:eastAsia="Calibri" w:cstheme="minorHAnsi"/>
          <w:sz w:val="24"/>
          <w:szCs w:val="24"/>
          <w:lang w:val="en-US"/>
        </w:rPr>
        <w:t xml:space="preserve"> </w:t>
      </w:r>
    </w:p>
    <w:p w14:paraId="0B15E342" w14:textId="77777777" w:rsidR="009E76BE" w:rsidRPr="00422FE4" w:rsidRDefault="009E76BE" w:rsidP="003A19DF">
      <w:pPr>
        <w:spacing w:after="120" w:line="480" w:lineRule="auto"/>
        <w:rPr>
          <w:rFonts w:eastAsia="Calibri" w:cstheme="minorHAnsi"/>
          <w:bCs/>
          <w:sz w:val="24"/>
          <w:szCs w:val="24"/>
          <w:lang w:val="en-US"/>
        </w:rPr>
      </w:pPr>
      <w:r w:rsidRPr="005B3D9F">
        <w:rPr>
          <w:rFonts w:eastAsia="Calibri" w:cstheme="minorHAnsi"/>
          <w:b/>
          <w:sz w:val="24"/>
          <w:szCs w:val="24"/>
          <w:lang w:val="en-US"/>
        </w:rPr>
        <w:t xml:space="preserve">Results: </w:t>
      </w:r>
      <w:r w:rsidRPr="005B3D9F">
        <w:rPr>
          <w:rFonts w:eastAsia="Calibri" w:cstheme="minorHAnsi"/>
          <w:bCs/>
          <w:sz w:val="24"/>
          <w:szCs w:val="24"/>
          <w:lang w:val="en-US"/>
        </w:rPr>
        <w:t>Among</w:t>
      </w:r>
      <w:r w:rsidRPr="005B3D9F">
        <w:rPr>
          <w:rFonts w:eastAsia="Calibri" w:cstheme="minorHAnsi"/>
          <w:b/>
          <w:sz w:val="24"/>
          <w:szCs w:val="24"/>
          <w:lang w:val="en-US"/>
        </w:rPr>
        <w:t xml:space="preserve"> </w:t>
      </w:r>
      <w:r w:rsidRPr="005B3D9F">
        <w:rPr>
          <w:rFonts w:eastAsia="Calibri" w:cstheme="minorHAnsi"/>
          <w:sz w:val="24"/>
          <w:szCs w:val="24"/>
          <w:lang w:val="en-US"/>
        </w:rPr>
        <w:t>75 MDR-</w:t>
      </w:r>
      <w:r w:rsidRPr="005B3D9F">
        <w:rPr>
          <w:rFonts w:eastAsia="Calibri" w:cstheme="minorHAnsi"/>
          <w:i/>
          <w:iCs/>
          <w:sz w:val="24"/>
          <w:szCs w:val="24"/>
          <w:lang w:val="en-US"/>
        </w:rPr>
        <w:t>P. aeruginosa</w:t>
      </w:r>
      <w:r w:rsidRPr="005B3D9F">
        <w:rPr>
          <w:rFonts w:eastAsia="Calibri" w:cstheme="minorHAnsi"/>
          <w:sz w:val="24"/>
          <w:szCs w:val="24"/>
          <w:lang w:val="en-US"/>
        </w:rPr>
        <w:t xml:space="preserve"> isolates; the largest proportions of susceptibility were to ceftazidime-avibactam (</w:t>
      </w:r>
      <w:r>
        <w:rPr>
          <w:rFonts w:eastAsia="Calibri" w:cstheme="minorHAnsi"/>
          <w:sz w:val="24"/>
          <w:szCs w:val="24"/>
          <w:lang w:val="en-US"/>
        </w:rPr>
        <w:t>n=</w:t>
      </w:r>
      <w:r w:rsidRPr="005B3D9F">
        <w:rPr>
          <w:rFonts w:eastAsia="Calibri" w:cstheme="minorHAnsi"/>
          <w:sz w:val="24"/>
          <w:szCs w:val="24"/>
          <w:lang w:val="en-US"/>
        </w:rPr>
        <w:t>36, 48%)</w:t>
      </w:r>
      <w:r>
        <w:rPr>
          <w:rFonts w:eastAsia="Calibri" w:cstheme="minorHAnsi"/>
          <w:sz w:val="24"/>
          <w:szCs w:val="24"/>
          <w:lang w:val="en-US"/>
        </w:rPr>
        <w:t>,</w:t>
      </w:r>
      <w:r w:rsidRPr="00692776">
        <w:rPr>
          <w:rFonts w:eastAsia="Calibri" w:cstheme="minorHAnsi"/>
          <w:sz w:val="24"/>
          <w:szCs w:val="24"/>
          <w:lang w:val="en-US"/>
        </w:rPr>
        <w:t xml:space="preserve"> </w:t>
      </w:r>
      <w:r>
        <w:rPr>
          <w:rFonts w:eastAsia="Calibri" w:cstheme="minorHAnsi"/>
          <w:sz w:val="24"/>
          <w:szCs w:val="24"/>
          <w:lang w:val="en-US"/>
        </w:rPr>
        <w:t>followed by</w:t>
      </w:r>
      <w:r w:rsidRPr="00721596">
        <w:rPr>
          <w:rFonts w:eastAsia="Calibri" w:cstheme="minorHAnsi"/>
          <w:sz w:val="24"/>
          <w:szCs w:val="24"/>
          <w:lang w:val="en-US"/>
        </w:rPr>
        <w:t xml:space="preserve"> </w:t>
      </w:r>
      <w:r w:rsidRPr="00721596">
        <w:rPr>
          <w:rFonts w:cstheme="minorHAnsi"/>
          <w:sz w:val="24"/>
          <w:szCs w:val="24"/>
          <w:lang w:val="en-US"/>
        </w:rPr>
        <w:t xml:space="preserve">ceftolozane-tazobactam </w:t>
      </w:r>
      <w:r w:rsidRPr="00721596">
        <w:rPr>
          <w:rFonts w:eastAsia="Calibri" w:cstheme="minorHAnsi"/>
          <w:sz w:val="24"/>
          <w:szCs w:val="24"/>
          <w:lang w:val="en-US"/>
        </w:rPr>
        <w:t>(30, 40%), ceftazidime (</w:t>
      </w:r>
      <w:r>
        <w:rPr>
          <w:rFonts w:eastAsia="Calibri" w:cstheme="minorHAnsi"/>
          <w:sz w:val="24"/>
          <w:szCs w:val="24"/>
          <w:lang w:val="en-US"/>
        </w:rPr>
        <w:t>n=</w:t>
      </w:r>
      <w:r w:rsidRPr="00721596">
        <w:rPr>
          <w:rFonts w:eastAsia="Calibri" w:cstheme="minorHAnsi"/>
          <w:sz w:val="24"/>
          <w:szCs w:val="24"/>
          <w:lang w:val="en-US"/>
        </w:rPr>
        <w:t>21, 28%) and aztreonam (</w:t>
      </w:r>
      <w:r>
        <w:rPr>
          <w:rFonts w:eastAsia="Calibri" w:cstheme="minorHAnsi"/>
          <w:sz w:val="24"/>
          <w:szCs w:val="24"/>
          <w:lang w:val="en-US"/>
        </w:rPr>
        <w:t>n=</w:t>
      </w:r>
      <w:r w:rsidRPr="00721596">
        <w:rPr>
          <w:rFonts w:eastAsia="Calibri" w:cstheme="minorHAnsi"/>
          <w:sz w:val="24"/>
          <w:szCs w:val="24"/>
          <w:lang w:val="en-US"/>
        </w:rPr>
        <w:t>16, 21</w:t>
      </w:r>
      <w:r>
        <w:rPr>
          <w:rFonts w:eastAsia="Calibri" w:cstheme="minorHAnsi"/>
          <w:sz w:val="24"/>
          <w:szCs w:val="24"/>
          <w:lang w:val="en-US"/>
        </w:rPr>
        <w:t>.3</w:t>
      </w:r>
      <w:r w:rsidRPr="00721596">
        <w:rPr>
          <w:rFonts w:eastAsia="Calibri" w:cstheme="minorHAnsi"/>
          <w:sz w:val="24"/>
          <w:szCs w:val="24"/>
          <w:lang w:val="en-US"/>
        </w:rPr>
        <w:t xml:space="preserve">%). Almost all isolates possessed Class C and Class D </w:t>
      </w:r>
      <w:r w:rsidRPr="00422FE4">
        <w:rPr>
          <w:rFonts w:eastAsia="Calibri" w:cstheme="minorHAnsi"/>
          <w:sz w:val="24"/>
          <w:szCs w:val="24"/>
          <w:lang w:val="en-US"/>
        </w:rPr>
        <w:sym w:font="Symbol" w:char="F062"/>
      </w:r>
      <w:r w:rsidRPr="00422FE4">
        <w:rPr>
          <w:rFonts w:eastAsia="Calibri" w:cstheme="minorHAnsi"/>
          <w:sz w:val="24"/>
          <w:szCs w:val="24"/>
          <w:lang w:val="en-US"/>
        </w:rPr>
        <w:t>-lactamases (</w:t>
      </w:r>
      <w:r>
        <w:rPr>
          <w:rFonts w:eastAsia="Calibri" w:cstheme="minorHAnsi"/>
          <w:sz w:val="24"/>
          <w:szCs w:val="24"/>
          <w:lang w:val="en-US"/>
        </w:rPr>
        <w:t>n=</w:t>
      </w:r>
      <w:r w:rsidRPr="00422FE4">
        <w:rPr>
          <w:rFonts w:eastAsia="Calibri" w:cstheme="minorHAnsi"/>
          <w:sz w:val="24"/>
          <w:szCs w:val="24"/>
          <w:lang w:val="en-US"/>
        </w:rPr>
        <w:t>72, 96% each)</w:t>
      </w:r>
      <w:r>
        <w:rPr>
          <w:rFonts w:eastAsia="Calibri" w:cstheme="minorHAnsi"/>
          <w:sz w:val="24"/>
          <w:szCs w:val="24"/>
          <w:lang w:val="en-US"/>
        </w:rPr>
        <w:t>,</w:t>
      </w:r>
      <w:r w:rsidRPr="00422FE4">
        <w:rPr>
          <w:rFonts w:eastAsia="Calibri" w:cstheme="minorHAnsi"/>
          <w:sz w:val="24"/>
          <w:szCs w:val="24"/>
          <w:lang w:val="en-US"/>
        </w:rPr>
        <w:t xml:space="preserve"> while </w:t>
      </w:r>
      <w:r>
        <w:rPr>
          <w:rFonts w:eastAsia="Calibri" w:cstheme="minorHAnsi"/>
          <w:sz w:val="24"/>
          <w:szCs w:val="24"/>
          <w:lang w:val="en-US"/>
        </w:rPr>
        <w:t>m</w:t>
      </w:r>
      <w:r w:rsidRPr="00422FE4">
        <w:rPr>
          <w:rFonts w:eastAsia="Calibri" w:cstheme="minorHAnsi"/>
          <w:sz w:val="24"/>
          <w:szCs w:val="24"/>
          <w:lang w:val="en-US"/>
        </w:rPr>
        <w:t>etallo-β-lactamases were detected in 20 (2</w:t>
      </w:r>
      <w:r>
        <w:rPr>
          <w:rFonts w:eastAsia="Calibri" w:cstheme="minorHAnsi"/>
          <w:sz w:val="24"/>
          <w:szCs w:val="24"/>
          <w:lang w:val="en-US"/>
        </w:rPr>
        <w:t>6.7</w:t>
      </w:r>
      <w:r w:rsidRPr="00422FE4">
        <w:rPr>
          <w:rFonts w:eastAsia="Calibri" w:cstheme="minorHAnsi"/>
          <w:sz w:val="24"/>
          <w:szCs w:val="24"/>
          <w:lang w:val="en-US"/>
        </w:rPr>
        <w:t xml:space="preserve">%) isolates. Eight (40%) </w:t>
      </w:r>
      <w:r>
        <w:rPr>
          <w:rFonts w:eastAsia="Calibri" w:cstheme="minorHAnsi"/>
          <w:sz w:val="24"/>
          <w:szCs w:val="24"/>
          <w:lang w:val="en-US"/>
        </w:rPr>
        <w:t>m</w:t>
      </w:r>
      <w:r w:rsidRPr="00422FE4">
        <w:rPr>
          <w:rFonts w:eastAsia="Calibri" w:cstheme="minorHAnsi"/>
          <w:sz w:val="24"/>
          <w:szCs w:val="24"/>
          <w:lang w:val="en-US"/>
        </w:rPr>
        <w:t>etallo-β-lactamases producers were sus</w:t>
      </w:r>
      <w:r w:rsidRPr="00DD6ABA">
        <w:rPr>
          <w:rFonts w:eastAsia="Calibri" w:cstheme="minorHAnsi"/>
          <w:sz w:val="24"/>
          <w:szCs w:val="24"/>
          <w:lang w:val="en-US"/>
        </w:rPr>
        <w:t xml:space="preserve">ceptible to aztreonam and did not produce any concomitant extended-spectrum </w:t>
      </w:r>
      <w:r w:rsidRPr="00422FE4">
        <w:rPr>
          <w:rFonts w:eastAsia="Calibri" w:cstheme="minorHAnsi"/>
          <w:sz w:val="24"/>
          <w:szCs w:val="24"/>
          <w:lang w:val="en-US"/>
        </w:rPr>
        <w:sym w:font="Symbol" w:char="F062"/>
      </w:r>
      <w:r w:rsidRPr="00422FE4">
        <w:rPr>
          <w:rFonts w:eastAsia="Calibri" w:cstheme="minorHAnsi"/>
          <w:sz w:val="24"/>
          <w:szCs w:val="24"/>
          <w:lang w:val="en-US"/>
        </w:rPr>
        <w:t xml:space="preserve">-lactamases. </w:t>
      </w:r>
      <w:r w:rsidRPr="00F33D20">
        <w:rPr>
          <w:rFonts w:eastAsia="Calibri" w:cstheme="minorHAnsi"/>
          <w:sz w:val="24"/>
          <w:szCs w:val="24"/>
          <w:lang w:val="en-US"/>
        </w:rPr>
        <w:t xml:space="preserve">High risk </w:t>
      </w:r>
      <w:r w:rsidRPr="00422FE4">
        <w:rPr>
          <w:rFonts w:eastAsia="Calibri" w:cstheme="minorHAnsi"/>
          <w:sz w:val="24"/>
          <w:szCs w:val="24"/>
          <w:lang w:val="en-US"/>
        </w:rPr>
        <w:t>ST235 (</w:t>
      </w:r>
      <w:r>
        <w:rPr>
          <w:rFonts w:eastAsia="Calibri" w:cstheme="minorHAnsi"/>
          <w:sz w:val="24"/>
          <w:szCs w:val="24"/>
          <w:lang w:val="en-US"/>
        </w:rPr>
        <w:t>n=</w:t>
      </w:r>
      <w:r w:rsidRPr="00422FE4">
        <w:rPr>
          <w:rFonts w:eastAsia="Calibri" w:cstheme="minorHAnsi"/>
          <w:sz w:val="24"/>
          <w:szCs w:val="24"/>
          <w:lang w:val="en-US"/>
        </w:rPr>
        <w:t>16, 21</w:t>
      </w:r>
      <w:r>
        <w:rPr>
          <w:rFonts w:eastAsia="Calibri" w:cstheme="minorHAnsi"/>
          <w:sz w:val="24"/>
          <w:szCs w:val="24"/>
          <w:lang w:val="en-US"/>
        </w:rPr>
        <w:t>.3</w:t>
      </w:r>
      <w:r w:rsidRPr="00422FE4">
        <w:rPr>
          <w:rFonts w:eastAsia="Calibri" w:cstheme="minorHAnsi"/>
          <w:sz w:val="24"/>
          <w:szCs w:val="24"/>
          <w:lang w:val="en-US"/>
        </w:rPr>
        <w:t>%), ST357 (</w:t>
      </w:r>
      <w:r>
        <w:rPr>
          <w:rFonts w:eastAsia="Calibri" w:cstheme="minorHAnsi"/>
          <w:sz w:val="24"/>
          <w:szCs w:val="24"/>
          <w:lang w:val="en-US"/>
        </w:rPr>
        <w:t>n=</w:t>
      </w:r>
      <w:r w:rsidRPr="00422FE4">
        <w:rPr>
          <w:rFonts w:eastAsia="Calibri" w:cstheme="minorHAnsi"/>
          <w:sz w:val="24"/>
          <w:szCs w:val="24"/>
          <w:lang w:val="en-US"/>
        </w:rPr>
        <w:t>8, 1</w:t>
      </w:r>
      <w:r>
        <w:rPr>
          <w:rFonts w:eastAsia="Calibri" w:cstheme="minorHAnsi"/>
          <w:sz w:val="24"/>
          <w:szCs w:val="24"/>
          <w:lang w:val="en-US"/>
        </w:rPr>
        <w:t>0.7</w:t>
      </w:r>
      <w:r w:rsidRPr="00422FE4">
        <w:rPr>
          <w:rFonts w:eastAsia="Calibri" w:cstheme="minorHAnsi"/>
          <w:sz w:val="24"/>
          <w:szCs w:val="24"/>
          <w:lang w:val="en-US"/>
        </w:rPr>
        <w:t>%), ST389 and ST1284 (6, 8%</w:t>
      </w:r>
      <w:r>
        <w:rPr>
          <w:rFonts w:eastAsia="Calibri" w:cstheme="minorHAnsi"/>
          <w:sz w:val="24"/>
          <w:szCs w:val="24"/>
          <w:lang w:val="en-US"/>
        </w:rPr>
        <w:t xml:space="preserve"> each</w:t>
      </w:r>
      <w:r w:rsidRPr="00422FE4">
        <w:rPr>
          <w:rFonts w:eastAsia="Calibri" w:cstheme="minorHAnsi"/>
          <w:sz w:val="24"/>
          <w:szCs w:val="24"/>
          <w:lang w:val="en-US"/>
        </w:rPr>
        <w:t>)</w:t>
      </w:r>
      <w:r>
        <w:rPr>
          <w:rFonts w:eastAsia="Calibri" w:cstheme="minorHAnsi"/>
          <w:sz w:val="24"/>
          <w:szCs w:val="24"/>
          <w:lang w:val="en-US"/>
        </w:rPr>
        <w:t xml:space="preserve"> were most frequent</w:t>
      </w:r>
      <w:r w:rsidRPr="00422FE4">
        <w:rPr>
          <w:rFonts w:eastAsia="Calibri" w:cstheme="minorHAnsi"/>
          <w:sz w:val="24"/>
          <w:szCs w:val="24"/>
          <w:lang w:val="en-US"/>
        </w:rPr>
        <w:t xml:space="preserve">. </w:t>
      </w:r>
      <w:r>
        <w:rPr>
          <w:rFonts w:eastAsia="Calibri" w:cstheme="minorHAnsi"/>
          <w:sz w:val="24"/>
          <w:szCs w:val="24"/>
          <w:lang w:val="en-US"/>
        </w:rPr>
        <w:t>Nearly all</w:t>
      </w:r>
      <w:r w:rsidRPr="00422FE4">
        <w:rPr>
          <w:rFonts w:eastAsia="Calibri" w:cstheme="minorHAnsi"/>
          <w:sz w:val="24"/>
          <w:szCs w:val="24"/>
          <w:lang w:val="en-US"/>
        </w:rPr>
        <w:t xml:space="preserve"> ST235 </w:t>
      </w:r>
      <w:r>
        <w:rPr>
          <w:rFonts w:eastAsia="Calibri" w:cstheme="minorHAnsi"/>
          <w:sz w:val="24"/>
          <w:szCs w:val="24"/>
          <w:lang w:val="en-US"/>
        </w:rPr>
        <w:t>isolates (15/16; 93.8%)</w:t>
      </w:r>
      <w:r w:rsidRPr="00422FE4">
        <w:rPr>
          <w:rFonts w:eastAsia="Calibri" w:cstheme="minorHAnsi"/>
          <w:sz w:val="24"/>
          <w:szCs w:val="24"/>
          <w:lang w:val="en-US"/>
        </w:rPr>
        <w:t xml:space="preserve"> were resistant to all tested </w:t>
      </w:r>
      <w:r w:rsidRPr="00422FE4">
        <w:rPr>
          <w:rFonts w:eastAsia="Calibri" w:cstheme="minorHAnsi"/>
          <w:sz w:val="24"/>
          <w:szCs w:val="24"/>
          <w:lang w:val="en-US"/>
        </w:rPr>
        <w:sym w:font="Symbol" w:char="F062"/>
      </w:r>
      <w:r w:rsidRPr="00422FE4">
        <w:rPr>
          <w:rFonts w:eastAsia="Calibri" w:cstheme="minorHAnsi"/>
          <w:sz w:val="24"/>
          <w:szCs w:val="24"/>
          <w:lang w:val="en-US"/>
        </w:rPr>
        <w:t>-lactams.</w:t>
      </w:r>
    </w:p>
    <w:p w14:paraId="61BC03D0" w14:textId="77777777" w:rsidR="009E76BE" w:rsidRPr="00FB6B5C" w:rsidRDefault="009E76BE" w:rsidP="00FB6B5C">
      <w:pPr>
        <w:spacing w:after="120" w:line="480" w:lineRule="auto"/>
        <w:rPr>
          <w:rFonts w:eastAsia="Calibri" w:cstheme="minorHAnsi"/>
          <w:bCs/>
          <w:sz w:val="24"/>
          <w:szCs w:val="24"/>
          <w:lang w:val="en-US"/>
        </w:rPr>
      </w:pPr>
      <w:r w:rsidRPr="00187DEF">
        <w:rPr>
          <w:rFonts w:eastAsia="Calibri" w:cstheme="minorHAnsi"/>
          <w:b/>
          <w:sz w:val="24"/>
          <w:szCs w:val="24"/>
          <w:lang w:val="en-US"/>
        </w:rPr>
        <w:t>Conclusion</w:t>
      </w:r>
      <w:r w:rsidRPr="00187DEF">
        <w:rPr>
          <w:rFonts w:eastAsia="Calibri" w:cstheme="minorHAnsi"/>
          <w:bCs/>
          <w:sz w:val="24"/>
          <w:szCs w:val="24"/>
          <w:lang w:val="en-US"/>
        </w:rPr>
        <w:t>:</w:t>
      </w:r>
      <w:r w:rsidRPr="00187DEF">
        <w:rPr>
          <w:rFonts w:ascii="Sabon LT Std" w:eastAsia="Times New Roman" w:hAnsi="Sabon LT Std" w:cs="Times New Roman"/>
          <w:bCs/>
          <w:sz w:val="24"/>
          <w:szCs w:val="24"/>
          <w:lang w:val="en-US" w:eastAsia="sv-SE"/>
        </w:rPr>
        <w:t xml:space="preserve"> </w:t>
      </w:r>
      <w:r w:rsidRPr="00187DEF">
        <w:rPr>
          <w:rFonts w:eastAsia="Calibri" w:cstheme="minorHAnsi"/>
          <w:bCs/>
          <w:sz w:val="24"/>
          <w:szCs w:val="24"/>
          <w:lang w:val="en-US"/>
        </w:rPr>
        <w:t>MDR-</w:t>
      </w:r>
      <w:r w:rsidRPr="00187DEF">
        <w:rPr>
          <w:rFonts w:eastAsia="Calibri" w:cstheme="minorHAnsi"/>
          <w:bCs/>
          <w:i/>
          <w:iCs/>
          <w:sz w:val="24"/>
          <w:szCs w:val="24"/>
          <w:lang w:val="en-US"/>
        </w:rPr>
        <w:t>P. aeruginosa</w:t>
      </w:r>
      <w:r w:rsidRPr="00187DEF">
        <w:rPr>
          <w:rFonts w:eastAsia="Calibri" w:cstheme="minorHAnsi"/>
          <w:bCs/>
          <w:sz w:val="24"/>
          <w:szCs w:val="24"/>
          <w:lang w:val="en-US"/>
        </w:rPr>
        <w:t xml:space="preserve"> isolates from Qatar are highly resistant to antipseudomonal </w:t>
      </w:r>
      <w:r w:rsidRPr="00187DEF">
        <w:rPr>
          <w:rFonts w:eastAsia="Calibri" w:cstheme="minorHAnsi"/>
          <w:bCs/>
          <w:sz w:val="24"/>
          <w:szCs w:val="24"/>
          <w:lang w:val="en-US"/>
        </w:rPr>
        <w:sym w:font="Symbol" w:char="F062"/>
      </w:r>
      <w:r w:rsidRPr="00187DEF">
        <w:rPr>
          <w:rFonts w:eastAsia="Calibri" w:cstheme="minorHAnsi"/>
          <w:bCs/>
          <w:sz w:val="24"/>
          <w:szCs w:val="24"/>
          <w:lang w:val="en-US"/>
        </w:rPr>
        <w:t>-lactams. High-risk STs are predominant in Qatar and their associated MDR phenotypes are a cause for considerable concern.</w:t>
      </w:r>
      <w:r w:rsidRPr="00422FE4">
        <w:rPr>
          <w:rFonts w:eastAsia="Calibri" w:cstheme="minorHAnsi"/>
          <w:bCs/>
          <w:sz w:val="24"/>
          <w:szCs w:val="24"/>
          <w:lang w:val="en-US"/>
        </w:rPr>
        <w:t xml:space="preserve"> </w:t>
      </w:r>
    </w:p>
    <w:p w14:paraId="04EB1C2E" w14:textId="77777777" w:rsidR="009E76BE" w:rsidRPr="005B3D9F" w:rsidRDefault="009E76BE" w:rsidP="003A19DF">
      <w:pPr>
        <w:autoSpaceDE w:val="0"/>
        <w:autoSpaceDN w:val="0"/>
        <w:adjustRightInd w:val="0"/>
        <w:spacing w:after="120" w:line="480" w:lineRule="auto"/>
        <w:jc w:val="both"/>
        <w:rPr>
          <w:rFonts w:cstheme="minorHAnsi"/>
          <w:b/>
          <w:bCs/>
          <w:sz w:val="24"/>
          <w:szCs w:val="24"/>
          <w:lang w:val="en-US"/>
        </w:rPr>
      </w:pPr>
      <w:r w:rsidRPr="005B3D9F">
        <w:rPr>
          <w:rFonts w:cstheme="minorHAnsi"/>
          <w:b/>
          <w:bCs/>
          <w:sz w:val="24"/>
          <w:szCs w:val="24"/>
          <w:lang w:val="en-US"/>
        </w:rPr>
        <w:t>Keywords</w:t>
      </w:r>
    </w:p>
    <w:p w14:paraId="4AA4CD7A" w14:textId="77777777" w:rsidR="009E76BE" w:rsidRPr="005B3D9F" w:rsidRDefault="009E76BE" w:rsidP="003A19DF">
      <w:pPr>
        <w:autoSpaceDE w:val="0"/>
        <w:autoSpaceDN w:val="0"/>
        <w:adjustRightInd w:val="0"/>
        <w:spacing w:after="120" w:line="480" w:lineRule="auto"/>
        <w:jc w:val="both"/>
        <w:rPr>
          <w:rFonts w:eastAsia="Times New Roman" w:cstheme="minorHAnsi"/>
          <w:sz w:val="24"/>
          <w:szCs w:val="24"/>
          <w:lang w:val="en-US" w:eastAsia="en-GB"/>
        </w:rPr>
      </w:pPr>
      <w:r w:rsidRPr="005B3D9F">
        <w:rPr>
          <w:rFonts w:cstheme="minorHAnsi"/>
          <w:sz w:val="24"/>
          <w:szCs w:val="24"/>
          <w:lang w:val="en-US"/>
        </w:rPr>
        <w:t xml:space="preserve">beta-lactamases, </w:t>
      </w:r>
      <w:r>
        <w:rPr>
          <w:rFonts w:cstheme="minorHAnsi"/>
          <w:sz w:val="24"/>
          <w:szCs w:val="24"/>
          <w:lang w:val="en-US"/>
        </w:rPr>
        <w:t xml:space="preserve">MDR, </w:t>
      </w:r>
      <w:r w:rsidRPr="00131409">
        <w:rPr>
          <w:rFonts w:cstheme="minorHAnsi"/>
          <w:i/>
          <w:iCs/>
          <w:sz w:val="24"/>
          <w:szCs w:val="24"/>
          <w:lang w:val="en-US"/>
        </w:rPr>
        <w:t>P. aeruginosa</w:t>
      </w:r>
      <w:r w:rsidRPr="005B3D9F">
        <w:rPr>
          <w:rFonts w:cstheme="minorHAnsi"/>
          <w:sz w:val="24"/>
          <w:szCs w:val="24"/>
          <w:lang w:val="en-US"/>
        </w:rPr>
        <w:t>, ST235</w:t>
      </w:r>
    </w:p>
    <w:p w14:paraId="2F6BA713" w14:textId="77777777" w:rsidR="009E76BE" w:rsidRPr="005B3D9F" w:rsidRDefault="009E76BE" w:rsidP="003A19DF">
      <w:pPr>
        <w:spacing w:after="0" w:line="480" w:lineRule="auto"/>
        <w:jc w:val="both"/>
        <w:rPr>
          <w:rFonts w:cstheme="minorHAnsi"/>
          <w:sz w:val="24"/>
          <w:szCs w:val="24"/>
          <w:lang w:val="en-US"/>
        </w:rPr>
      </w:pPr>
      <w:r w:rsidRPr="005B3D9F">
        <w:rPr>
          <w:rFonts w:asciiTheme="majorBidi" w:hAnsiTheme="majorBidi" w:cstheme="majorBidi"/>
          <w:sz w:val="24"/>
          <w:szCs w:val="24"/>
          <w:lang w:val="en-US"/>
        </w:rPr>
        <w:br w:type="page"/>
      </w:r>
      <w:r w:rsidRPr="009303BA">
        <w:rPr>
          <w:rFonts w:cstheme="minorHAnsi"/>
          <w:b/>
          <w:bCs/>
          <w:sz w:val="24"/>
          <w:szCs w:val="24"/>
          <w:lang w:val="en-US"/>
        </w:rPr>
        <w:lastRenderedPageBreak/>
        <w:t>Background</w:t>
      </w:r>
    </w:p>
    <w:p w14:paraId="4FF55101" w14:textId="77777777" w:rsidR="009E76BE" w:rsidRPr="006F5008" w:rsidRDefault="009E76BE" w:rsidP="006F5008">
      <w:pPr>
        <w:pStyle w:val="NormalWeb"/>
        <w:spacing w:before="0" w:beforeAutospacing="0" w:after="0" w:afterAutospacing="0" w:line="480" w:lineRule="auto"/>
        <w:rPr>
          <w:rFonts w:asciiTheme="minorHAnsi" w:hAnsiTheme="minorHAnsi" w:cstheme="minorHAnsi"/>
        </w:rPr>
      </w:pPr>
      <w:r w:rsidRPr="005B3D9F">
        <w:rPr>
          <w:rFonts w:asciiTheme="minorHAnsi" w:hAnsiTheme="minorHAnsi" w:cstheme="minorHAnsi"/>
        </w:rPr>
        <w:t xml:space="preserve">Due to their established efficacy and safety, anti-pseudomonal </w:t>
      </w:r>
      <w:r w:rsidRPr="00422FE4">
        <w:rPr>
          <w:rFonts w:asciiTheme="minorHAnsi" w:hAnsiTheme="minorHAnsi" w:cstheme="minorHAnsi"/>
        </w:rPr>
        <w:sym w:font="Symbol" w:char="F062"/>
      </w:r>
      <w:r w:rsidRPr="00422FE4">
        <w:rPr>
          <w:rFonts w:asciiTheme="minorHAnsi" w:hAnsiTheme="minorHAnsi" w:cstheme="minorHAnsi"/>
        </w:rPr>
        <w:t>-lactam</w:t>
      </w:r>
      <w:r>
        <w:rPr>
          <w:rFonts w:asciiTheme="minorHAnsi" w:hAnsiTheme="minorHAnsi" w:cstheme="minorHAnsi"/>
        </w:rPr>
        <w:t xml:space="preserve"> antibiotics</w:t>
      </w:r>
      <w:r w:rsidRPr="00422FE4">
        <w:rPr>
          <w:rFonts w:asciiTheme="minorHAnsi" w:hAnsiTheme="minorHAnsi" w:cstheme="minorHAnsi"/>
        </w:rPr>
        <w:t xml:space="preserve"> play a vital role in the clinical management of </w:t>
      </w:r>
      <w:r w:rsidRPr="00422FE4">
        <w:rPr>
          <w:rFonts w:asciiTheme="minorHAnsi" w:hAnsiTheme="minorHAnsi" w:cstheme="minorHAnsi"/>
          <w:i/>
          <w:iCs/>
        </w:rPr>
        <w:t>P. aeruginosa</w:t>
      </w:r>
      <w:r w:rsidRPr="00FD5CDD">
        <w:rPr>
          <w:rFonts w:asciiTheme="minorHAnsi" w:hAnsiTheme="minorHAnsi" w:cstheme="minorHAnsi"/>
        </w:rPr>
        <w:t xml:space="preserve"> infections</w:t>
      </w:r>
      <w:r>
        <w:rPr>
          <w:rFonts w:asciiTheme="minorHAnsi" w:hAnsiTheme="minorHAnsi" w:cstheme="minorHAnsi"/>
        </w:rPr>
        <w:t xml:space="preserve"> </w:t>
      </w:r>
      <w:r>
        <w:rPr>
          <w:rFonts w:asciiTheme="minorHAnsi" w:hAnsiTheme="minorHAnsi" w:cstheme="minorHAnsi"/>
          <w:noProof/>
        </w:rPr>
        <w:t>[1]</w:t>
      </w:r>
      <w:r>
        <w:rPr>
          <w:rFonts w:asciiTheme="minorHAnsi" w:hAnsiTheme="minorHAnsi" w:cstheme="minorHAnsi"/>
        </w:rPr>
        <w:t>.</w:t>
      </w:r>
      <w:r w:rsidRPr="00422FE4">
        <w:rPr>
          <w:rFonts w:asciiTheme="minorHAnsi" w:hAnsiTheme="minorHAnsi" w:cstheme="minorHAnsi"/>
        </w:rPr>
        <w:t xml:space="preserve"> Key antimicrobial resistance mechanisms in </w:t>
      </w:r>
      <w:r w:rsidRPr="005B3D9F">
        <w:rPr>
          <w:rFonts w:asciiTheme="minorHAnsi" w:hAnsiTheme="minorHAnsi" w:cstheme="minorHAnsi"/>
          <w:i/>
          <w:iCs/>
        </w:rPr>
        <w:t>P. aeruginosa</w:t>
      </w:r>
      <w:r w:rsidRPr="005B3D9F">
        <w:rPr>
          <w:rFonts w:asciiTheme="minorHAnsi" w:hAnsiTheme="minorHAnsi" w:cstheme="minorHAnsi"/>
        </w:rPr>
        <w:t xml:space="preserve"> include over-expression of efflux pumps, impermeability through porin modification or loss, target modification, and enzyme-mediated antimicrobial inactivation (e.g.</w:t>
      </w:r>
      <w:r>
        <w:rPr>
          <w:rFonts w:asciiTheme="minorHAnsi" w:hAnsiTheme="minorHAnsi" w:cstheme="minorHAnsi"/>
        </w:rPr>
        <w:t>,</w:t>
      </w:r>
      <w:r w:rsidRPr="005B3D9F">
        <w:rPr>
          <w:rFonts w:asciiTheme="minorHAnsi" w:hAnsiTheme="minorHAnsi" w:cstheme="minorHAnsi"/>
        </w:rPr>
        <w:t xml:space="preserve"> </w:t>
      </w:r>
      <w:r w:rsidRPr="00422FE4">
        <w:rPr>
          <w:rFonts w:asciiTheme="minorHAnsi" w:hAnsiTheme="minorHAnsi" w:cstheme="minorHAnsi"/>
        </w:rPr>
        <w:sym w:font="Symbol" w:char="F062"/>
      </w:r>
      <w:r w:rsidRPr="00422FE4">
        <w:rPr>
          <w:rFonts w:asciiTheme="minorHAnsi" w:hAnsiTheme="minorHAnsi" w:cstheme="minorHAnsi"/>
        </w:rPr>
        <w:t xml:space="preserve">-lactamases). Multiple resistance </w:t>
      </w:r>
      <w:r w:rsidRPr="00FD5CDD">
        <w:rPr>
          <w:rFonts w:asciiTheme="minorHAnsi" w:hAnsiTheme="minorHAnsi" w:cstheme="minorHAnsi"/>
        </w:rPr>
        <w:t>mechanisms are frequently present in concert resulting in simultaneous resistance to multiple agents</w:t>
      </w:r>
      <w:r>
        <w:rPr>
          <w:rFonts w:asciiTheme="minorHAnsi" w:hAnsiTheme="minorHAnsi" w:cstheme="minorHAnsi"/>
        </w:rPr>
        <w:t xml:space="preserve"> </w:t>
      </w:r>
      <w:r>
        <w:rPr>
          <w:rFonts w:asciiTheme="minorHAnsi" w:hAnsiTheme="minorHAnsi" w:cstheme="minorHAnsi"/>
          <w:noProof/>
        </w:rPr>
        <w:t>[1]</w:t>
      </w:r>
      <w:r>
        <w:rPr>
          <w:rFonts w:asciiTheme="minorHAnsi" w:hAnsiTheme="minorHAnsi" w:cstheme="minorHAnsi"/>
        </w:rPr>
        <w:t>.</w:t>
      </w:r>
      <w:r w:rsidRPr="00422FE4">
        <w:rPr>
          <w:rFonts w:asciiTheme="minorHAnsi" w:hAnsiTheme="minorHAnsi" w:cstheme="minorHAnsi"/>
        </w:rPr>
        <w:t xml:space="preserve"> </w:t>
      </w:r>
      <w:r>
        <w:rPr>
          <w:rFonts w:asciiTheme="minorHAnsi" w:hAnsiTheme="minorHAnsi" w:cstheme="minorHAnsi"/>
        </w:rPr>
        <w:t>T</w:t>
      </w:r>
      <w:r w:rsidRPr="00422FE4">
        <w:rPr>
          <w:rFonts w:asciiTheme="minorHAnsi" w:hAnsiTheme="minorHAnsi" w:cstheme="minorHAnsi"/>
        </w:rPr>
        <w:t xml:space="preserve">he epidemiology of </w:t>
      </w:r>
      <w:r w:rsidRPr="00422FE4">
        <w:rPr>
          <w:rFonts w:asciiTheme="minorHAnsi" w:hAnsiTheme="minorHAnsi" w:cstheme="minorHAnsi"/>
        </w:rPr>
        <w:sym w:font="Symbol" w:char="F062"/>
      </w:r>
      <w:r w:rsidRPr="00422FE4">
        <w:rPr>
          <w:rFonts w:asciiTheme="minorHAnsi" w:hAnsiTheme="minorHAnsi" w:cstheme="minorHAnsi"/>
        </w:rPr>
        <w:t xml:space="preserve">-lactamases </w:t>
      </w:r>
      <w:r>
        <w:rPr>
          <w:rFonts w:asciiTheme="minorHAnsi" w:hAnsiTheme="minorHAnsi" w:cstheme="minorHAnsi"/>
        </w:rPr>
        <w:t>is</w:t>
      </w:r>
      <w:r w:rsidRPr="00422FE4">
        <w:rPr>
          <w:rFonts w:asciiTheme="minorHAnsi" w:hAnsiTheme="minorHAnsi" w:cstheme="minorHAnsi"/>
        </w:rPr>
        <w:t xml:space="preserve"> </w:t>
      </w:r>
      <w:r>
        <w:rPr>
          <w:rFonts w:asciiTheme="minorHAnsi" w:hAnsiTheme="minorHAnsi" w:cstheme="minorHAnsi"/>
        </w:rPr>
        <w:t xml:space="preserve">often </w:t>
      </w:r>
      <w:r w:rsidRPr="00422FE4">
        <w:rPr>
          <w:rFonts w:asciiTheme="minorHAnsi" w:hAnsiTheme="minorHAnsi" w:cstheme="minorHAnsi"/>
        </w:rPr>
        <w:t>closely related to the distribution of certain high-risk international clones</w:t>
      </w:r>
      <w:r>
        <w:rPr>
          <w:rFonts w:asciiTheme="minorHAnsi" w:hAnsiTheme="minorHAnsi" w:cstheme="minorHAnsi"/>
        </w:rPr>
        <w:t xml:space="preserve"> </w:t>
      </w:r>
      <w:r>
        <w:rPr>
          <w:rFonts w:asciiTheme="minorHAnsi" w:hAnsiTheme="minorHAnsi" w:cstheme="minorHAnsi"/>
          <w:noProof/>
        </w:rPr>
        <w:t>[2]</w:t>
      </w:r>
      <w:r>
        <w:rPr>
          <w:rFonts w:asciiTheme="minorHAnsi" w:hAnsiTheme="minorHAnsi" w:cstheme="minorHAnsi"/>
        </w:rPr>
        <w:t>.</w:t>
      </w:r>
      <w:r w:rsidRPr="00422FE4">
        <w:rPr>
          <w:rFonts w:asciiTheme="minorHAnsi" w:hAnsiTheme="minorHAnsi" w:cstheme="minorHAnsi"/>
        </w:rPr>
        <w:t xml:space="preserve"> </w:t>
      </w:r>
      <w:r>
        <w:rPr>
          <w:rFonts w:asciiTheme="minorHAnsi" w:hAnsiTheme="minorHAnsi" w:cstheme="minorHAnsi"/>
        </w:rPr>
        <w:t>In t</w:t>
      </w:r>
      <w:r w:rsidRPr="00422FE4">
        <w:rPr>
          <w:rFonts w:asciiTheme="minorHAnsi" w:hAnsiTheme="minorHAnsi" w:cstheme="minorHAnsi"/>
        </w:rPr>
        <w:t>his study</w:t>
      </w:r>
      <w:r>
        <w:rPr>
          <w:rFonts w:asciiTheme="minorHAnsi" w:hAnsiTheme="minorHAnsi" w:cstheme="minorHAnsi"/>
        </w:rPr>
        <w:t>, we used</w:t>
      </w:r>
      <w:r w:rsidRPr="00515DF9">
        <w:rPr>
          <w:rFonts w:asciiTheme="minorHAnsi" w:hAnsiTheme="minorHAnsi" w:cstheme="minorHAnsi"/>
        </w:rPr>
        <w:t xml:space="preserve"> </w:t>
      </w:r>
      <w:bookmarkStart w:id="1" w:name="_Hlk47007969"/>
      <w:r w:rsidRPr="00515DF9">
        <w:rPr>
          <w:rFonts w:asciiTheme="minorHAnsi" w:hAnsiTheme="minorHAnsi" w:cstheme="minorHAnsi"/>
        </w:rPr>
        <w:t xml:space="preserve">whole-genome sequencing (WGS) to identify the predominant </w:t>
      </w:r>
      <w:r w:rsidRPr="005B3D9F">
        <w:rPr>
          <w:rFonts w:asciiTheme="minorHAnsi" w:hAnsiTheme="minorHAnsi" w:cstheme="minorHAnsi"/>
        </w:rPr>
        <w:t>sequence types</w:t>
      </w:r>
      <w:r>
        <w:rPr>
          <w:rFonts w:asciiTheme="minorHAnsi" w:hAnsiTheme="minorHAnsi" w:cstheme="minorHAnsi"/>
        </w:rPr>
        <w:t xml:space="preserve"> (STs)</w:t>
      </w:r>
      <w:r w:rsidRPr="005B3D9F">
        <w:rPr>
          <w:rFonts w:asciiTheme="minorHAnsi" w:hAnsiTheme="minorHAnsi" w:cstheme="minorHAnsi"/>
        </w:rPr>
        <w:t xml:space="preserve"> and </w:t>
      </w:r>
      <w:r w:rsidRPr="00422FE4">
        <w:rPr>
          <w:rFonts w:asciiTheme="minorHAnsi" w:hAnsiTheme="minorHAnsi" w:cstheme="minorHAnsi"/>
        </w:rPr>
        <w:sym w:font="Symbol" w:char="F062"/>
      </w:r>
      <w:r w:rsidRPr="00422FE4">
        <w:rPr>
          <w:rFonts w:asciiTheme="minorHAnsi" w:hAnsiTheme="minorHAnsi" w:cstheme="minorHAnsi"/>
        </w:rPr>
        <w:t xml:space="preserve">-lactamase genes in multi-drug resistant (MDR) </w:t>
      </w:r>
      <w:bookmarkEnd w:id="1"/>
      <w:r w:rsidRPr="00422FE4">
        <w:rPr>
          <w:rFonts w:asciiTheme="minorHAnsi" w:hAnsiTheme="minorHAnsi" w:cstheme="minorHAnsi"/>
          <w:i/>
          <w:iCs/>
        </w:rPr>
        <w:t xml:space="preserve">P. aeruginosa </w:t>
      </w:r>
      <w:r w:rsidRPr="00FD5CDD">
        <w:rPr>
          <w:rFonts w:asciiTheme="minorHAnsi" w:hAnsiTheme="minorHAnsi" w:cstheme="minorHAnsi"/>
        </w:rPr>
        <w:t xml:space="preserve">clinical isolates from </w:t>
      </w:r>
      <w:r w:rsidRPr="00515DF9">
        <w:rPr>
          <w:rFonts w:asciiTheme="minorHAnsi" w:hAnsiTheme="minorHAnsi" w:cstheme="minorHAnsi"/>
        </w:rPr>
        <w:t>Qatar.</w:t>
      </w:r>
      <w:r>
        <w:rPr>
          <w:rFonts w:asciiTheme="minorHAnsi" w:hAnsiTheme="minorHAnsi" w:cstheme="minorHAnsi"/>
        </w:rPr>
        <w:t xml:space="preserve"> </w:t>
      </w:r>
    </w:p>
    <w:p w14:paraId="113169AF" w14:textId="77777777" w:rsidR="009E76BE" w:rsidRPr="005B3D9F" w:rsidRDefault="009E76BE" w:rsidP="003A19DF">
      <w:pPr>
        <w:pStyle w:val="NormalWeb"/>
        <w:spacing w:before="0" w:beforeAutospacing="0" w:after="0" w:afterAutospacing="0" w:line="480" w:lineRule="auto"/>
        <w:rPr>
          <w:rFonts w:asciiTheme="minorHAnsi" w:hAnsiTheme="minorHAnsi" w:cstheme="minorHAnsi"/>
        </w:rPr>
      </w:pPr>
      <w:r w:rsidRPr="005B3D9F">
        <w:rPr>
          <w:rFonts w:asciiTheme="minorHAnsi" w:hAnsiTheme="minorHAnsi" w:cstheme="minorHAnsi"/>
          <w:b/>
          <w:bCs/>
        </w:rPr>
        <w:t>Methods</w:t>
      </w:r>
    </w:p>
    <w:p w14:paraId="2FB01BA4" w14:textId="77777777" w:rsidR="009E76BE" w:rsidRDefault="009E76BE" w:rsidP="00635C41">
      <w:pPr>
        <w:spacing w:after="0" w:line="480" w:lineRule="auto"/>
        <w:rPr>
          <w:rFonts w:cstheme="minorHAnsi"/>
          <w:sz w:val="24"/>
          <w:szCs w:val="24"/>
          <w:lang w:val="en-US"/>
        </w:rPr>
      </w:pPr>
      <w:r w:rsidRPr="00187DEF">
        <w:rPr>
          <w:rFonts w:cstheme="minorHAnsi"/>
          <w:sz w:val="24"/>
          <w:szCs w:val="24"/>
          <w:lang w:val="en-US"/>
        </w:rPr>
        <w:t xml:space="preserve">The study setting, bacterial identification, antimicrobial susceptibility testing, whole genome sequencing, and statistical analysis details are provided in Additional File 1. MDR status was defined as </w:t>
      </w:r>
      <w:r w:rsidRPr="00187DEF">
        <w:rPr>
          <w:rFonts w:cstheme="minorHAnsi"/>
          <w:i/>
          <w:iCs/>
          <w:sz w:val="24"/>
          <w:szCs w:val="24"/>
          <w:lang w:val="en-US"/>
        </w:rPr>
        <w:t>in-vitro</w:t>
      </w:r>
      <w:r w:rsidRPr="00187DEF">
        <w:rPr>
          <w:rFonts w:cstheme="minorHAnsi"/>
          <w:sz w:val="24"/>
          <w:szCs w:val="24"/>
          <w:lang w:val="en-US"/>
        </w:rPr>
        <w:t xml:space="preserve"> resistance to at least one agent from three or more classes of anti-pseudomonal agents </w:t>
      </w:r>
      <w:r w:rsidRPr="00187DEF">
        <w:rPr>
          <w:rFonts w:cstheme="minorHAnsi"/>
          <w:noProof/>
          <w:sz w:val="24"/>
          <w:szCs w:val="24"/>
          <w:lang w:val="en-US"/>
        </w:rPr>
        <w:t>[3]</w:t>
      </w:r>
      <w:r w:rsidRPr="00187DEF">
        <w:rPr>
          <w:rFonts w:cstheme="minorHAnsi"/>
          <w:sz w:val="24"/>
          <w:szCs w:val="24"/>
          <w:lang w:val="en-US"/>
        </w:rPr>
        <w:t xml:space="preserve">. </w:t>
      </w:r>
      <w:r w:rsidRPr="00187DEF">
        <w:rPr>
          <w:rFonts w:cstheme="minorHAnsi"/>
          <w:sz w:val="24"/>
          <w:szCs w:val="24"/>
          <w:lang w:val="en-US"/>
        </w:rPr>
        <w:sym w:font="Symbol" w:char="F062"/>
      </w:r>
      <w:r w:rsidRPr="00187DEF">
        <w:rPr>
          <w:rFonts w:cstheme="minorHAnsi"/>
          <w:sz w:val="24"/>
          <w:szCs w:val="24"/>
          <w:lang w:val="en-US"/>
        </w:rPr>
        <w:t xml:space="preserve">-lactamases were classified according to their molecular groups </w:t>
      </w:r>
      <w:r w:rsidRPr="00187DEF">
        <w:rPr>
          <w:rFonts w:cstheme="minorHAnsi"/>
          <w:noProof/>
          <w:sz w:val="24"/>
          <w:szCs w:val="24"/>
          <w:lang w:val="en-US"/>
        </w:rPr>
        <w:t>[4]</w:t>
      </w:r>
      <w:r w:rsidRPr="00187DEF">
        <w:rPr>
          <w:rFonts w:cstheme="minorHAnsi"/>
          <w:sz w:val="24"/>
          <w:szCs w:val="24"/>
          <w:lang w:val="en-US"/>
        </w:rPr>
        <w:t>. Clinical data were retrieved from the electronic healthcare system.</w:t>
      </w:r>
    </w:p>
    <w:p w14:paraId="12213DD8" w14:textId="77777777" w:rsidR="009E76BE" w:rsidRPr="00422FE4" w:rsidRDefault="009E76BE" w:rsidP="003A19DF">
      <w:pPr>
        <w:spacing w:after="0" w:line="480" w:lineRule="auto"/>
        <w:jc w:val="both"/>
        <w:rPr>
          <w:rFonts w:cstheme="minorHAnsi"/>
          <w:b/>
          <w:bCs/>
          <w:sz w:val="24"/>
          <w:szCs w:val="24"/>
          <w:lang w:val="en-US"/>
        </w:rPr>
      </w:pPr>
      <w:r w:rsidRPr="00422FE4">
        <w:rPr>
          <w:rFonts w:cstheme="minorHAnsi"/>
          <w:b/>
          <w:bCs/>
          <w:sz w:val="24"/>
          <w:szCs w:val="24"/>
          <w:lang w:val="en-US"/>
        </w:rPr>
        <w:t>Results</w:t>
      </w:r>
    </w:p>
    <w:p w14:paraId="204E4417" w14:textId="77777777" w:rsidR="009E76BE" w:rsidRPr="002F4D7F" w:rsidRDefault="009E76BE" w:rsidP="008D5CB9">
      <w:pPr>
        <w:spacing w:after="0" w:line="480" w:lineRule="auto"/>
        <w:rPr>
          <w:rFonts w:cstheme="minorHAnsi"/>
          <w:sz w:val="24"/>
          <w:szCs w:val="24"/>
          <w:lang w:val="en-US"/>
        </w:rPr>
      </w:pPr>
      <w:r w:rsidRPr="00187DEF">
        <w:rPr>
          <w:rFonts w:cstheme="minorHAnsi"/>
          <w:sz w:val="24"/>
          <w:szCs w:val="24"/>
          <w:lang w:val="en-US"/>
        </w:rPr>
        <w:t>Seventy-five MDR-</w:t>
      </w:r>
      <w:r w:rsidRPr="00187DEF">
        <w:rPr>
          <w:rFonts w:cstheme="minorHAnsi"/>
          <w:i/>
          <w:iCs/>
          <w:sz w:val="24"/>
          <w:szCs w:val="24"/>
          <w:lang w:val="en-US"/>
        </w:rPr>
        <w:t>P. aeruginosa</w:t>
      </w:r>
      <w:r w:rsidRPr="00187DEF">
        <w:rPr>
          <w:rFonts w:cstheme="minorHAnsi"/>
          <w:sz w:val="24"/>
          <w:szCs w:val="24"/>
          <w:lang w:val="en-US"/>
        </w:rPr>
        <w:t xml:space="preserve"> isolates were included (Table S1, Additional File 1). The largest proportions of susceptibility were to ceftazidime-avibactam [36, 48%; minimum inhibitory concentration (MIC)</w:t>
      </w:r>
      <w:r w:rsidRPr="00187DEF">
        <w:rPr>
          <w:rFonts w:cstheme="minorHAnsi"/>
          <w:sz w:val="24"/>
          <w:szCs w:val="24"/>
          <w:vertAlign w:val="subscript"/>
          <w:lang w:val="en-US"/>
        </w:rPr>
        <w:t>50/90</w:t>
      </w:r>
      <w:r w:rsidRPr="00187DEF">
        <w:rPr>
          <w:rFonts w:cstheme="minorHAnsi"/>
          <w:sz w:val="24"/>
          <w:szCs w:val="24"/>
          <w:lang w:val="en-US"/>
        </w:rPr>
        <w:t xml:space="preserve"> 12/256 µg/ml] and ceftolozane-tazobactam (30, 40%; MIC</w:t>
      </w:r>
      <w:r w:rsidRPr="00187DEF">
        <w:rPr>
          <w:rFonts w:cstheme="minorHAnsi"/>
          <w:sz w:val="24"/>
          <w:szCs w:val="24"/>
          <w:vertAlign w:val="subscript"/>
          <w:lang w:val="en-US"/>
        </w:rPr>
        <w:t>50/90</w:t>
      </w:r>
      <w:r w:rsidRPr="00187DEF">
        <w:rPr>
          <w:rFonts w:cstheme="minorHAnsi"/>
          <w:sz w:val="24"/>
          <w:szCs w:val="24"/>
          <w:lang w:val="en-US"/>
        </w:rPr>
        <w:t xml:space="preserve"> 24/256 µg/ml) (Figure 1). Four (5.3%) isolates were resistant to all tested </w:t>
      </w:r>
      <w:r w:rsidRPr="00187DEF">
        <w:rPr>
          <w:rFonts w:cstheme="minorHAnsi"/>
          <w:sz w:val="24"/>
          <w:szCs w:val="24"/>
          <w:lang w:val="en-US"/>
        </w:rPr>
        <w:sym w:font="Symbol" w:char="F062"/>
      </w:r>
      <w:r w:rsidRPr="00187DEF">
        <w:rPr>
          <w:rFonts w:cstheme="minorHAnsi"/>
          <w:sz w:val="24"/>
          <w:szCs w:val="24"/>
          <w:lang w:val="en-US"/>
        </w:rPr>
        <w:t>-lactams except ceftazidime-avibactam, while only one (1.3%) isolate was only susceptible to ceftolozane-tazobactam (Table S1, Additional File 1).</w:t>
      </w:r>
      <w:r w:rsidRPr="00344932">
        <w:rPr>
          <w:rFonts w:cstheme="minorHAnsi"/>
          <w:sz w:val="24"/>
          <w:szCs w:val="24"/>
          <w:lang w:val="en-US"/>
        </w:rPr>
        <w:t xml:space="preserve"> </w:t>
      </w:r>
    </w:p>
    <w:p w14:paraId="7596D7CE" w14:textId="77777777" w:rsidR="009E76BE" w:rsidRPr="00422FE4" w:rsidRDefault="009E76BE" w:rsidP="003A19DF">
      <w:pPr>
        <w:spacing w:after="0" w:line="480" w:lineRule="auto"/>
        <w:rPr>
          <w:rFonts w:cstheme="minorHAnsi"/>
          <w:sz w:val="24"/>
          <w:szCs w:val="24"/>
          <w:lang w:val="en-US"/>
        </w:rPr>
      </w:pPr>
      <w:r w:rsidRPr="00187DEF">
        <w:rPr>
          <w:rFonts w:cstheme="minorHAnsi"/>
          <w:sz w:val="24"/>
          <w:szCs w:val="24"/>
          <w:lang w:val="en-US"/>
        </w:rPr>
        <w:lastRenderedPageBreak/>
        <w:t xml:space="preserve">Almost all isolates possessed Class C and Class D </w:t>
      </w:r>
      <w:r w:rsidRPr="00187DEF">
        <w:rPr>
          <w:rFonts w:cstheme="minorHAnsi"/>
          <w:sz w:val="24"/>
          <w:szCs w:val="24"/>
          <w:lang w:val="en-US"/>
        </w:rPr>
        <w:sym w:font="Symbol" w:char="F062"/>
      </w:r>
      <w:r w:rsidRPr="00187DEF">
        <w:rPr>
          <w:rFonts w:cstheme="minorHAnsi"/>
          <w:sz w:val="24"/>
          <w:szCs w:val="24"/>
          <w:lang w:val="en-US"/>
        </w:rPr>
        <w:t xml:space="preserve">-lactamases (72, 96% each). All 4 </w:t>
      </w:r>
      <w:r w:rsidRPr="00187DEF">
        <w:rPr>
          <w:rFonts w:cstheme="minorHAnsi"/>
          <w:sz w:val="24"/>
          <w:szCs w:val="24"/>
          <w:lang w:val="en-US"/>
        </w:rPr>
        <w:sym w:font="Symbol" w:char="F062"/>
      </w:r>
      <w:r w:rsidRPr="00187DEF">
        <w:rPr>
          <w:rFonts w:cstheme="minorHAnsi"/>
          <w:sz w:val="24"/>
          <w:szCs w:val="24"/>
          <w:lang w:val="en-US"/>
        </w:rPr>
        <w:t>-lactamase classes were present in 3 (4%) isolates. Metallo-</w:t>
      </w:r>
      <w:r w:rsidRPr="00187DEF">
        <w:rPr>
          <w:rFonts w:cstheme="minorHAnsi"/>
          <w:sz w:val="24"/>
          <w:szCs w:val="24"/>
          <w:lang w:val="en-US"/>
        </w:rPr>
        <w:sym w:font="Symbol" w:char="F062"/>
      </w:r>
      <w:r w:rsidRPr="00187DEF">
        <w:rPr>
          <w:rFonts w:cstheme="minorHAnsi"/>
          <w:sz w:val="24"/>
          <w:szCs w:val="24"/>
          <w:lang w:val="en-US"/>
        </w:rPr>
        <w:t xml:space="preserve">-lactamases (MBL) were detected in 20 (26.7%) isolates. Eight (40%) MBL producers were susceptible to aztreonam and did not produce any concomitant extended-spectrum </w:t>
      </w:r>
      <w:r w:rsidRPr="00187DEF">
        <w:rPr>
          <w:rFonts w:cstheme="minorHAnsi"/>
          <w:sz w:val="24"/>
          <w:szCs w:val="24"/>
          <w:lang w:val="en-US"/>
        </w:rPr>
        <w:sym w:font="Symbol" w:char="F062"/>
      </w:r>
      <w:r w:rsidRPr="00187DEF">
        <w:rPr>
          <w:rFonts w:cstheme="minorHAnsi"/>
          <w:sz w:val="24"/>
          <w:szCs w:val="24"/>
          <w:lang w:val="en-US"/>
        </w:rPr>
        <w:t>-lactamases (ESBL) (Table S1, Additional File 1).</w:t>
      </w:r>
      <w:r w:rsidRPr="00422FE4">
        <w:rPr>
          <w:rFonts w:cstheme="minorHAnsi"/>
          <w:sz w:val="24"/>
          <w:szCs w:val="24"/>
          <w:lang w:val="en-US"/>
        </w:rPr>
        <w:t xml:space="preserve"> </w:t>
      </w:r>
    </w:p>
    <w:p w14:paraId="36E1F58B" w14:textId="77777777" w:rsidR="009E76BE" w:rsidRPr="008D5CB9" w:rsidRDefault="009E76BE" w:rsidP="003A19DF">
      <w:pPr>
        <w:spacing w:after="0" w:line="480" w:lineRule="auto"/>
        <w:rPr>
          <w:rFonts w:eastAsia="Times New Roman" w:cstheme="minorHAnsi"/>
          <w:color w:val="000000"/>
          <w:sz w:val="24"/>
          <w:szCs w:val="24"/>
          <w:lang w:val="en-US"/>
        </w:rPr>
      </w:pPr>
      <w:r w:rsidRPr="00187DEF">
        <w:rPr>
          <w:rFonts w:cstheme="minorHAnsi"/>
          <w:sz w:val="24"/>
          <w:szCs w:val="24"/>
          <w:lang w:val="en-US"/>
        </w:rPr>
        <w:t xml:space="preserve">The most frequent STs identified were ST235 (16, 21.3%) and ST357 (8, 10.7%) (Figure 2). All but one ST235 isolate were resistant to all tested </w:t>
      </w:r>
      <w:r w:rsidRPr="00187DEF">
        <w:rPr>
          <w:rFonts w:cstheme="minorHAnsi"/>
          <w:sz w:val="24"/>
          <w:szCs w:val="24"/>
          <w:lang w:val="en-US"/>
        </w:rPr>
        <w:sym w:font="Symbol" w:char="F062"/>
      </w:r>
      <w:r w:rsidRPr="00187DEF">
        <w:rPr>
          <w:rFonts w:cstheme="minorHAnsi"/>
          <w:sz w:val="24"/>
          <w:szCs w:val="24"/>
          <w:lang w:val="en-US"/>
        </w:rPr>
        <w:t>-lactam agents. Furthermore, amongst the 16 ST235 MDR-</w:t>
      </w:r>
      <w:r w:rsidRPr="00187DEF">
        <w:rPr>
          <w:rFonts w:cstheme="minorHAnsi"/>
          <w:i/>
          <w:iCs/>
          <w:sz w:val="24"/>
          <w:szCs w:val="24"/>
          <w:lang w:val="en-US"/>
        </w:rPr>
        <w:t>P. aeruginosa</w:t>
      </w:r>
      <w:r w:rsidRPr="00187DEF">
        <w:rPr>
          <w:rFonts w:cstheme="minorHAnsi"/>
          <w:sz w:val="24"/>
          <w:szCs w:val="24"/>
          <w:lang w:val="en-US"/>
        </w:rPr>
        <w:t xml:space="preserve"> isolates included in this study, MBL were detected in nine (56.3%), </w:t>
      </w:r>
      <w:r w:rsidRPr="00187DEF">
        <w:rPr>
          <w:rFonts w:cstheme="minorHAnsi"/>
          <w:i/>
          <w:iCs/>
          <w:sz w:val="24"/>
          <w:szCs w:val="24"/>
          <w:lang w:val="en-US"/>
        </w:rPr>
        <w:t>bla</w:t>
      </w:r>
      <w:r w:rsidRPr="00187DEF">
        <w:rPr>
          <w:rFonts w:cstheme="minorHAnsi"/>
          <w:sz w:val="24"/>
          <w:szCs w:val="24"/>
          <w:vertAlign w:val="subscript"/>
          <w:lang w:val="en-US"/>
        </w:rPr>
        <w:t>VEB-9</w:t>
      </w:r>
      <w:r w:rsidRPr="00187DEF">
        <w:rPr>
          <w:rFonts w:cstheme="minorHAnsi"/>
          <w:sz w:val="24"/>
          <w:szCs w:val="24"/>
          <w:lang w:val="en-US"/>
        </w:rPr>
        <w:t xml:space="preserve"> in 8 (50%), </w:t>
      </w:r>
      <w:r w:rsidRPr="00187DEF">
        <w:rPr>
          <w:rFonts w:cstheme="minorHAnsi"/>
          <w:i/>
          <w:iCs/>
          <w:sz w:val="24"/>
          <w:szCs w:val="24"/>
          <w:lang w:val="en-US"/>
        </w:rPr>
        <w:t>bla</w:t>
      </w:r>
      <w:r w:rsidRPr="00187DEF">
        <w:rPr>
          <w:rFonts w:cstheme="minorHAnsi"/>
          <w:sz w:val="24"/>
          <w:szCs w:val="24"/>
          <w:vertAlign w:val="subscript"/>
          <w:lang w:val="en-US"/>
        </w:rPr>
        <w:t>PDC-2</w:t>
      </w:r>
      <w:r w:rsidRPr="00187DEF">
        <w:rPr>
          <w:rFonts w:cstheme="minorHAnsi"/>
          <w:sz w:val="24"/>
          <w:szCs w:val="24"/>
          <w:lang w:val="en-US"/>
        </w:rPr>
        <w:t xml:space="preserve"> in 15 (93.8%), and </w:t>
      </w:r>
      <w:r w:rsidRPr="00187DEF">
        <w:rPr>
          <w:rFonts w:cstheme="minorHAnsi"/>
          <w:i/>
          <w:iCs/>
          <w:sz w:val="24"/>
          <w:szCs w:val="24"/>
          <w:lang w:val="en-US"/>
        </w:rPr>
        <w:t>bla</w:t>
      </w:r>
      <w:r w:rsidRPr="00187DEF">
        <w:rPr>
          <w:rFonts w:cstheme="minorHAnsi"/>
          <w:sz w:val="24"/>
          <w:szCs w:val="24"/>
          <w:vertAlign w:val="subscript"/>
          <w:lang w:val="en-US"/>
        </w:rPr>
        <w:t>OXA-10</w:t>
      </w:r>
      <w:r w:rsidRPr="00187DEF">
        <w:rPr>
          <w:rFonts w:cstheme="minorHAnsi"/>
          <w:sz w:val="24"/>
          <w:szCs w:val="24"/>
          <w:lang w:val="en-US"/>
        </w:rPr>
        <w:t xml:space="preserve"> and </w:t>
      </w:r>
      <w:r w:rsidRPr="00187DEF">
        <w:rPr>
          <w:rFonts w:cstheme="minorHAnsi"/>
          <w:i/>
          <w:iCs/>
          <w:sz w:val="24"/>
          <w:szCs w:val="24"/>
          <w:lang w:val="en-US"/>
        </w:rPr>
        <w:t>bla</w:t>
      </w:r>
      <w:r w:rsidRPr="00187DEF">
        <w:rPr>
          <w:rFonts w:cstheme="minorHAnsi"/>
          <w:sz w:val="24"/>
          <w:szCs w:val="24"/>
          <w:vertAlign w:val="subscript"/>
          <w:lang w:val="en-US"/>
        </w:rPr>
        <w:t>OXA-50</w:t>
      </w:r>
      <w:r w:rsidRPr="00187DEF">
        <w:rPr>
          <w:rFonts w:cstheme="minorHAnsi"/>
          <w:sz w:val="24"/>
          <w:szCs w:val="24"/>
          <w:lang w:val="en-US"/>
        </w:rPr>
        <w:t xml:space="preserve"> in all 16 (100%). There were five ST233 MDR-</w:t>
      </w:r>
      <w:r w:rsidRPr="00187DEF">
        <w:rPr>
          <w:rFonts w:cstheme="minorHAnsi"/>
          <w:i/>
          <w:iCs/>
          <w:sz w:val="24"/>
          <w:szCs w:val="24"/>
          <w:lang w:val="en-US"/>
        </w:rPr>
        <w:t>P. aeruginosa</w:t>
      </w:r>
      <w:r w:rsidRPr="00187DEF">
        <w:rPr>
          <w:rFonts w:cstheme="minorHAnsi"/>
          <w:sz w:val="24"/>
          <w:szCs w:val="24"/>
          <w:lang w:val="en-US"/>
        </w:rPr>
        <w:t xml:space="preserve"> isolates</w:t>
      </w:r>
      <w:r w:rsidRPr="00187DEF">
        <w:rPr>
          <w:rFonts w:eastAsia="Times New Roman" w:cstheme="minorHAnsi"/>
          <w:color w:val="000000"/>
          <w:sz w:val="24"/>
          <w:szCs w:val="24"/>
          <w:lang w:val="en-US"/>
        </w:rPr>
        <w:t xml:space="preserve">; all possessed </w:t>
      </w:r>
      <w:r w:rsidRPr="00187DEF">
        <w:rPr>
          <w:rFonts w:cstheme="minorHAnsi"/>
          <w:i/>
          <w:iCs/>
          <w:sz w:val="24"/>
          <w:szCs w:val="24"/>
          <w:lang w:val="en-US"/>
        </w:rPr>
        <w:t>bla</w:t>
      </w:r>
      <w:r w:rsidRPr="00187DEF">
        <w:rPr>
          <w:rFonts w:eastAsia="Times New Roman" w:cstheme="minorHAnsi"/>
          <w:color w:val="000000"/>
          <w:sz w:val="24"/>
          <w:szCs w:val="24"/>
          <w:vertAlign w:val="subscript"/>
          <w:lang w:val="en-US"/>
        </w:rPr>
        <w:t>VIM-2</w:t>
      </w:r>
      <w:r w:rsidRPr="00187DEF">
        <w:rPr>
          <w:rFonts w:eastAsia="Times New Roman" w:cstheme="minorHAnsi"/>
          <w:color w:val="000000"/>
          <w:sz w:val="24"/>
          <w:szCs w:val="24"/>
          <w:lang w:val="en-US"/>
        </w:rPr>
        <w:t xml:space="preserve">, </w:t>
      </w:r>
      <w:r w:rsidRPr="00187DEF">
        <w:rPr>
          <w:rFonts w:cstheme="minorHAnsi"/>
          <w:i/>
          <w:iCs/>
          <w:sz w:val="24"/>
          <w:szCs w:val="24"/>
          <w:lang w:val="en-US"/>
        </w:rPr>
        <w:t>bla</w:t>
      </w:r>
      <w:r w:rsidRPr="00187DEF">
        <w:rPr>
          <w:rFonts w:eastAsia="Times New Roman" w:cstheme="minorHAnsi"/>
          <w:color w:val="000000"/>
          <w:sz w:val="24"/>
          <w:szCs w:val="24"/>
          <w:vertAlign w:val="subscript"/>
          <w:lang w:val="en-US"/>
        </w:rPr>
        <w:t>PDC-3</w:t>
      </w:r>
      <w:r w:rsidRPr="00187DEF">
        <w:rPr>
          <w:rFonts w:eastAsia="Times New Roman" w:cstheme="minorHAnsi"/>
          <w:color w:val="000000"/>
          <w:sz w:val="24"/>
          <w:szCs w:val="24"/>
          <w:lang w:val="en-US"/>
        </w:rPr>
        <w:t xml:space="preserve">, </w:t>
      </w:r>
      <w:r w:rsidRPr="00187DEF">
        <w:rPr>
          <w:rFonts w:cstheme="minorHAnsi"/>
          <w:i/>
          <w:iCs/>
          <w:sz w:val="24"/>
          <w:szCs w:val="24"/>
          <w:lang w:val="en-US"/>
        </w:rPr>
        <w:t>bla</w:t>
      </w:r>
      <w:r w:rsidRPr="00187DEF">
        <w:rPr>
          <w:rFonts w:eastAsia="Times New Roman" w:cstheme="minorHAnsi"/>
          <w:color w:val="000000"/>
          <w:sz w:val="24"/>
          <w:szCs w:val="24"/>
          <w:vertAlign w:val="subscript"/>
          <w:lang w:val="en-US"/>
        </w:rPr>
        <w:t>OXA-4</w:t>
      </w:r>
      <w:r w:rsidRPr="00187DEF">
        <w:rPr>
          <w:rFonts w:eastAsia="Times New Roman" w:cstheme="minorHAnsi"/>
          <w:color w:val="000000"/>
          <w:sz w:val="24"/>
          <w:szCs w:val="24"/>
          <w:lang w:val="en-US"/>
        </w:rPr>
        <w:t xml:space="preserve"> and </w:t>
      </w:r>
      <w:r w:rsidRPr="00187DEF">
        <w:rPr>
          <w:rFonts w:cstheme="minorHAnsi"/>
          <w:i/>
          <w:iCs/>
          <w:sz w:val="24"/>
          <w:szCs w:val="24"/>
          <w:lang w:val="en-US"/>
        </w:rPr>
        <w:t>bla</w:t>
      </w:r>
      <w:r w:rsidRPr="00187DEF">
        <w:rPr>
          <w:rFonts w:eastAsia="Times New Roman" w:cstheme="minorHAnsi"/>
          <w:color w:val="000000"/>
          <w:sz w:val="24"/>
          <w:szCs w:val="24"/>
          <w:vertAlign w:val="subscript"/>
          <w:lang w:val="en-US"/>
        </w:rPr>
        <w:t>OXA-486</w:t>
      </w:r>
      <w:r w:rsidRPr="00187DEF">
        <w:rPr>
          <w:rFonts w:eastAsia="Times New Roman" w:cstheme="minorHAnsi"/>
          <w:color w:val="000000"/>
          <w:sz w:val="24"/>
          <w:szCs w:val="24"/>
          <w:lang w:val="en-US"/>
        </w:rPr>
        <w:t xml:space="preserve">, and four (80%) of them were resistant to all tested </w:t>
      </w:r>
      <w:r w:rsidRPr="00187DEF">
        <w:rPr>
          <w:rFonts w:eastAsia="Times New Roman" w:cstheme="minorHAnsi"/>
          <w:color w:val="000000"/>
          <w:sz w:val="24"/>
          <w:szCs w:val="24"/>
          <w:lang w:val="en-US"/>
        </w:rPr>
        <w:sym w:font="Symbol" w:char="F062"/>
      </w:r>
      <w:r w:rsidRPr="00187DEF">
        <w:rPr>
          <w:rFonts w:eastAsia="Times New Roman" w:cstheme="minorHAnsi"/>
          <w:color w:val="000000"/>
          <w:sz w:val="24"/>
          <w:szCs w:val="24"/>
          <w:lang w:val="en-US"/>
        </w:rPr>
        <w:t xml:space="preserve">-lactams except aztreonam. Different </w:t>
      </w:r>
      <w:r w:rsidRPr="00187DEF">
        <w:rPr>
          <w:rFonts w:cstheme="minorHAnsi"/>
          <w:sz w:val="24"/>
          <w:szCs w:val="24"/>
          <w:lang w:val="en-US"/>
        </w:rPr>
        <w:t xml:space="preserve">patterns of </w:t>
      </w:r>
      <w:r w:rsidRPr="00187DEF">
        <w:rPr>
          <w:rFonts w:cstheme="minorHAnsi"/>
          <w:sz w:val="24"/>
          <w:szCs w:val="24"/>
          <w:lang w:val="en-US"/>
        </w:rPr>
        <w:sym w:font="Symbol" w:char="F062"/>
      </w:r>
      <w:r w:rsidRPr="00187DEF">
        <w:rPr>
          <w:rFonts w:cstheme="minorHAnsi"/>
          <w:sz w:val="24"/>
          <w:szCs w:val="24"/>
          <w:lang w:val="en-US"/>
        </w:rPr>
        <w:t xml:space="preserve">-lactamase genes and </w:t>
      </w:r>
      <w:r w:rsidRPr="00187DEF">
        <w:rPr>
          <w:rFonts w:cstheme="minorHAnsi"/>
          <w:sz w:val="24"/>
          <w:szCs w:val="24"/>
          <w:lang w:val="en-US"/>
        </w:rPr>
        <w:sym w:font="Symbol" w:char="F062"/>
      </w:r>
      <w:r w:rsidRPr="00187DEF">
        <w:rPr>
          <w:rFonts w:cstheme="minorHAnsi"/>
          <w:sz w:val="24"/>
          <w:szCs w:val="24"/>
          <w:lang w:val="en-US"/>
        </w:rPr>
        <w:t>-lactam susceptibility were observed in other STs (Table S2, Additional File 1).</w:t>
      </w:r>
      <w:r w:rsidRPr="008D5CB9">
        <w:rPr>
          <w:rFonts w:cstheme="minorHAnsi"/>
          <w:sz w:val="24"/>
          <w:szCs w:val="24"/>
          <w:lang w:val="en-US"/>
        </w:rPr>
        <w:t xml:space="preserve">  </w:t>
      </w:r>
    </w:p>
    <w:p w14:paraId="1595AB24" w14:textId="77777777" w:rsidR="009E76BE" w:rsidRPr="009917C7" w:rsidRDefault="009E76BE" w:rsidP="003A19DF">
      <w:pPr>
        <w:spacing w:after="0" w:line="480" w:lineRule="auto"/>
        <w:jc w:val="both"/>
        <w:rPr>
          <w:rFonts w:eastAsia="Calibri" w:cstheme="minorHAnsi"/>
          <w:color w:val="000000" w:themeColor="text1"/>
          <w:kern w:val="24"/>
          <w:sz w:val="24"/>
          <w:szCs w:val="24"/>
          <w:lang w:val="en-US" w:eastAsia="en-GB"/>
        </w:rPr>
      </w:pPr>
      <w:r w:rsidRPr="009917C7">
        <w:rPr>
          <w:rFonts w:eastAsia="Calibri" w:cstheme="minorHAnsi"/>
          <w:b/>
          <w:color w:val="000000" w:themeColor="text1"/>
          <w:kern w:val="24"/>
          <w:sz w:val="24"/>
          <w:szCs w:val="24"/>
          <w:lang w:val="en-US" w:eastAsia="en-GB"/>
        </w:rPr>
        <w:t xml:space="preserve">Discussion </w:t>
      </w:r>
    </w:p>
    <w:p w14:paraId="29D34F28" w14:textId="77777777" w:rsidR="009E76BE" w:rsidRDefault="009E76BE" w:rsidP="007111B2">
      <w:pPr>
        <w:spacing w:after="0" w:line="480" w:lineRule="auto"/>
        <w:rPr>
          <w:rFonts w:eastAsia="Times New Roman" w:cstheme="minorHAnsi"/>
          <w:sz w:val="24"/>
          <w:szCs w:val="24"/>
          <w:lang w:val="en-US" w:eastAsia="en-GB"/>
        </w:rPr>
      </w:pPr>
      <w:r w:rsidRPr="007A4E54">
        <w:rPr>
          <w:rFonts w:eastAsia="Times New Roman" w:cstheme="minorHAnsi"/>
          <w:sz w:val="24"/>
          <w:szCs w:val="24"/>
          <w:lang w:val="en-US" w:eastAsia="en-GB"/>
        </w:rPr>
        <w:t xml:space="preserve">The </w:t>
      </w:r>
      <w:r>
        <w:rPr>
          <w:rFonts w:eastAsia="Times New Roman" w:cstheme="minorHAnsi"/>
          <w:sz w:val="24"/>
          <w:szCs w:val="24"/>
          <w:lang w:val="en-US" w:eastAsia="en-GB"/>
        </w:rPr>
        <w:t xml:space="preserve">present </w:t>
      </w:r>
      <w:r w:rsidRPr="007A4E54">
        <w:rPr>
          <w:rFonts w:eastAsia="Times New Roman" w:cstheme="minorHAnsi"/>
          <w:sz w:val="24"/>
          <w:szCs w:val="24"/>
          <w:lang w:val="en-US" w:eastAsia="en-GB"/>
        </w:rPr>
        <w:t>study included MDR-</w:t>
      </w:r>
      <w:r w:rsidRPr="007A4E54">
        <w:rPr>
          <w:rFonts w:eastAsia="Times New Roman" w:cstheme="minorHAnsi"/>
          <w:i/>
          <w:iCs/>
          <w:sz w:val="24"/>
          <w:szCs w:val="24"/>
          <w:lang w:val="en-US" w:eastAsia="en-GB"/>
        </w:rPr>
        <w:t>P. aeruginosa</w:t>
      </w:r>
      <w:r w:rsidRPr="00FB5501">
        <w:rPr>
          <w:rFonts w:eastAsia="Times New Roman" w:cstheme="minorHAnsi"/>
          <w:sz w:val="24"/>
          <w:szCs w:val="24"/>
          <w:lang w:val="en-US" w:eastAsia="en-GB"/>
        </w:rPr>
        <w:t xml:space="preserve"> isolates from a national diagnostic microbiology laboratory</w:t>
      </w:r>
      <w:r w:rsidRPr="00D3714F">
        <w:rPr>
          <w:rFonts w:eastAsia="Times New Roman" w:cstheme="minorHAnsi"/>
          <w:sz w:val="24"/>
          <w:szCs w:val="24"/>
          <w:lang w:val="en-US" w:eastAsia="en-GB"/>
        </w:rPr>
        <w:t xml:space="preserve"> in Qatar and are therefore representative of the whole country. Notably, MDR-</w:t>
      </w:r>
      <w:r w:rsidRPr="00A770AA">
        <w:rPr>
          <w:rFonts w:eastAsia="Times New Roman" w:cstheme="minorHAnsi"/>
          <w:i/>
          <w:iCs/>
          <w:sz w:val="24"/>
          <w:szCs w:val="24"/>
          <w:lang w:val="en-US" w:eastAsia="en-GB"/>
        </w:rPr>
        <w:t>P. aeruginosa</w:t>
      </w:r>
      <w:r w:rsidRPr="00A770AA">
        <w:rPr>
          <w:rFonts w:eastAsia="Times New Roman" w:cstheme="minorHAnsi"/>
          <w:sz w:val="24"/>
          <w:szCs w:val="24"/>
          <w:lang w:val="en-US" w:eastAsia="en-GB"/>
        </w:rPr>
        <w:t xml:space="preserve"> in Qatar are highly resistant to </w:t>
      </w:r>
      <w:r w:rsidRPr="00422FE4">
        <w:rPr>
          <w:rFonts w:eastAsia="Times New Roman" w:cstheme="minorHAnsi"/>
          <w:sz w:val="24"/>
          <w:szCs w:val="24"/>
          <w:lang w:val="en-US" w:eastAsia="en-GB"/>
        </w:rPr>
        <w:sym w:font="Symbol" w:char="F062"/>
      </w:r>
      <w:r w:rsidRPr="00422FE4">
        <w:rPr>
          <w:rFonts w:eastAsia="Times New Roman" w:cstheme="minorHAnsi"/>
          <w:sz w:val="24"/>
          <w:szCs w:val="24"/>
          <w:lang w:val="en-US" w:eastAsia="en-GB"/>
        </w:rPr>
        <w:t xml:space="preserve">-lactam agents. The most active </w:t>
      </w:r>
      <w:bookmarkStart w:id="2" w:name="_Hlk45207331"/>
      <w:r w:rsidRPr="00422FE4">
        <w:rPr>
          <w:rFonts w:eastAsia="Times New Roman" w:cstheme="minorHAnsi"/>
          <w:sz w:val="24"/>
          <w:szCs w:val="24"/>
          <w:lang w:val="en-US" w:eastAsia="en-GB"/>
        </w:rPr>
        <w:sym w:font="Symbol" w:char="F062"/>
      </w:r>
      <w:r w:rsidRPr="00422FE4">
        <w:rPr>
          <w:rFonts w:eastAsia="Times New Roman" w:cstheme="minorHAnsi"/>
          <w:sz w:val="24"/>
          <w:szCs w:val="24"/>
          <w:lang w:val="en-US" w:eastAsia="en-GB"/>
        </w:rPr>
        <w:t>-lactam</w:t>
      </w:r>
      <w:r>
        <w:rPr>
          <w:rFonts w:eastAsia="Times New Roman" w:cstheme="minorHAnsi"/>
          <w:sz w:val="24"/>
          <w:szCs w:val="24"/>
          <w:lang w:val="en-US" w:eastAsia="en-GB"/>
        </w:rPr>
        <w:t xml:space="preserve"> </w:t>
      </w:r>
      <w:bookmarkEnd w:id="2"/>
      <w:r>
        <w:rPr>
          <w:rFonts w:eastAsia="Times New Roman" w:cstheme="minorHAnsi"/>
          <w:sz w:val="24"/>
          <w:szCs w:val="24"/>
          <w:lang w:val="en-US" w:eastAsia="en-GB"/>
        </w:rPr>
        <w:t>antibiotic</w:t>
      </w:r>
      <w:r w:rsidRPr="00422FE4">
        <w:rPr>
          <w:rFonts w:eastAsia="Times New Roman" w:cstheme="minorHAnsi"/>
          <w:sz w:val="24"/>
          <w:szCs w:val="24"/>
          <w:lang w:val="en-US" w:eastAsia="en-GB"/>
        </w:rPr>
        <w:t>s in this study</w:t>
      </w:r>
      <w:r>
        <w:rPr>
          <w:rFonts w:eastAsia="Times New Roman" w:cstheme="minorHAnsi"/>
          <w:sz w:val="24"/>
          <w:szCs w:val="24"/>
          <w:lang w:val="en-US" w:eastAsia="en-GB"/>
        </w:rPr>
        <w:t xml:space="preserve"> were those in combination with </w:t>
      </w:r>
      <w:r w:rsidRPr="00422FE4">
        <w:rPr>
          <w:rFonts w:eastAsia="Times New Roman" w:cstheme="minorHAnsi"/>
          <w:sz w:val="24"/>
          <w:szCs w:val="24"/>
          <w:lang w:val="en-US" w:eastAsia="en-GB"/>
        </w:rPr>
        <w:sym w:font="Symbol" w:char="F062"/>
      </w:r>
      <w:r w:rsidRPr="00422FE4">
        <w:rPr>
          <w:rFonts w:eastAsia="Times New Roman" w:cstheme="minorHAnsi"/>
          <w:sz w:val="24"/>
          <w:szCs w:val="24"/>
          <w:lang w:val="en-US" w:eastAsia="en-GB"/>
        </w:rPr>
        <w:t>-lactam</w:t>
      </w:r>
      <w:r>
        <w:rPr>
          <w:rFonts w:eastAsia="Times New Roman" w:cstheme="minorHAnsi"/>
          <w:sz w:val="24"/>
          <w:szCs w:val="24"/>
          <w:lang w:val="en-US" w:eastAsia="en-GB"/>
        </w:rPr>
        <w:t>ase inhibitors</w:t>
      </w:r>
      <w:r w:rsidRPr="00422FE4">
        <w:rPr>
          <w:rFonts w:eastAsia="Times New Roman" w:cstheme="minorHAnsi"/>
          <w:sz w:val="24"/>
          <w:szCs w:val="24"/>
          <w:lang w:val="en-US" w:eastAsia="en-GB"/>
        </w:rPr>
        <w:t>, ceftazidime-avibactam</w:t>
      </w:r>
      <w:r w:rsidRPr="00FD5CDD">
        <w:rPr>
          <w:rFonts w:eastAsia="Times New Roman" w:cstheme="minorHAnsi"/>
          <w:sz w:val="24"/>
          <w:szCs w:val="24"/>
          <w:lang w:val="en-US" w:eastAsia="en-GB"/>
        </w:rPr>
        <w:t xml:space="preserve"> and ceftolozane-tazobactam, were not available for clinical use at the time of the study. Yet, less than half of the isolates were susceptible. Given their recent availability for patients in Qatar, the result</w:t>
      </w:r>
      <w:r w:rsidRPr="00416FC2">
        <w:rPr>
          <w:rFonts w:eastAsia="Times New Roman" w:cstheme="minorHAnsi"/>
          <w:sz w:val="24"/>
          <w:szCs w:val="24"/>
          <w:lang w:val="en-US" w:eastAsia="en-GB"/>
        </w:rPr>
        <w:t>s reported demonstrate the importance of their appropriate clinical use to minimize further loss of activity</w:t>
      </w:r>
      <w:r>
        <w:rPr>
          <w:rFonts w:eastAsia="Times New Roman" w:cstheme="minorHAnsi"/>
          <w:sz w:val="24"/>
          <w:szCs w:val="24"/>
          <w:lang w:val="en-US" w:eastAsia="en-GB"/>
        </w:rPr>
        <w:t xml:space="preserve"> </w:t>
      </w:r>
      <w:r>
        <w:rPr>
          <w:rFonts w:eastAsia="Times New Roman" w:cstheme="minorHAnsi"/>
          <w:noProof/>
          <w:sz w:val="24"/>
          <w:szCs w:val="24"/>
          <w:lang w:val="en-US" w:eastAsia="en-GB"/>
        </w:rPr>
        <w:t>[5]</w:t>
      </w:r>
      <w:r>
        <w:rPr>
          <w:rFonts w:eastAsia="Times New Roman" w:cstheme="minorHAnsi"/>
          <w:sz w:val="24"/>
          <w:szCs w:val="24"/>
          <w:lang w:val="en-US" w:eastAsia="en-GB"/>
        </w:rPr>
        <w:t xml:space="preserve">. </w:t>
      </w:r>
    </w:p>
    <w:p w14:paraId="2A908B86" w14:textId="77777777" w:rsidR="009E76BE" w:rsidRPr="00C65160" w:rsidRDefault="009E76BE" w:rsidP="007111B2">
      <w:pPr>
        <w:spacing w:after="0" w:line="480" w:lineRule="auto"/>
        <w:rPr>
          <w:rFonts w:eastAsia="Times New Roman" w:cstheme="minorHAnsi"/>
          <w:sz w:val="24"/>
          <w:szCs w:val="24"/>
          <w:lang w:val="en-US" w:eastAsia="en-GB"/>
        </w:rPr>
      </w:pPr>
      <w:r w:rsidRPr="00187DEF">
        <w:rPr>
          <w:rFonts w:eastAsia="Times New Roman" w:cstheme="minorHAnsi"/>
          <w:sz w:val="24"/>
          <w:szCs w:val="24"/>
          <w:lang w:val="en-US" w:eastAsia="en-GB"/>
        </w:rPr>
        <w:t xml:space="preserve">This report included 20 (26.67%) isolates that possessed 21 MBL-encoding genes (16 </w:t>
      </w:r>
      <w:r w:rsidRPr="00187DEF">
        <w:rPr>
          <w:rFonts w:eastAsia="Times New Roman" w:cstheme="minorHAnsi"/>
          <w:i/>
          <w:iCs/>
          <w:sz w:val="24"/>
          <w:szCs w:val="24"/>
          <w:lang w:val="en-US" w:eastAsia="en-GB"/>
        </w:rPr>
        <w:t>bla</w:t>
      </w:r>
      <w:r w:rsidRPr="00187DEF">
        <w:rPr>
          <w:rFonts w:eastAsia="Times New Roman" w:cstheme="minorHAnsi"/>
          <w:sz w:val="24"/>
          <w:szCs w:val="24"/>
          <w:vertAlign w:val="subscript"/>
          <w:lang w:val="en-US" w:eastAsia="en-GB"/>
        </w:rPr>
        <w:t>VIM</w:t>
      </w:r>
      <w:r w:rsidR="00AF0018" w:rsidRPr="00187DEF">
        <w:rPr>
          <w:rFonts w:eastAsia="Times New Roman" w:cstheme="minorHAnsi"/>
          <w:sz w:val="24"/>
          <w:szCs w:val="24"/>
          <w:vertAlign w:val="subscript"/>
          <w:lang w:val="en-US" w:eastAsia="en-GB"/>
        </w:rPr>
        <w:t>-</w:t>
      </w:r>
      <w:r w:rsidRPr="00187DEF">
        <w:rPr>
          <w:rFonts w:eastAsia="Times New Roman" w:cstheme="minorHAnsi"/>
          <w:sz w:val="24"/>
          <w:szCs w:val="24"/>
          <w:vertAlign w:val="subscript"/>
          <w:lang w:val="en-US" w:eastAsia="en-GB"/>
        </w:rPr>
        <w:t>2</w:t>
      </w:r>
      <w:r w:rsidRPr="00187DEF">
        <w:rPr>
          <w:rFonts w:eastAsia="Times New Roman" w:cstheme="minorHAnsi"/>
          <w:sz w:val="24"/>
          <w:szCs w:val="24"/>
          <w:lang w:val="en-US" w:eastAsia="en-GB"/>
        </w:rPr>
        <w:t xml:space="preserve">, 2 </w:t>
      </w:r>
      <w:r w:rsidRPr="00187DEF">
        <w:rPr>
          <w:rFonts w:eastAsia="Times New Roman" w:cstheme="minorHAnsi"/>
          <w:i/>
          <w:iCs/>
          <w:sz w:val="24"/>
          <w:szCs w:val="24"/>
          <w:lang w:val="en-US" w:eastAsia="en-GB"/>
        </w:rPr>
        <w:t>bla</w:t>
      </w:r>
      <w:r w:rsidRPr="00187DEF">
        <w:rPr>
          <w:rFonts w:eastAsia="Times New Roman" w:cstheme="minorHAnsi"/>
          <w:sz w:val="24"/>
          <w:szCs w:val="24"/>
          <w:vertAlign w:val="subscript"/>
          <w:lang w:val="en-US" w:eastAsia="en-GB"/>
        </w:rPr>
        <w:t xml:space="preserve">VIM-5, </w:t>
      </w:r>
      <w:r w:rsidRPr="00187DEF">
        <w:rPr>
          <w:rFonts w:eastAsia="Times New Roman" w:cstheme="minorHAnsi"/>
          <w:sz w:val="24"/>
          <w:szCs w:val="24"/>
          <w:lang w:val="en-US" w:eastAsia="en-GB"/>
        </w:rPr>
        <w:t xml:space="preserve">and 3 </w:t>
      </w:r>
      <w:r w:rsidRPr="00187DEF">
        <w:rPr>
          <w:rFonts w:eastAsia="Times New Roman" w:cstheme="minorHAnsi"/>
          <w:i/>
          <w:iCs/>
          <w:sz w:val="24"/>
          <w:szCs w:val="24"/>
          <w:lang w:val="en-US" w:eastAsia="en-GB"/>
        </w:rPr>
        <w:t>bla</w:t>
      </w:r>
      <w:r w:rsidRPr="00187DEF">
        <w:rPr>
          <w:rFonts w:eastAsia="Times New Roman" w:cstheme="minorHAnsi"/>
          <w:sz w:val="24"/>
          <w:szCs w:val="24"/>
          <w:vertAlign w:val="subscript"/>
          <w:lang w:val="en-US" w:eastAsia="en-GB"/>
        </w:rPr>
        <w:t>IMP-2</w:t>
      </w:r>
      <w:r w:rsidRPr="00187DEF">
        <w:rPr>
          <w:rFonts w:eastAsia="Times New Roman" w:cstheme="minorHAnsi"/>
          <w:sz w:val="24"/>
          <w:szCs w:val="24"/>
          <w:lang w:val="en-US" w:eastAsia="en-GB"/>
        </w:rPr>
        <w:t xml:space="preserve">) (Table S1 and Table 2, Additional File 1). This is consistent with </w:t>
      </w:r>
      <w:r w:rsidRPr="00187DEF">
        <w:rPr>
          <w:rFonts w:eastAsia="Times New Roman" w:cstheme="minorHAnsi"/>
          <w:sz w:val="24"/>
          <w:szCs w:val="24"/>
          <w:lang w:val="en-US" w:eastAsia="en-GB"/>
        </w:rPr>
        <w:lastRenderedPageBreak/>
        <w:t xml:space="preserve">the known predominance of Verona integron-encoded metallo-β-lactamases (VIM), and to a lesser extent imipenemases (IMP), in </w:t>
      </w:r>
      <w:r w:rsidRPr="00187DEF">
        <w:rPr>
          <w:rFonts w:eastAsia="Times New Roman" w:cstheme="minorHAnsi"/>
          <w:i/>
          <w:iCs/>
          <w:sz w:val="24"/>
          <w:szCs w:val="24"/>
          <w:lang w:val="en-US" w:eastAsia="en-GB"/>
        </w:rPr>
        <w:t>P. aeruginosa</w:t>
      </w:r>
      <w:r w:rsidRPr="00187DEF">
        <w:rPr>
          <w:rFonts w:eastAsia="Times New Roman" w:cstheme="minorHAnsi"/>
          <w:sz w:val="24"/>
          <w:szCs w:val="24"/>
          <w:lang w:val="en-US" w:eastAsia="en-GB"/>
        </w:rPr>
        <w:t xml:space="preserve"> from the Middle East </w:t>
      </w:r>
      <w:r w:rsidRPr="00187DEF">
        <w:rPr>
          <w:rFonts w:eastAsia="Times New Roman" w:cstheme="minorHAnsi"/>
          <w:noProof/>
          <w:sz w:val="24"/>
          <w:szCs w:val="24"/>
          <w:lang w:val="en-US" w:eastAsia="en-GB"/>
        </w:rPr>
        <w:t>[6-8]</w:t>
      </w:r>
      <w:r w:rsidRPr="00187DEF">
        <w:rPr>
          <w:rFonts w:eastAsia="Times New Roman" w:cstheme="minorHAnsi"/>
          <w:sz w:val="24"/>
          <w:szCs w:val="24"/>
          <w:lang w:val="en-US" w:eastAsia="en-GB"/>
        </w:rPr>
        <w:t>. Unlike other geographic settings, New Delhi metallo-</w:t>
      </w:r>
      <w:r w:rsidRPr="00187DEF">
        <w:rPr>
          <w:rFonts w:eastAsia="Times New Roman" w:cstheme="minorHAnsi"/>
          <w:sz w:val="24"/>
          <w:szCs w:val="24"/>
          <w:lang w:val="en-US" w:eastAsia="en-GB"/>
        </w:rPr>
        <w:sym w:font="Symbol" w:char="F062"/>
      </w:r>
      <w:r w:rsidRPr="00187DEF">
        <w:rPr>
          <w:rFonts w:eastAsia="Times New Roman" w:cstheme="minorHAnsi"/>
          <w:sz w:val="24"/>
          <w:szCs w:val="24"/>
          <w:lang w:val="en-US" w:eastAsia="en-GB"/>
        </w:rPr>
        <w:t xml:space="preserve">-lactamases (NDM) have not been detected in </w:t>
      </w:r>
      <w:r w:rsidRPr="00187DEF">
        <w:rPr>
          <w:rFonts w:eastAsia="Times New Roman" w:cstheme="minorHAnsi"/>
          <w:i/>
          <w:iCs/>
          <w:sz w:val="24"/>
          <w:szCs w:val="24"/>
          <w:lang w:val="en-US" w:eastAsia="en-GB"/>
        </w:rPr>
        <w:t>P. aeruginosa</w:t>
      </w:r>
      <w:r w:rsidRPr="00187DEF">
        <w:rPr>
          <w:rFonts w:eastAsia="Times New Roman" w:cstheme="minorHAnsi"/>
          <w:sz w:val="24"/>
          <w:szCs w:val="24"/>
          <w:lang w:val="en-US" w:eastAsia="en-GB"/>
        </w:rPr>
        <w:t xml:space="preserve"> from the Arabian Peninsula </w:t>
      </w:r>
      <w:r w:rsidRPr="00187DEF">
        <w:rPr>
          <w:rFonts w:eastAsia="Times New Roman" w:cstheme="minorHAnsi"/>
          <w:noProof/>
          <w:sz w:val="24"/>
          <w:szCs w:val="24"/>
          <w:lang w:val="en-US" w:eastAsia="en-GB"/>
        </w:rPr>
        <w:t>[7, 9]</w:t>
      </w:r>
      <w:r w:rsidRPr="00187DEF">
        <w:rPr>
          <w:rFonts w:eastAsia="Times New Roman" w:cstheme="minorHAnsi"/>
          <w:sz w:val="24"/>
          <w:szCs w:val="24"/>
          <w:lang w:val="en-US" w:eastAsia="en-GB"/>
        </w:rPr>
        <w:t>.</w:t>
      </w:r>
      <w:r w:rsidRPr="00C65160">
        <w:rPr>
          <w:rFonts w:eastAsia="Times New Roman" w:cstheme="minorHAnsi"/>
          <w:sz w:val="24"/>
          <w:szCs w:val="24"/>
          <w:lang w:val="en-US" w:eastAsia="en-GB"/>
        </w:rPr>
        <w:t xml:space="preserve">   </w:t>
      </w:r>
    </w:p>
    <w:p w14:paraId="06454CEE" w14:textId="77777777" w:rsidR="009E76BE" w:rsidRPr="00D63B35" w:rsidRDefault="009E76BE" w:rsidP="003A19DF">
      <w:pPr>
        <w:spacing w:after="0" w:line="480" w:lineRule="auto"/>
        <w:rPr>
          <w:rFonts w:eastAsia="Times New Roman" w:cstheme="minorHAnsi"/>
          <w:sz w:val="24"/>
          <w:szCs w:val="24"/>
          <w:lang w:val="en-US" w:eastAsia="en-GB"/>
        </w:rPr>
      </w:pPr>
      <w:r w:rsidRPr="00187DEF">
        <w:rPr>
          <w:rFonts w:eastAsia="Times New Roman" w:cstheme="minorHAnsi"/>
          <w:sz w:val="24"/>
          <w:szCs w:val="24"/>
          <w:lang w:val="en-US" w:eastAsia="en-GB"/>
        </w:rPr>
        <w:t xml:space="preserve">Apart from areas with a high prevalence of MBL in </w:t>
      </w:r>
      <w:r w:rsidRPr="00187DEF">
        <w:rPr>
          <w:rFonts w:eastAsia="Times New Roman" w:cstheme="minorHAnsi"/>
          <w:i/>
          <w:iCs/>
          <w:sz w:val="24"/>
          <w:szCs w:val="24"/>
          <w:lang w:val="en-US" w:eastAsia="en-GB"/>
        </w:rPr>
        <w:t>P. aeruginosa</w:t>
      </w:r>
      <w:r w:rsidRPr="00187DEF">
        <w:rPr>
          <w:rFonts w:eastAsia="Times New Roman" w:cstheme="minorHAnsi"/>
          <w:sz w:val="24"/>
          <w:szCs w:val="24"/>
          <w:lang w:val="en-US" w:eastAsia="en-GB"/>
        </w:rPr>
        <w:t xml:space="preserve">, the presence of Class A ESBL </w:t>
      </w:r>
      <w:r w:rsidRPr="00187DEF">
        <w:rPr>
          <w:rFonts w:eastAsia="Times New Roman" w:cstheme="minorHAnsi"/>
          <w:sz w:val="24"/>
          <w:szCs w:val="24"/>
          <w:lang w:val="en-US" w:eastAsia="en-GB"/>
        </w:rPr>
        <w:sym w:font="Symbol" w:char="F062"/>
      </w:r>
      <w:r w:rsidRPr="00187DEF">
        <w:rPr>
          <w:rFonts w:eastAsia="Times New Roman" w:cstheme="minorHAnsi"/>
          <w:sz w:val="24"/>
          <w:szCs w:val="24"/>
          <w:lang w:val="en-US" w:eastAsia="en-GB"/>
        </w:rPr>
        <w:t xml:space="preserve">-lactamases can result in resistance to ceftolozane-tazobactam </w:t>
      </w:r>
      <w:r w:rsidRPr="00187DEF">
        <w:rPr>
          <w:rFonts w:eastAsia="Times New Roman" w:cstheme="minorHAnsi"/>
          <w:noProof/>
          <w:sz w:val="24"/>
          <w:szCs w:val="24"/>
          <w:lang w:val="en-US" w:eastAsia="en-GB"/>
        </w:rPr>
        <w:t>[1]</w:t>
      </w:r>
      <w:r w:rsidRPr="00187DEF">
        <w:rPr>
          <w:rFonts w:eastAsia="Times New Roman" w:cstheme="minorHAnsi"/>
          <w:sz w:val="24"/>
          <w:szCs w:val="24"/>
          <w:lang w:val="en-US" w:eastAsia="en-GB"/>
        </w:rPr>
        <w:t xml:space="preserve">. Avibactam is an efficient inhibitor of Class A </w:t>
      </w:r>
      <w:r w:rsidRPr="00187DEF">
        <w:rPr>
          <w:rFonts w:eastAsia="Times New Roman" w:cstheme="minorHAnsi"/>
          <w:sz w:val="24"/>
          <w:szCs w:val="24"/>
          <w:lang w:val="en-US" w:eastAsia="en-GB"/>
        </w:rPr>
        <w:sym w:font="Symbol" w:char="F062"/>
      </w:r>
      <w:r w:rsidRPr="00187DEF">
        <w:rPr>
          <w:rFonts w:eastAsia="Times New Roman" w:cstheme="minorHAnsi"/>
          <w:sz w:val="24"/>
          <w:szCs w:val="24"/>
          <w:lang w:val="en-US" w:eastAsia="en-GB"/>
        </w:rPr>
        <w:t xml:space="preserve">-lactamases and hence ceftazidime-avibactam combination retains its activity in this situation but not ceftolozane-tazobactam </w:t>
      </w:r>
      <w:r w:rsidRPr="00187DEF">
        <w:rPr>
          <w:rFonts w:eastAsia="Times New Roman" w:cstheme="minorHAnsi"/>
          <w:noProof/>
          <w:sz w:val="24"/>
          <w:szCs w:val="24"/>
          <w:lang w:val="en-US" w:eastAsia="en-GB"/>
        </w:rPr>
        <w:t>[10, 11]</w:t>
      </w:r>
      <w:r w:rsidRPr="00187DEF">
        <w:rPr>
          <w:rFonts w:eastAsia="Times New Roman" w:cstheme="minorHAnsi"/>
          <w:sz w:val="24"/>
          <w:szCs w:val="24"/>
          <w:lang w:val="en-US" w:eastAsia="en-GB"/>
        </w:rPr>
        <w:t xml:space="preserve">. In a report from Spain of 24 extremely-drug resistant ST235 </w:t>
      </w:r>
      <w:r w:rsidRPr="00187DEF">
        <w:rPr>
          <w:rFonts w:eastAsia="Times New Roman" w:cstheme="minorHAnsi"/>
          <w:i/>
          <w:iCs/>
          <w:sz w:val="24"/>
          <w:szCs w:val="24"/>
          <w:lang w:val="en-US" w:eastAsia="en-GB"/>
        </w:rPr>
        <w:t>P. aeruginosa</w:t>
      </w:r>
      <w:r w:rsidRPr="00187DEF">
        <w:rPr>
          <w:rFonts w:eastAsia="Times New Roman" w:cstheme="minorHAnsi"/>
          <w:sz w:val="24"/>
          <w:szCs w:val="24"/>
          <w:lang w:val="en-US" w:eastAsia="en-GB"/>
        </w:rPr>
        <w:t xml:space="preserve"> isolates, 13% were susceptible to ceftolozane-tazobactam and 58% to ceftazidime-avibactam and the predominant </w:t>
      </w:r>
      <w:r w:rsidRPr="00187DEF">
        <w:rPr>
          <w:rFonts w:eastAsia="Times New Roman" w:cstheme="minorHAnsi"/>
          <w:sz w:val="24"/>
          <w:szCs w:val="24"/>
          <w:lang w:val="en-US" w:eastAsia="en-GB"/>
        </w:rPr>
        <w:sym w:font="Symbol" w:char="F062"/>
      </w:r>
      <w:r w:rsidRPr="00187DEF">
        <w:rPr>
          <w:rFonts w:eastAsia="Times New Roman" w:cstheme="minorHAnsi"/>
          <w:sz w:val="24"/>
          <w:szCs w:val="24"/>
          <w:lang w:val="en-US" w:eastAsia="en-GB"/>
        </w:rPr>
        <w:t xml:space="preserve">-lactamases identified were VIM-2 (42%) and the Class A ESBL Guiana-Extended-Spectrum (GES)-5 (46%) </w:t>
      </w:r>
      <w:r w:rsidRPr="00187DEF">
        <w:rPr>
          <w:rFonts w:eastAsia="Times New Roman" w:cstheme="minorHAnsi"/>
          <w:noProof/>
          <w:sz w:val="24"/>
          <w:szCs w:val="24"/>
          <w:lang w:val="en-US" w:eastAsia="en-GB"/>
        </w:rPr>
        <w:t>[12]</w:t>
      </w:r>
      <w:r w:rsidRPr="00187DEF">
        <w:rPr>
          <w:rFonts w:eastAsia="Times New Roman" w:cstheme="minorHAnsi"/>
          <w:sz w:val="24"/>
          <w:szCs w:val="24"/>
          <w:lang w:val="en-US" w:eastAsia="en-GB"/>
        </w:rPr>
        <w:t>. Consistent with this, five out of seven ceftolozane-tazobactam-resistant, ceftazidime-avibactam-susceptible MDR-</w:t>
      </w:r>
      <w:r w:rsidRPr="00187DEF">
        <w:rPr>
          <w:rFonts w:eastAsia="Times New Roman" w:cstheme="minorHAnsi"/>
          <w:i/>
          <w:iCs/>
          <w:sz w:val="24"/>
          <w:szCs w:val="24"/>
          <w:lang w:val="en-US" w:eastAsia="en-GB"/>
        </w:rPr>
        <w:t>P. aeruginosa</w:t>
      </w:r>
      <w:r w:rsidRPr="00187DEF">
        <w:rPr>
          <w:rFonts w:eastAsia="Times New Roman" w:cstheme="minorHAnsi"/>
          <w:sz w:val="24"/>
          <w:szCs w:val="24"/>
          <w:lang w:val="en-US" w:eastAsia="en-GB"/>
        </w:rPr>
        <w:t xml:space="preserve"> isolates in our study possessed class A </w:t>
      </w:r>
      <w:r w:rsidRPr="00187DEF">
        <w:rPr>
          <w:rFonts w:eastAsia="Times New Roman" w:cstheme="minorHAnsi"/>
          <w:i/>
          <w:iCs/>
          <w:sz w:val="24"/>
          <w:szCs w:val="24"/>
          <w:lang w:val="en-US" w:eastAsia="en-GB"/>
        </w:rPr>
        <w:t>bla</w:t>
      </w:r>
      <w:r w:rsidRPr="00187DEF">
        <w:rPr>
          <w:rFonts w:eastAsia="Times New Roman" w:cstheme="minorHAnsi"/>
          <w:sz w:val="24"/>
          <w:szCs w:val="24"/>
          <w:vertAlign w:val="subscript"/>
          <w:lang w:val="en-US" w:eastAsia="en-GB"/>
        </w:rPr>
        <w:t xml:space="preserve">SHV-11 </w:t>
      </w:r>
      <w:r w:rsidRPr="00187DEF">
        <w:rPr>
          <w:rFonts w:eastAsia="Times New Roman" w:cstheme="minorHAnsi"/>
          <w:sz w:val="24"/>
          <w:szCs w:val="24"/>
          <w:lang w:val="en-US" w:eastAsia="en-GB"/>
        </w:rPr>
        <w:t xml:space="preserve">and ESBL-encoding genes such as </w:t>
      </w:r>
      <w:r w:rsidRPr="00187DEF">
        <w:rPr>
          <w:rFonts w:eastAsia="Times New Roman" w:cstheme="minorHAnsi"/>
          <w:i/>
          <w:iCs/>
          <w:sz w:val="24"/>
          <w:szCs w:val="24"/>
          <w:lang w:val="en-US" w:eastAsia="en-GB"/>
        </w:rPr>
        <w:t>bla</w:t>
      </w:r>
      <w:r w:rsidRPr="00187DEF">
        <w:rPr>
          <w:rFonts w:eastAsia="Times New Roman" w:cstheme="minorHAnsi"/>
          <w:sz w:val="24"/>
          <w:szCs w:val="24"/>
          <w:vertAlign w:val="subscript"/>
          <w:lang w:val="en-US" w:eastAsia="en-GB"/>
        </w:rPr>
        <w:t>VEB-9</w:t>
      </w:r>
      <w:r w:rsidRPr="00187DEF">
        <w:rPr>
          <w:rFonts w:eastAsia="Times New Roman" w:cstheme="minorHAnsi"/>
          <w:sz w:val="24"/>
          <w:szCs w:val="24"/>
          <w:lang w:val="en-US" w:eastAsia="en-GB"/>
        </w:rPr>
        <w:t xml:space="preserve"> and </w:t>
      </w:r>
      <w:r w:rsidRPr="00187DEF">
        <w:rPr>
          <w:rFonts w:eastAsia="Times New Roman" w:cstheme="minorHAnsi"/>
          <w:i/>
          <w:iCs/>
          <w:sz w:val="24"/>
          <w:szCs w:val="24"/>
          <w:lang w:val="en-US" w:eastAsia="en-GB"/>
        </w:rPr>
        <w:t>bla</w:t>
      </w:r>
      <w:r w:rsidRPr="00187DEF">
        <w:rPr>
          <w:rFonts w:eastAsia="Times New Roman" w:cstheme="minorHAnsi"/>
          <w:sz w:val="24"/>
          <w:szCs w:val="24"/>
          <w:vertAlign w:val="subscript"/>
          <w:lang w:val="en-US" w:eastAsia="en-GB"/>
        </w:rPr>
        <w:t>TEM-116</w:t>
      </w:r>
      <w:r w:rsidRPr="00187DEF">
        <w:rPr>
          <w:rFonts w:eastAsia="Times New Roman" w:cstheme="minorHAnsi"/>
          <w:sz w:val="24"/>
          <w:szCs w:val="24"/>
          <w:lang w:val="en-US" w:eastAsia="en-GB"/>
        </w:rPr>
        <w:t>. Interestingly, those 7 isolates belonged to seven different STs (Table S1, Additional File 1).</w:t>
      </w:r>
      <w:r w:rsidRPr="00E8635B">
        <w:rPr>
          <w:rFonts w:eastAsia="Times New Roman" w:cstheme="minorHAnsi"/>
          <w:sz w:val="24"/>
          <w:szCs w:val="24"/>
          <w:lang w:val="en-US" w:eastAsia="en-GB"/>
        </w:rPr>
        <w:t xml:space="preserve"> </w:t>
      </w:r>
    </w:p>
    <w:p w14:paraId="2BA4F13F" w14:textId="77777777" w:rsidR="009E76BE" w:rsidRPr="002F4D7F" w:rsidRDefault="009E76BE" w:rsidP="003A19DF">
      <w:pPr>
        <w:spacing w:after="0" w:line="480" w:lineRule="auto"/>
        <w:rPr>
          <w:rFonts w:eastAsia="Times New Roman" w:cstheme="minorHAnsi"/>
          <w:sz w:val="24"/>
          <w:szCs w:val="24"/>
          <w:lang w:val="en-US" w:eastAsia="en-GB"/>
        </w:rPr>
      </w:pPr>
      <w:r w:rsidRPr="00187DEF">
        <w:rPr>
          <w:rFonts w:ascii="Calibri" w:eastAsia="Times New Roman" w:hAnsi="Calibri" w:cs="Calibri"/>
          <w:iCs/>
          <w:color w:val="000000"/>
          <w:sz w:val="24"/>
          <w:szCs w:val="24"/>
          <w:lang w:val="en-US"/>
        </w:rPr>
        <w:t xml:space="preserve">The </w:t>
      </w:r>
      <w:r w:rsidRPr="00187DEF">
        <w:rPr>
          <w:rFonts w:eastAsia="Times New Roman" w:cstheme="minorHAnsi"/>
          <w:sz w:val="24"/>
          <w:szCs w:val="24"/>
          <w:lang w:val="en-US" w:eastAsia="en-GB"/>
        </w:rPr>
        <w:sym w:font="Symbol" w:char="F062"/>
      </w:r>
      <w:r w:rsidRPr="00187DEF">
        <w:rPr>
          <w:rFonts w:eastAsia="Times New Roman" w:cstheme="minorHAnsi"/>
          <w:sz w:val="24"/>
          <w:szCs w:val="24"/>
          <w:lang w:val="en-US" w:eastAsia="en-GB"/>
        </w:rPr>
        <w:t>-</w:t>
      </w:r>
      <w:r w:rsidRPr="00187DEF">
        <w:rPr>
          <w:rFonts w:ascii="Calibri" w:eastAsia="Times New Roman" w:hAnsi="Calibri" w:cs="Calibri"/>
          <w:iCs/>
          <w:color w:val="000000"/>
          <w:sz w:val="24"/>
          <w:szCs w:val="24"/>
          <w:lang w:val="en-US"/>
        </w:rPr>
        <w:t xml:space="preserve">lactamase </w:t>
      </w:r>
      <w:r w:rsidRPr="00187DEF">
        <w:rPr>
          <w:rFonts w:ascii="Calibri" w:eastAsia="Times New Roman" w:hAnsi="Calibri" w:cs="Calibri"/>
          <w:i/>
          <w:iCs/>
          <w:color w:val="000000"/>
          <w:sz w:val="24"/>
          <w:szCs w:val="24"/>
          <w:lang w:val="en-US"/>
        </w:rPr>
        <w:t>bla</w:t>
      </w:r>
      <w:r w:rsidRPr="00187DEF">
        <w:rPr>
          <w:rFonts w:ascii="Calibri" w:eastAsia="Times New Roman" w:hAnsi="Calibri" w:cs="Calibri"/>
          <w:color w:val="000000"/>
          <w:sz w:val="24"/>
          <w:szCs w:val="24"/>
          <w:vertAlign w:val="subscript"/>
          <w:lang w:val="en-US"/>
        </w:rPr>
        <w:t>VEB-9</w:t>
      </w:r>
      <w:r w:rsidRPr="00187DEF">
        <w:rPr>
          <w:rFonts w:ascii="Calibri" w:eastAsia="Times New Roman" w:hAnsi="Calibri" w:cs="Calibri"/>
          <w:color w:val="000000"/>
          <w:sz w:val="24"/>
          <w:szCs w:val="24"/>
          <w:lang w:val="en-US"/>
        </w:rPr>
        <w:t xml:space="preserve"> (19, 25.33%), formerly known as </w:t>
      </w:r>
      <w:r w:rsidRPr="00187DEF">
        <w:rPr>
          <w:rFonts w:ascii="Calibri" w:eastAsia="Times New Roman" w:hAnsi="Calibri" w:cs="Calibri"/>
          <w:i/>
          <w:iCs/>
          <w:color w:val="000000"/>
          <w:sz w:val="24"/>
          <w:szCs w:val="24"/>
          <w:lang w:val="en-US"/>
        </w:rPr>
        <w:t>bla</w:t>
      </w:r>
      <w:r w:rsidRPr="00187DEF">
        <w:rPr>
          <w:rFonts w:ascii="Calibri" w:eastAsia="Times New Roman" w:hAnsi="Calibri" w:cs="Calibri"/>
          <w:color w:val="000000"/>
          <w:sz w:val="24"/>
          <w:szCs w:val="24"/>
          <w:vertAlign w:val="subscript"/>
          <w:lang w:val="en-US"/>
        </w:rPr>
        <w:t>VEB-1a</w:t>
      </w:r>
      <w:r w:rsidRPr="00187DEF">
        <w:rPr>
          <w:rFonts w:ascii="Calibri" w:eastAsia="Times New Roman" w:hAnsi="Calibri" w:cs="Calibri"/>
          <w:color w:val="000000"/>
          <w:sz w:val="24"/>
          <w:szCs w:val="24"/>
          <w:lang w:val="en-US"/>
        </w:rPr>
        <w:t xml:space="preserve">, was the most frequent ESBL gene identified in the present study </w:t>
      </w:r>
      <w:r w:rsidRPr="00187DEF">
        <w:rPr>
          <w:rFonts w:ascii="Calibri" w:eastAsia="Times New Roman" w:hAnsi="Calibri" w:cs="Calibri"/>
          <w:noProof/>
          <w:color w:val="000000"/>
          <w:sz w:val="24"/>
          <w:szCs w:val="24"/>
          <w:lang w:val="en-US"/>
        </w:rPr>
        <w:t>[11]</w:t>
      </w:r>
      <w:r w:rsidRPr="00187DEF">
        <w:rPr>
          <w:rFonts w:ascii="Calibri" w:eastAsia="Times New Roman" w:hAnsi="Calibri" w:cs="Calibri"/>
          <w:color w:val="000000"/>
          <w:sz w:val="24"/>
          <w:szCs w:val="24"/>
          <w:lang w:val="en-US"/>
        </w:rPr>
        <w:t xml:space="preserve">. </w:t>
      </w:r>
      <w:r w:rsidRPr="00187DEF">
        <w:rPr>
          <w:rFonts w:ascii="Calibri" w:eastAsia="Times New Roman" w:hAnsi="Calibri" w:cs="Calibri"/>
          <w:i/>
          <w:iCs/>
          <w:color w:val="000000"/>
          <w:sz w:val="24"/>
          <w:szCs w:val="24"/>
          <w:lang w:val="en-US"/>
        </w:rPr>
        <w:t>bla</w:t>
      </w:r>
      <w:r w:rsidRPr="00187DEF">
        <w:rPr>
          <w:rFonts w:eastAsia="Times New Roman" w:cstheme="minorHAnsi"/>
          <w:sz w:val="24"/>
          <w:szCs w:val="24"/>
          <w:vertAlign w:val="subscript"/>
          <w:lang w:val="en-US" w:eastAsia="en-GB"/>
        </w:rPr>
        <w:t>VEB-1</w:t>
      </w:r>
      <w:r w:rsidRPr="00187DEF">
        <w:rPr>
          <w:rFonts w:eastAsia="Times New Roman" w:cstheme="minorHAnsi"/>
          <w:sz w:val="24"/>
          <w:szCs w:val="24"/>
          <w:lang w:val="en-US" w:eastAsia="en-GB"/>
        </w:rPr>
        <w:t xml:space="preserve"> is one of the most frequently reported ESBLs in </w:t>
      </w:r>
      <w:r w:rsidRPr="00187DEF">
        <w:rPr>
          <w:rFonts w:eastAsia="Times New Roman" w:cstheme="minorHAnsi"/>
          <w:i/>
          <w:iCs/>
          <w:sz w:val="24"/>
          <w:szCs w:val="24"/>
          <w:lang w:val="en-US" w:eastAsia="en-GB"/>
        </w:rPr>
        <w:t>P. aeruginosa</w:t>
      </w:r>
      <w:r w:rsidRPr="00187DEF">
        <w:rPr>
          <w:rFonts w:eastAsia="Times New Roman" w:cstheme="minorHAnsi"/>
          <w:sz w:val="24"/>
          <w:szCs w:val="24"/>
          <w:lang w:val="en-US" w:eastAsia="en-GB"/>
        </w:rPr>
        <w:t xml:space="preserve"> from the Middle East including Kuwait, Saudi Arabia and Iran </w:t>
      </w:r>
      <w:r w:rsidRPr="00187DEF">
        <w:rPr>
          <w:rFonts w:eastAsia="Times New Roman" w:cstheme="minorHAnsi"/>
          <w:noProof/>
          <w:sz w:val="24"/>
          <w:szCs w:val="24"/>
          <w:lang w:val="en-US" w:eastAsia="en-GB"/>
        </w:rPr>
        <w:t>[13-15]</w:t>
      </w:r>
      <w:r w:rsidRPr="00187DEF">
        <w:rPr>
          <w:rFonts w:eastAsia="Times New Roman" w:cstheme="minorHAnsi"/>
          <w:sz w:val="24"/>
          <w:szCs w:val="24"/>
          <w:lang w:val="en-US" w:eastAsia="en-GB"/>
        </w:rPr>
        <w:t xml:space="preserve">. Though </w:t>
      </w:r>
      <w:r w:rsidRPr="00187DEF">
        <w:rPr>
          <w:rFonts w:eastAsia="Times New Roman" w:cstheme="minorHAnsi"/>
          <w:i/>
          <w:iCs/>
          <w:sz w:val="24"/>
          <w:szCs w:val="24"/>
          <w:lang w:val="en-US" w:eastAsia="en-GB"/>
        </w:rPr>
        <w:t>bla</w:t>
      </w:r>
      <w:r w:rsidRPr="00187DEF">
        <w:rPr>
          <w:rFonts w:eastAsia="Times New Roman" w:cstheme="minorHAnsi"/>
          <w:sz w:val="24"/>
          <w:szCs w:val="24"/>
          <w:vertAlign w:val="subscript"/>
          <w:lang w:val="en-US" w:eastAsia="en-GB"/>
        </w:rPr>
        <w:t>VEB-9</w:t>
      </w:r>
      <w:r w:rsidRPr="00187DEF">
        <w:rPr>
          <w:rFonts w:eastAsia="Times New Roman" w:cstheme="minorHAnsi"/>
          <w:sz w:val="24"/>
          <w:szCs w:val="24"/>
          <w:lang w:val="en-US" w:eastAsia="en-GB"/>
        </w:rPr>
        <w:t xml:space="preserve"> was reported from Thailand and Eastern Europe, to the best of our knowledge, it has not been previously reported from the Middle East </w:t>
      </w:r>
      <w:r w:rsidRPr="00187DEF">
        <w:rPr>
          <w:rFonts w:eastAsia="Times New Roman" w:cstheme="minorHAnsi"/>
          <w:noProof/>
          <w:sz w:val="24"/>
          <w:szCs w:val="24"/>
          <w:lang w:val="en-US" w:eastAsia="en-GB"/>
        </w:rPr>
        <w:t>[11, 16]</w:t>
      </w:r>
      <w:r w:rsidRPr="00187DEF">
        <w:rPr>
          <w:rFonts w:eastAsia="Times New Roman" w:cstheme="minorHAnsi"/>
          <w:sz w:val="24"/>
          <w:szCs w:val="24"/>
          <w:lang w:val="en-US" w:eastAsia="en-GB"/>
        </w:rPr>
        <w:t>. In this study, MDR-</w:t>
      </w:r>
      <w:r w:rsidRPr="00187DEF">
        <w:rPr>
          <w:rFonts w:eastAsia="Times New Roman" w:cstheme="minorHAnsi"/>
          <w:i/>
          <w:iCs/>
          <w:sz w:val="24"/>
          <w:szCs w:val="24"/>
          <w:lang w:val="en-US" w:eastAsia="en-GB"/>
        </w:rPr>
        <w:t>P. aeruginosa</w:t>
      </w:r>
      <w:r w:rsidRPr="00187DEF">
        <w:rPr>
          <w:rFonts w:eastAsia="Times New Roman" w:cstheme="minorHAnsi"/>
          <w:sz w:val="24"/>
          <w:szCs w:val="24"/>
          <w:lang w:val="en-US" w:eastAsia="en-GB"/>
        </w:rPr>
        <w:t xml:space="preserve"> producing Vietnamese extended-spectrum beta-lactamase-9 (VEB-9) belonged to </w:t>
      </w:r>
      <w:r w:rsidRPr="00187DEF">
        <w:rPr>
          <w:rFonts w:ascii="Calibri" w:eastAsia="Times New Roman" w:hAnsi="Calibri" w:cs="Calibri"/>
          <w:color w:val="000000"/>
          <w:sz w:val="24"/>
          <w:szCs w:val="24"/>
          <w:lang w:val="en-US"/>
        </w:rPr>
        <w:t xml:space="preserve">ST235 (8/16), ST357 (7/8), ST308 (1/3) and ST3022 (1/1) (Table S1 and Table S2, </w:t>
      </w:r>
      <w:r w:rsidRPr="00187DEF">
        <w:rPr>
          <w:rFonts w:cstheme="minorHAnsi"/>
          <w:sz w:val="24"/>
          <w:szCs w:val="24"/>
          <w:lang w:val="en-US"/>
        </w:rPr>
        <w:t>Additional File 1</w:t>
      </w:r>
      <w:r w:rsidRPr="00187DEF">
        <w:rPr>
          <w:rFonts w:ascii="Calibri" w:eastAsia="Times New Roman" w:hAnsi="Calibri" w:cs="Calibri"/>
          <w:color w:val="000000"/>
          <w:sz w:val="24"/>
          <w:szCs w:val="24"/>
          <w:lang w:val="en-US"/>
        </w:rPr>
        <w:t xml:space="preserve">). This pattern suggests dissemination within specific </w:t>
      </w:r>
      <w:r w:rsidRPr="00187DEF">
        <w:rPr>
          <w:rFonts w:ascii="Calibri" w:eastAsia="Times New Roman" w:hAnsi="Calibri" w:cs="Calibri"/>
          <w:i/>
          <w:iCs/>
          <w:color w:val="000000"/>
          <w:sz w:val="24"/>
          <w:szCs w:val="24"/>
          <w:lang w:val="en-US"/>
        </w:rPr>
        <w:t>P. aeruginosa</w:t>
      </w:r>
      <w:r w:rsidRPr="00187DEF">
        <w:rPr>
          <w:rFonts w:ascii="Calibri" w:eastAsia="Times New Roman" w:hAnsi="Calibri" w:cs="Calibri"/>
          <w:color w:val="000000"/>
          <w:sz w:val="24"/>
          <w:szCs w:val="24"/>
          <w:lang w:val="en-US"/>
        </w:rPr>
        <w:t xml:space="preserve"> STs in Qatar that may be different from neighboring countries.</w:t>
      </w:r>
      <w:r w:rsidRPr="00344932">
        <w:rPr>
          <w:rFonts w:ascii="Calibri" w:eastAsia="Times New Roman" w:hAnsi="Calibri" w:cs="Calibri"/>
          <w:color w:val="000000"/>
          <w:sz w:val="24"/>
          <w:szCs w:val="24"/>
          <w:lang w:val="en-US"/>
        </w:rPr>
        <w:t xml:space="preserve">   </w:t>
      </w:r>
    </w:p>
    <w:p w14:paraId="71C7CCDC" w14:textId="77777777" w:rsidR="009E76BE" w:rsidRPr="007A4E54" w:rsidRDefault="009E76BE" w:rsidP="003A19DF">
      <w:pPr>
        <w:spacing w:after="0" w:line="480" w:lineRule="auto"/>
        <w:rPr>
          <w:rFonts w:eastAsia="Times New Roman" w:cstheme="minorHAnsi"/>
          <w:sz w:val="24"/>
          <w:szCs w:val="24"/>
          <w:lang w:val="en-US" w:eastAsia="en-GB"/>
        </w:rPr>
      </w:pPr>
      <w:r w:rsidRPr="00187DEF">
        <w:rPr>
          <w:rFonts w:eastAsia="Times New Roman" w:cstheme="minorHAnsi"/>
          <w:sz w:val="24"/>
          <w:szCs w:val="24"/>
          <w:lang w:val="en-US" w:eastAsia="en-GB"/>
        </w:rPr>
        <w:lastRenderedPageBreak/>
        <w:t>An interesting observation in this study was that 16 (21.33%) MDR-</w:t>
      </w:r>
      <w:r w:rsidRPr="00187DEF">
        <w:rPr>
          <w:rFonts w:eastAsia="Times New Roman" w:cstheme="minorHAnsi"/>
          <w:i/>
          <w:iCs/>
          <w:sz w:val="24"/>
          <w:szCs w:val="24"/>
          <w:lang w:val="en-US" w:eastAsia="en-GB"/>
        </w:rPr>
        <w:t>P. aeruginosa</w:t>
      </w:r>
      <w:r w:rsidRPr="00187DEF">
        <w:rPr>
          <w:rFonts w:eastAsia="Times New Roman" w:cstheme="minorHAnsi"/>
          <w:sz w:val="24"/>
          <w:szCs w:val="24"/>
          <w:lang w:val="en-US" w:eastAsia="en-GB"/>
        </w:rPr>
        <w:t xml:space="preserve"> isolates were susceptible to aztreonam but resistant to several other antipseudomonal </w:t>
      </w:r>
      <w:r w:rsidRPr="00187DEF">
        <w:rPr>
          <w:rFonts w:eastAsia="Times New Roman" w:cstheme="minorHAnsi"/>
          <w:sz w:val="24"/>
          <w:szCs w:val="24"/>
          <w:lang w:val="en-US" w:eastAsia="en-GB"/>
        </w:rPr>
        <w:sym w:font="Symbol" w:char="F062"/>
      </w:r>
      <w:r w:rsidRPr="00187DEF">
        <w:rPr>
          <w:rFonts w:eastAsia="Times New Roman" w:cstheme="minorHAnsi"/>
          <w:sz w:val="24"/>
          <w:szCs w:val="24"/>
          <w:lang w:val="en-US" w:eastAsia="en-GB"/>
        </w:rPr>
        <w:t xml:space="preserve">-lactams tested (Table S1, Additional File 1). Aztreonam is a weak inducer of Class C enzymes and is not a substrate for Class B and narrow-spectrum Class D </w:t>
      </w:r>
      <w:r w:rsidRPr="00187DEF">
        <w:rPr>
          <w:rFonts w:eastAsia="Times New Roman" w:cstheme="minorHAnsi"/>
          <w:sz w:val="24"/>
          <w:szCs w:val="24"/>
          <w:lang w:val="en-US" w:eastAsia="en-GB"/>
        </w:rPr>
        <w:sym w:font="Symbol" w:char="F062"/>
      </w:r>
      <w:r w:rsidRPr="00187DEF">
        <w:rPr>
          <w:rFonts w:eastAsia="Times New Roman" w:cstheme="minorHAnsi"/>
          <w:sz w:val="24"/>
          <w:szCs w:val="24"/>
          <w:lang w:val="en-US" w:eastAsia="en-GB"/>
        </w:rPr>
        <w:t xml:space="preserve">-lactamases </w:t>
      </w:r>
      <w:r w:rsidRPr="00187DEF">
        <w:rPr>
          <w:rFonts w:eastAsia="Times New Roman" w:cstheme="minorHAnsi"/>
          <w:noProof/>
          <w:sz w:val="24"/>
          <w:szCs w:val="24"/>
          <w:lang w:val="en-US" w:eastAsia="en-GB"/>
        </w:rPr>
        <w:t>[17]</w:t>
      </w:r>
      <w:r w:rsidRPr="00187DEF">
        <w:rPr>
          <w:rFonts w:eastAsia="Times New Roman" w:cstheme="minorHAnsi"/>
          <w:sz w:val="24"/>
          <w:szCs w:val="24"/>
          <w:lang w:val="en-US" w:eastAsia="en-GB"/>
        </w:rPr>
        <w:t xml:space="preserve">. The retained aztreonam activity in these isolates despite resistance to other antipseudomonal </w:t>
      </w:r>
      <w:r w:rsidRPr="00187DEF">
        <w:rPr>
          <w:rFonts w:eastAsia="Times New Roman" w:cstheme="minorHAnsi"/>
          <w:sz w:val="24"/>
          <w:szCs w:val="24"/>
          <w:lang w:val="en-US" w:eastAsia="en-GB"/>
        </w:rPr>
        <w:sym w:font="Symbol" w:char="F062"/>
      </w:r>
      <w:r w:rsidRPr="00187DEF">
        <w:rPr>
          <w:rFonts w:eastAsia="Times New Roman" w:cstheme="minorHAnsi"/>
          <w:sz w:val="24"/>
          <w:szCs w:val="24"/>
          <w:lang w:val="en-US" w:eastAsia="en-GB"/>
        </w:rPr>
        <w:t xml:space="preserve">-lactams may be explained by the absence of Class A ESBL in those isolates. Therefore, aztreonam should be included in routine antimicrobial susceptibility testing of clinical </w:t>
      </w:r>
      <w:r w:rsidRPr="00187DEF">
        <w:rPr>
          <w:rFonts w:eastAsia="Times New Roman" w:cstheme="minorHAnsi"/>
          <w:i/>
          <w:iCs/>
          <w:sz w:val="24"/>
          <w:szCs w:val="24"/>
          <w:lang w:val="en-US" w:eastAsia="en-GB"/>
        </w:rPr>
        <w:t>P. aeruginosa</w:t>
      </w:r>
      <w:r w:rsidRPr="00187DEF">
        <w:rPr>
          <w:rFonts w:eastAsia="Times New Roman" w:cstheme="minorHAnsi"/>
          <w:sz w:val="24"/>
          <w:szCs w:val="24"/>
          <w:lang w:val="en-US" w:eastAsia="en-GB"/>
        </w:rPr>
        <w:t xml:space="preserve"> isolates.</w:t>
      </w:r>
      <w:r w:rsidRPr="009917C7">
        <w:rPr>
          <w:rFonts w:eastAsia="Times New Roman" w:cstheme="minorHAnsi"/>
          <w:sz w:val="24"/>
          <w:szCs w:val="24"/>
          <w:lang w:val="en-US" w:eastAsia="en-GB"/>
        </w:rPr>
        <w:t xml:space="preserve"> </w:t>
      </w:r>
      <w:r w:rsidRPr="007A4E54">
        <w:rPr>
          <w:rFonts w:eastAsia="Times New Roman" w:cstheme="minorHAnsi"/>
          <w:sz w:val="24"/>
          <w:szCs w:val="24"/>
          <w:lang w:val="en-US" w:eastAsia="en-GB"/>
        </w:rPr>
        <w:t xml:space="preserve"> </w:t>
      </w:r>
    </w:p>
    <w:p w14:paraId="190AFEFF" w14:textId="77777777" w:rsidR="009E76BE" w:rsidRDefault="009E76BE" w:rsidP="003A19DF">
      <w:pPr>
        <w:spacing w:after="0" w:line="480" w:lineRule="auto"/>
        <w:rPr>
          <w:rFonts w:eastAsia="Times New Roman" w:cstheme="minorHAnsi"/>
          <w:sz w:val="24"/>
          <w:szCs w:val="24"/>
          <w:lang w:val="en-US" w:eastAsia="en-GB"/>
        </w:rPr>
      </w:pPr>
      <w:r w:rsidRPr="00187DEF">
        <w:rPr>
          <w:rFonts w:eastAsia="Times New Roman" w:cstheme="minorHAnsi"/>
          <w:sz w:val="24"/>
          <w:szCs w:val="24"/>
          <w:lang w:val="en-US" w:eastAsia="en-GB"/>
        </w:rPr>
        <w:t>Most MDR-</w:t>
      </w:r>
      <w:r w:rsidRPr="00187DEF">
        <w:rPr>
          <w:rFonts w:eastAsia="Times New Roman" w:cstheme="minorHAnsi"/>
          <w:i/>
          <w:iCs/>
          <w:sz w:val="24"/>
          <w:szCs w:val="24"/>
          <w:lang w:val="en-US" w:eastAsia="en-GB"/>
        </w:rPr>
        <w:t>P. aeruginosa</w:t>
      </w:r>
      <w:r w:rsidRPr="00187DEF">
        <w:rPr>
          <w:rFonts w:eastAsia="Times New Roman" w:cstheme="minorHAnsi"/>
          <w:sz w:val="24"/>
          <w:szCs w:val="24"/>
          <w:lang w:val="en-US" w:eastAsia="en-GB"/>
        </w:rPr>
        <w:t xml:space="preserve"> isolates included in this study belonged to five STs and had consistent </w:t>
      </w:r>
      <w:r w:rsidRPr="00187DEF">
        <w:rPr>
          <w:rFonts w:eastAsia="Times New Roman" w:cstheme="minorHAnsi"/>
          <w:sz w:val="24"/>
          <w:szCs w:val="24"/>
          <w:lang w:val="en-US" w:eastAsia="en-GB"/>
        </w:rPr>
        <w:sym w:font="Symbol" w:char="F062"/>
      </w:r>
      <w:r w:rsidRPr="00187DEF">
        <w:rPr>
          <w:rFonts w:eastAsia="Times New Roman" w:cstheme="minorHAnsi"/>
          <w:sz w:val="24"/>
          <w:szCs w:val="24"/>
          <w:lang w:val="en-US" w:eastAsia="en-GB"/>
        </w:rPr>
        <w:t xml:space="preserve">-lactamase genetic profiles and </w:t>
      </w:r>
      <w:r w:rsidRPr="00187DEF">
        <w:rPr>
          <w:rFonts w:eastAsia="Times New Roman" w:cstheme="minorHAnsi"/>
          <w:sz w:val="24"/>
          <w:szCs w:val="24"/>
          <w:lang w:val="en-US" w:eastAsia="en-GB"/>
        </w:rPr>
        <w:sym w:font="Symbol" w:char="F062"/>
      </w:r>
      <w:r w:rsidRPr="00187DEF">
        <w:rPr>
          <w:rFonts w:eastAsia="Times New Roman" w:cstheme="minorHAnsi"/>
          <w:sz w:val="24"/>
          <w:szCs w:val="24"/>
          <w:lang w:val="en-US" w:eastAsia="en-GB"/>
        </w:rPr>
        <w:t xml:space="preserve">-lactam susceptibility patterns (Table S2, Additional File 1). ST235, ST233, and ST357 are already known as high-risk clones in Qatar, Saudi Arabia, Bahrain, and the United Arab Emirates </w:t>
      </w:r>
      <w:r w:rsidRPr="00187DEF">
        <w:rPr>
          <w:rFonts w:eastAsia="Times New Roman" w:cstheme="minorHAnsi"/>
          <w:noProof/>
          <w:sz w:val="24"/>
          <w:szCs w:val="24"/>
          <w:lang w:val="en-US" w:eastAsia="en-GB"/>
        </w:rPr>
        <w:t>[7]</w:t>
      </w:r>
      <w:r w:rsidRPr="00187DEF">
        <w:rPr>
          <w:rFonts w:eastAsia="Times New Roman" w:cstheme="minorHAnsi"/>
          <w:sz w:val="24"/>
          <w:szCs w:val="24"/>
          <w:lang w:val="en-US" w:eastAsia="en-GB"/>
        </w:rPr>
        <w:t>. These three STs are globally disseminated MDR-</w:t>
      </w:r>
      <w:r w:rsidRPr="00187DEF">
        <w:rPr>
          <w:rFonts w:eastAsia="Times New Roman" w:cstheme="minorHAnsi"/>
          <w:i/>
          <w:iCs/>
          <w:sz w:val="24"/>
          <w:szCs w:val="24"/>
          <w:lang w:val="en-US" w:eastAsia="en-GB"/>
        </w:rPr>
        <w:t>P. aeruginosa</w:t>
      </w:r>
      <w:r w:rsidRPr="00187DEF">
        <w:rPr>
          <w:rFonts w:eastAsia="Times New Roman" w:cstheme="minorHAnsi"/>
          <w:sz w:val="24"/>
          <w:szCs w:val="24"/>
          <w:lang w:val="en-US" w:eastAsia="en-GB"/>
        </w:rPr>
        <w:t xml:space="preserve"> clones </w:t>
      </w:r>
      <w:r w:rsidRPr="00187DEF">
        <w:rPr>
          <w:rFonts w:eastAsia="Times New Roman" w:cstheme="minorHAnsi"/>
          <w:noProof/>
          <w:sz w:val="24"/>
          <w:szCs w:val="24"/>
          <w:lang w:val="en-US" w:eastAsia="en-GB"/>
        </w:rPr>
        <w:t>[2]</w:t>
      </w:r>
      <w:r w:rsidRPr="00187DEF">
        <w:rPr>
          <w:rFonts w:eastAsia="Times New Roman" w:cstheme="minorHAnsi"/>
          <w:sz w:val="24"/>
          <w:szCs w:val="24"/>
          <w:lang w:val="en-US" w:eastAsia="en-GB"/>
        </w:rPr>
        <w:t xml:space="preserve">. Often, these strains cause regional or nationwide outbreaks, express MDR phenotypes, and are associated with high mortality </w:t>
      </w:r>
      <w:r w:rsidRPr="00187DEF">
        <w:rPr>
          <w:rFonts w:eastAsia="Times New Roman" w:cstheme="minorHAnsi"/>
          <w:noProof/>
          <w:sz w:val="24"/>
          <w:szCs w:val="24"/>
          <w:lang w:val="en-US" w:eastAsia="en-GB"/>
        </w:rPr>
        <w:t>[12, 18, 19]</w:t>
      </w:r>
      <w:r w:rsidRPr="00187DEF">
        <w:rPr>
          <w:rFonts w:eastAsia="Times New Roman" w:cstheme="minorHAnsi"/>
          <w:sz w:val="24"/>
          <w:szCs w:val="24"/>
          <w:lang w:val="en-US" w:eastAsia="en-GB"/>
        </w:rPr>
        <w:t xml:space="preserve">. VIM-producing ST1284 </w:t>
      </w:r>
      <w:r w:rsidRPr="00187DEF">
        <w:rPr>
          <w:rFonts w:eastAsia="Times New Roman" w:cstheme="minorHAnsi"/>
          <w:i/>
          <w:iCs/>
          <w:sz w:val="24"/>
          <w:szCs w:val="24"/>
          <w:lang w:val="en-US" w:eastAsia="en-GB"/>
        </w:rPr>
        <w:t>P. aeruginosa</w:t>
      </w:r>
      <w:r w:rsidRPr="00187DEF">
        <w:rPr>
          <w:rFonts w:eastAsia="Times New Roman" w:cstheme="minorHAnsi"/>
          <w:sz w:val="24"/>
          <w:szCs w:val="24"/>
          <w:lang w:val="en-US" w:eastAsia="en-GB"/>
        </w:rPr>
        <w:t xml:space="preserve"> have been described from Brazil, and ST389 from cystic fibrosis patients in Italy </w:t>
      </w:r>
      <w:r w:rsidRPr="00187DEF">
        <w:rPr>
          <w:rFonts w:eastAsia="Times New Roman" w:cstheme="minorHAnsi"/>
          <w:noProof/>
          <w:sz w:val="24"/>
          <w:szCs w:val="24"/>
          <w:lang w:val="en-US" w:eastAsia="en-GB"/>
        </w:rPr>
        <w:t>[20, 21]</w:t>
      </w:r>
      <w:r w:rsidRPr="00187DEF">
        <w:rPr>
          <w:rFonts w:eastAsia="Times New Roman" w:cstheme="minorHAnsi"/>
          <w:sz w:val="24"/>
          <w:szCs w:val="24"/>
          <w:lang w:val="en-US" w:eastAsia="en-GB"/>
        </w:rPr>
        <w:t>. Both sequence types have otherwise limited geographic distribution.</w:t>
      </w:r>
      <w:r w:rsidRPr="00515DF9">
        <w:rPr>
          <w:rFonts w:eastAsia="Times New Roman" w:cstheme="minorHAnsi"/>
          <w:sz w:val="24"/>
          <w:szCs w:val="24"/>
          <w:lang w:val="en-US" w:eastAsia="en-GB"/>
        </w:rPr>
        <w:t xml:space="preserve">  </w:t>
      </w:r>
    </w:p>
    <w:p w14:paraId="55E545D7" w14:textId="77777777" w:rsidR="009E76BE" w:rsidRPr="009303BA" w:rsidRDefault="009E76BE" w:rsidP="003A19DF">
      <w:pPr>
        <w:spacing w:after="0" w:line="480" w:lineRule="auto"/>
        <w:rPr>
          <w:rFonts w:eastAsia="Times New Roman" w:cstheme="minorHAnsi"/>
          <w:b/>
          <w:bCs/>
          <w:sz w:val="24"/>
          <w:szCs w:val="24"/>
          <w:lang w:val="en-US" w:eastAsia="en-GB"/>
        </w:rPr>
      </w:pPr>
      <w:r w:rsidRPr="009303BA">
        <w:rPr>
          <w:rFonts w:eastAsia="Times New Roman" w:cstheme="minorHAnsi"/>
          <w:b/>
          <w:bCs/>
          <w:sz w:val="24"/>
          <w:szCs w:val="24"/>
          <w:lang w:val="en-US" w:eastAsia="en-GB"/>
        </w:rPr>
        <w:t>Conclusion</w:t>
      </w:r>
    </w:p>
    <w:p w14:paraId="57B534B4" w14:textId="77777777" w:rsidR="009E76BE" w:rsidRDefault="009E76BE" w:rsidP="009E76BE">
      <w:pPr>
        <w:spacing w:after="0" w:line="480" w:lineRule="auto"/>
      </w:pPr>
      <w:r w:rsidRPr="00187DEF">
        <w:rPr>
          <w:rFonts w:eastAsia="Times New Roman" w:cstheme="minorHAnsi"/>
          <w:sz w:val="24"/>
          <w:szCs w:val="24"/>
          <w:lang w:val="en-US" w:eastAsia="en-GB"/>
        </w:rPr>
        <w:t>MDR-</w:t>
      </w:r>
      <w:r w:rsidRPr="00187DEF">
        <w:rPr>
          <w:rFonts w:eastAsia="Times New Roman" w:cstheme="minorHAnsi"/>
          <w:i/>
          <w:iCs/>
          <w:sz w:val="24"/>
          <w:szCs w:val="24"/>
          <w:lang w:val="en-US" w:eastAsia="en-GB"/>
        </w:rPr>
        <w:t>P. aeruginosa</w:t>
      </w:r>
      <w:r w:rsidRPr="00187DEF">
        <w:rPr>
          <w:rFonts w:eastAsia="Times New Roman" w:cstheme="minorHAnsi"/>
          <w:sz w:val="24"/>
          <w:szCs w:val="24"/>
          <w:lang w:val="en-US" w:eastAsia="en-GB"/>
        </w:rPr>
        <w:t xml:space="preserve"> isolates </w:t>
      </w:r>
      <w:r w:rsidRPr="00187DEF">
        <w:rPr>
          <w:rFonts w:eastAsia="Times New Roman" w:cstheme="minorHAnsi"/>
          <w:bCs/>
          <w:sz w:val="24"/>
          <w:szCs w:val="24"/>
          <w:lang w:val="en-US" w:eastAsia="en-GB"/>
        </w:rPr>
        <w:t xml:space="preserve">from Qatar are highly resistant to antipseudomonal </w:t>
      </w:r>
      <w:r w:rsidRPr="00187DEF">
        <w:rPr>
          <w:rFonts w:eastAsia="Times New Roman" w:cstheme="minorHAnsi"/>
          <w:bCs/>
          <w:sz w:val="24"/>
          <w:szCs w:val="24"/>
          <w:lang w:val="en-US" w:eastAsia="en-GB"/>
        </w:rPr>
        <w:sym w:font="Symbol" w:char="F062"/>
      </w:r>
      <w:r w:rsidRPr="00187DEF">
        <w:rPr>
          <w:rFonts w:eastAsia="Times New Roman" w:cstheme="minorHAnsi"/>
          <w:bCs/>
          <w:sz w:val="24"/>
          <w:szCs w:val="24"/>
          <w:lang w:val="en-US" w:eastAsia="en-GB"/>
        </w:rPr>
        <w:t xml:space="preserve">-lactams. </w:t>
      </w:r>
      <w:r w:rsidRPr="00187DEF">
        <w:rPr>
          <w:rFonts w:eastAsia="Times New Roman" w:cstheme="minorHAnsi"/>
          <w:sz w:val="24"/>
          <w:szCs w:val="24"/>
          <w:lang w:val="en-US" w:eastAsia="en-GB"/>
        </w:rPr>
        <w:t>Global high-risk STs predominate in Qatar and their associated multi-resistant phenotype is a cause for considerable concern.</w:t>
      </w:r>
      <w:r w:rsidRPr="009303BA">
        <w:t xml:space="preserve"> </w:t>
      </w:r>
    </w:p>
    <w:p w14:paraId="5DB3B0EF" w14:textId="77777777" w:rsidR="009E76BE" w:rsidRPr="00CA58BC" w:rsidRDefault="009E76BE" w:rsidP="00CA58BC">
      <w:pPr>
        <w:spacing w:after="0" w:line="480" w:lineRule="auto"/>
        <w:rPr>
          <w:rFonts w:eastAsia="Times New Roman" w:cstheme="minorHAnsi"/>
          <w:b/>
          <w:bCs/>
          <w:sz w:val="24"/>
          <w:szCs w:val="24"/>
          <w:lang w:val="en-US" w:eastAsia="en-GB"/>
        </w:rPr>
      </w:pPr>
      <w:r w:rsidRPr="00CA58BC">
        <w:rPr>
          <w:rFonts w:eastAsia="Times New Roman" w:cstheme="minorHAnsi"/>
          <w:b/>
          <w:bCs/>
          <w:sz w:val="24"/>
          <w:szCs w:val="24"/>
          <w:lang w:val="en-US" w:eastAsia="en-GB"/>
        </w:rPr>
        <w:t>Supplementary information</w:t>
      </w:r>
    </w:p>
    <w:p w14:paraId="5197AEF8" w14:textId="77777777" w:rsidR="009E76BE" w:rsidRDefault="009E76BE" w:rsidP="00CA58BC">
      <w:pPr>
        <w:spacing w:after="0" w:line="480" w:lineRule="auto"/>
        <w:rPr>
          <w:rFonts w:eastAsia="Times New Roman" w:cstheme="minorHAnsi"/>
          <w:sz w:val="24"/>
          <w:szCs w:val="24"/>
          <w:lang w:val="en-US" w:eastAsia="en-GB"/>
        </w:rPr>
      </w:pPr>
      <w:r w:rsidRPr="00CA58BC">
        <w:rPr>
          <w:rFonts w:eastAsia="Times New Roman" w:cstheme="minorHAnsi"/>
          <w:sz w:val="24"/>
          <w:szCs w:val="24"/>
          <w:lang w:val="en-US" w:eastAsia="en-GB"/>
        </w:rPr>
        <w:t xml:space="preserve">Supplementary information </w:t>
      </w:r>
      <w:r>
        <w:rPr>
          <w:rFonts w:eastAsia="Times New Roman" w:cstheme="minorHAnsi"/>
          <w:sz w:val="24"/>
          <w:szCs w:val="24"/>
          <w:lang w:val="en-US" w:eastAsia="en-GB"/>
        </w:rPr>
        <w:t xml:space="preserve">provided in Additional File 1. </w:t>
      </w:r>
    </w:p>
    <w:p w14:paraId="43203A62" w14:textId="77777777" w:rsidR="009E76BE" w:rsidRPr="009303BA" w:rsidRDefault="009E76BE" w:rsidP="00CA58BC">
      <w:pPr>
        <w:spacing w:after="0" w:line="480" w:lineRule="auto"/>
        <w:rPr>
          <w:rFonts w:eastAsia="Times New Roman" w:cstheme="minorHAnsi"/>
          <w:b/>
          <w:bCs/>
          <w:sz w:val="24"/>
          <w:szCs w:val="24"/>
          <w:lang w:val="en-US" w:eastAsia="en-GB"/>
        </w:rPr>
      </w:pPr>
      <w:r>
        <w:rPr>
          <w:rFonts w:eastAsia="Times New Roman" w:cstheme="minorHAnsi"/>
          <w:b/>
          <w:bCs/>
          <w:sz w:val="24"/>
          <w:szCs w:val="24"/>
          <w:lang w:val="en-US" w:eastAsia="en-GB"/>
        </w:rPr>
        <w:t>A</w:t>
      </w:r>
      <w:r w:rsidRPr="009303BA">
        <w:rPr>
          <w:rFonts w:eastAsia="Times New Roman" w:cstheme="minorHAnsi"/>
          <w:b/>
          <w:bCs/>
          <w:sz w:val="24"/>
          <w:szCs w:val="24"/>
          <w:lang w:val="en-US" w:eastAsia="en-GB"/>
        </w:rPr>
        <w:t>bbreviations</w:t>
      </w:r>
    </w:p>
    <w:p w14:paraId="466C96B8" w14:textId="77777777" w:rsidR="009E76BE" w:rsidRDefault="009E76BE" w:rsidP="00CA58BC">
      <w:pPr>
        <w:spacing w:after="0" w:line="480" w:lineRule="auto"/>
        <w:rPr>
          <w:rFonts w:eastAsia="Times New Roman" w:cstheme="minorHAnsi"/>
          <w:sz w:val="24"/>
          <w:szCs w:val="24"/>
          <w:lang w:val="en-US" w:eastAsia="en-GB"/>
        </w:rPr>
      </w:pPr>
      <w:r w:rsidRPr="00187DEF">
        <w:rPr>
          <w:rFonts w:eastAsia="Times New Roman" w:cstheme="minorHAnsi"/>
          <w:sz w:val="24"/>
          <w:szCs w:val="24"/>
          <w:lang w:val="en-US" w:eastAsia="en-GB"/>
        </w:rPr>
        <w:lastRenderedPageBreak/>
        <w:t xml:space="preserve">CLSI: Clinical Laboratory Standards Institute; </w:t>
      </w:r>
      <w:r w:rsidRPr="00187DEF">
        <w:rPr>
          <w:rFonts w:cstheme="minorHAnsi"/>
          <w:sz w:val="24"/>
          <w:szCs w:val="24"/>
          <w:lang w:val="en-US"/>
        </w:rPr>
        <w:t xml:space="preserve">ESBL: extended-spectrum </w:t>
      </w:r>
      <w:r w:rsidRPr="00187DEF">
        <w:rPr>
          <w:rFonts w:cstheme="minorHAnsi"/>
          <w:sz w:val="24"/>
          <w:szCs w:val="24"/>
          <w:lang w:val="en-US"/>
        </w:rPr>
        <w:sym w:font="Symbol" w:char="F062"/>
      </w:r>
      <w:r w:rsidRPr="00187DEF">
        <w:rPr>
          <w:rFonts w:cstheme="minorHAnsi"/>
          <w:sz w:val="24"/>
          <w:szCs w:val="24"/>
          <w:lang w:val="en-US"/>
        </w:rPr>
        <w:t xml:space="preserve">-lactamase; GES: </w:t>
      </w:r>
      <w:r w:rsidRPr="00187DEF">
        <w:rPr>
          <w:rFonts w:eastAsia="Times New Roman" w:cstheme="minorHAnsi"/>
          <w:sz w:val="24"/>
          <w:szCs w:val="24"/>
          <w:lang w:val="en-US" w:eastAsia="en-GB"/>
        </w:rPr>
        <w:t>Guiana-Extended-Spectrum;</w:t>
      </w:r>
      <w:r w:rsidRPr="00187DEF">
        <w:rPr>
          <w:rFonts w:cstheme="minorHAnsi"/>
          <w:sz w:val="24"/>
          <w:szCs w:val="24"/>
          <w:lang w:val="en-US"/>
        </w:rPr>
        <w:t xml:space="preserve"> IMP: </w:t>
      </w:r>
      <w:r w:rsidRPr="00187DEF">
        <w:rPr>
          <w:rFonts w:eastAsia="Times New Roman" w:cstheme="minorHAnsi"/>
          <w:sz w:val="24"/>
          <w:szCs w:val="24"/>
          <w:lang w:val="en-US" w:eastAsia="en-GB"/>
        </w:rPr>
        <w:t xml:space="preserve">imipenemase; </w:t>
      </w:r>
      <w:r w:rsidRPr="00187DEF">
        <w:rPr>
          <w:rFonts w:cstheme="minorHAnsi"/>
          <w:sz w:val="24"/>
          <w:szCs w:val="24"/>
          <w:lang w:val="en-US"/>
        </w:rPr>
        <w:t>MBL: metallo-</w:t>
      </w:r>
      <w:r w:rsidRPr="00187DEF">
        <w:rPr>
          <w:rFonts w:cstheme="minorHAnsi"/>
          <w:sz w:val="24"/>
          <w:szCs w:val="24"/>
          <w:lang w:val="en-US"/>
        </w:rPr>
        <w:sym w:font="Symbol" w:char="F062"/>
      </w:r>
      <w:r w:rsidRPr="00187DEF">
        <w:rPr>
          <w:rFonts w:cstheme="minorHAnsi"/>
          <w:sz w:val="24"/>
          <w:szCs w:val="24"/>
          <w:lang w:val="en-US"/>
        </w:rPr>
        <w:t xml:space="preserve">-lactamase; </w:t>
      </w:r>
      <w:r w:rsidRPr="00187DEF">
        <w:rPr>
          <w:rFonts w:eastAsia="Times New Roman" w:cstheme="minorHAnsi"/>
          <w:sz w:val="24"/>
          <w:szCs w:val="24"/>
          <w:lang w:val="en-US" w:eastAsia="en-GB"/>
        </w:rPr>
        <w:t>MIC: minimum inhibitory concentration; MDR: multi-drug resistant; NDM: New Delhi metallo-</w:t>
      </w:r>
      <w:r w:rsidRPr="00187DEF">
        <w:rPr>
          <w:rFonts w:eastAsia="Times New Roman" w:cstheme="minorHAnsi"/>
          <w:sz w:val="24"/>
          <w:szCs w:val="24"/>
          <w:lang w:val="en-US" w:eastAsia="en-GB"/>
        </w:rPr>
        <w:sym w:font="Symbol" w:char="F062"/>
      </w:r>
      <w:r w:rsidRPr="00187DEF">
        <w:rPr>
          <w:rFonts w:eastAsia="Times New Roman" w:cstheme="minorHAnsi"/>
          <w:sz w:val="24"/>
          <w:szCs w:val="24"/>
          <w:lang w:val="en-US" w:eastAsia="en-GB"/>
        </w:rPr>
        <w:t xml:space="preserve">-lactamase; ST: sequence type; VEB: Vietnamese extended-spectrum </w:t>
      </w:r>
      <w:r w:rsidRPr="00187DEF">
        <w:rPr>
          <w:rFonts w:eastAsia="Times New Roman" w:cstheme="minorHAnsi"/>
          <w:sz w:val="24"/>
          <w:szCs w:val="24"/>
          <w:lang w:val="en-US" w:eastAsia="en-GB"/>
        </w:rPr>
        <w:sym w:font="Symbol" w:char="F062"/>
      </w:r>
      <w:r w:rsidRPr="00187DEF">
        <w:rPr>
          <w:rFonts w:eastAsia="Times New Roman" w:cstheme="minorHAnsi"/>
          <w:sz w:val="24"/>
          <w:szCs w:val="24"/>
          <w:lang w:val="en-US" w:eastAsia="en-GB"/>
        </w:rPr>
        <w:t>-lactamase; VIM: Verona integron-encoded metallo-β-lactamase; WGS: whole-genome sequencing.</w:t>
      </w:r>
    </w:p>
    <w:p w14:paraId="4EDEF7DF" w14:textId="77777777" w:rsidR="009E76BE" w:rsidRDefault="009E76BE" w:rsidP="00CA58BC">
      <w:pPr>
        <w:spacing w:after="0" w:line="480" w:lineRule="auto"/>
        <w:rPr>
          <w:rFonts w:eastAsia="Times New Roman" w:cstheme="minorHAnsi"/>
          <w:b/>
          <w:bCs/>
          <w:sz w:val="24"/>
          <w:szCs w:val="24"/>
          <w:lang w:val="en-US" w:eastAsia="en-GB"/>
        </w:rPr>
      </w:pPr>
      <w:r w:rsidRPr="00422FE4">
        <w:rPr>
          <w:rFonts w:eastAsia="Times New Roman" w:cstheme="minorHAnsi"/>
          <w:b/>
          <w:bCs/>
          <w:sz w:val="24"/>
          <w:szCs w:val="24"/>
          <w:lang w:val="en-US" w:eastAsia="en-GB"/>
        </w:rPr>
        <w:t>Author</w:t>
      </w:r>
      <w:r>
        <w:rPr>
          <w:rFonts w:eastAsia="Times New Roman" w:cstheme="minorHAnsi"/>
          <w:b/>
          <w:bCs/>
          <w:sz w:val="24"/>
          <w:szCs w:val="24"/>
          <w:lang w:val="en-US" w:eastAsia="en-GB"/>
        </w:rPr>
        <w:t>s’</w:t>
      </w:r>
      <w:r w:rsidRPr="00422FE4">
        <w:rPr>
          <w:rFonts w:eastAsia="Times New Roman" w:cstheme="minorHAnsi"/>
          <w:b/>
          <w:bCs/>
          <w:sz w:val="24"/>
          <w:szCs w:val="24"/>
          <w:lang w:val="en-US" w:eastAsia="en-GB"/>
        </w:rPr>
        <w:t xml:space="preserve"> Contribution</w:t>
      </w:r>
    </w:p>
    <w:p w14:paraId="5AD7F67C" w14:textId="77777777" w:rsidR="009E76BE" w:rsidRDefault="009E76BE" w:rsidP="00CA58BC">
      <w:pPr>
        <w:spacing w:after="0" w:line="480" w:lineRule="auto"/>
        <w:rPr>
          <w:rFonts w:eastAsia="Times New Roman" w:cstheme="minorHAnsi"/>
          <w:b/>
          <w:bCs/>
          <w:sz w:val="24"/>
          <w:szCs w:val="24"/>
          <w:lang w:val="en-US" w:eastAsia="en-GB"/>
        </w:rPr>
      </w:pPr>
      <w:r w:rsidRPr="00CA58BC">
        <w:rPr>
          <w:rFonts w:eastAsia="Times New Roman" w:cstheme="minorHAnsi"/>
          <w:sz w:val="24"/>
          <w:szCs w:val="24"/>
          <w:lang w:val="en-US" w:eastAsia="en-GB"/>
        </w:rPr>
        <w:t xml:space="preserve">Conception and design of study: M.A.S., E.B.I.; Acquisition of data: M.A.S., F.A.K.; Data analysis and interpretation: M.A.S., A.S.O.; Drafting of manuscript: M.A.S., A.S.O. </w:t>
      </w:r>
      <w:r w:rsidRPr="00CA58BC">
        <w:rPr>
          <w:rFonts w:cstheme="minorHAnsi"/>
          <w:sz w:val="24"/>
          <w:szCs w:val="24"/>
          <w:lang w:val="en-US"/>
        </w:rPr>
        <w:t>All authors critically reviewed the manuscript and agreed to its publication.</w:t>
      </w:r>
      <w:r w:rsidRPr="00422FE4">
        <w:rPr>
          <w:rFonts w:cstheme="minorHAnsi"/>
          <w:sz w:val="24"/>
          <w:szCs w:val="24"/>
          <w:lang w:val="en-US"/>
        </w:rPr>
        <w:t xml:space="preserve"> </w:t>
      </w:r>
    </w:p>
    <w:p w14:paraId="2A17D009" w14:textId="77777777" w:rsidR="009E76BE" w:rsidRPr="00D63B35" w:rsidRDefault="009E76BE" w:rsidP="00CA58BC">
      <w:pPr>
        <w:spacing w:after="0" w:line="480" w:lineRule="auto"/>
        <w:rPr>
          <w:rFonts w:eastAsia="Times New Roman" w:cstheme="minorHAnsi"/>
          <w:b/>
          <w:bCs/>
          <w:sz w:val="24"/>
          <w:szCs w:val="24"/>
          <w:lang w:val="en-US" w:eastAsia="en-GB"/>
        </w:rPr>
      </w:pPr>
      <w:r w:rsidRPr="00D63B35">
        <w:rPr>
          <w:rFonts w:eastAsia="Times New Roman" w:cstheme="minorHAnsi"/>
          <w:b/>
          <w:bCs/>
          <w:sz w:val="24"/>
          <w:szCs w:val="24"/>
          <w:lang w:val="en-US" w:eastAsia="en-GB"/>
        </w:rPr>
        <w:t>Funding</w:t>
      </w:r>
    </w:p>
    <w:p w14:paraId="6E94ACB4" w14:textId="77777777" w:rsidR="009E76BE" w:rsidRPr="00CF5793" w:rsidRDefault="009E76BE" w:rsidP="00CA58BC">
      <w:pPr>
        <w:spacing w:after="0" w:line="480" w:lineRule="auto"/>
        <w:rPr>
          <w:rFonts w:eastAsia="Times New Roman" w:cstheme="minorHAnsi"/>
          <w:sz w:val="24"/>
          <w:szCs w:val="24"/>
          <w:lang w:val="en-US" w:eastAsia="en-GB"/>
        </w:rPr>
      </w:pPr>
      <w:r w:rsidRPr="00977C42">
        <w:rPr>
          <w:rFonts w:eastAsia="Times New Roman" w:cstheme="minorHAnsi"/>
          <w:sz w:val="24"/>
          <w:szCs w:val="24"/>
          <w:lang w:val="en-US" w:eastAsia="en-GB"/>
        </w:rPr>
        <w:t>The publication is supported by a grant from Qatar National Library</w:t>
      </w:r>
      <w:r>
        <w:rPr>
          <w:rFonts w:eastAsia="Times New Roman" w:cstheme="minorHAnsi"/>
          <w:sz w:val="24"/>
          <w:szCs w:val="24"/>
          <w:lang w:val="en-US" w:eastAsia="en-GB"/>
        </w:rPr>
        <w:t xml:space="preserve">. </w:t>
      </w:r>
      <w:r w:rsidRPr="00224415">
        <w:rPr>
          <w:rFonts w:eastAsia="Times New Roman" w:cstheme="minorHAnsi"/>
          <w:sz w:val="24"/>
          <w:szCs w:val="24"/>
          <w:lang w:val="en-US" w:eastAsia="en-GB"/>
        </w:rPr>
        <w:t>The study was funded by an internal research grant (IRGC-01–51-033 to EI</w:t>
      </w:r>
      <w:r w:rsidRPr="00FE4F21">
        <w:rPr>
          <w:rFonts w:eastAsia="Times New Roman" w:cstheme="minorHAnsi"/>
          <w:sz w:val="24"/>
          <w:szCs w:val="24"/>
          <w:lang w:val="en-US" w:eastAsia="en-GB"/>
        </w:rPr>
        <w:t xml:space="preserve">) from the Medical Research Centre at Hamad Medical Corporation, Doha, Qatar. Support was also provided </w:t>
      </w:r>
      <w:r w:rsidRPr="00462D83">
        <w:rPr>
          <w:rFonts w:eastAsia="Times New Roman" w:cstheme="minorHAnsi"/>
          <w:sz w:val="24"/>
          <w:szCs w:val="24"/>
          <w:lang w:val="en-US" w:eastAsia="en-GB"/>
        </w:rPr>
        <w:t>by NPRP grant (</w:t>
      </w:r>
      <w:r w:rsidRPr="00751248">
        <w:rPr>
          <w:rFonts w:eastAsia="Times New Roman" w:cstheme="minorHAnsi"/>
          <w:sz w:val="24"/>
          <w:szCs w:val="24"/>
          <w:lang w:val="en-US" w:eastAsia="en-GB"/>
        </w:rPr>
        <w:t>NPRP12S-0219-190109 to A</w:t>
      </w:r>
      <w:r w:rsidRPr="00612AAB">
        <w:rPr>
          <w:rFonts w:eastAsia="Times New Roman" w:cstheme="minorHAnsi"/>
          <w:sz w:val="24"/>
          <w:szCs w:val="24"/>
          <w:lang w:val="en-US" w:eastAsia="en-GB"/>
        </w:rPr>
        <w:t>AS) from the Qatar National Research Fund (a member of Qatar Foundation)</w:t>
      </w:r>
      <w:r w:rsidRPr="00422FE4">
        <w:rPr>
          <w:rFonts w:eastAsia="Times New Roman" w:cstheme="minorHAnsi"/>
          <w:sz w:val="24"/>
          <w:szCs w:val="24"/>
          <w:lang w:val="en-US" w:eastAsia="en-GB"/>
        </w:rPr>
        <w:t xml:space="preserve"> and the Swedish Research Council for Environment, Agricultural Sciences, and Spatial Planning (Formas) (grant 219-2014-837 to JJ</w:t>
      </w:r>
      <w:r>
        <w:rPr>
          <w:rFonts w:eastAsia="Times New Roman" w:cstheme="minorHAnsi"/>
          <w:sz w:val="24"/>
          <w:szCs w:val="24"/>
          <w:lang w:val="en-US" w:eastAsia="en-GB"/>
        </w:rPr>
        <w:t xml:space="preserve"> and BS</w:t>
      </w:r>
      <w:r w:rsidRPr="00422FE4">
        <w:rPr>
          <w:rFonts w:eastAsia="Times New Roman" w:cstheme="minorHAnsi"/>
          <w:sz w:val="24"/>
          <w:szCs w:val="24"/>
          <w:lang w:val="en-US" w:eastAsia="en-GB"/>
        </w:rPr>
        <w:t>). The funders were not involved in the conduct of the study, the preparation of the manuscript, or the decision to submit the manuscript for publication.</w:t>
      </w:r>
    </w:p>
    <w:p w14:paraId="58B26183" w14:textId="77777777" w:rsidR="009E76BE" w:rsidRPr="00CF5793" w:rsidRDefault="009E76BE" w:rsidP="00BA3FFE">
      <w:pPr>
        <w:spacing w:after="0" w:line="480" w:lineRule="auto"/>
        <w:rPr>
          <w:rFonts w:eastAsia="Times New Roman" w:cstheme="minorHAnsi"/>
          <w:b/>
          <w:bCs/>
          <w:sz w:val="24"/>
          <w:szCs w:val="24"/>
          <w:lang w:val="en-US" w:eastAsia="en-GB"/>
        </w:rPr>
      </w:pPr>
      <w:r w:rsidRPr="0005102A">
        <w:rPr>
          <w:rFonts w:eastAsia="Times New Roman" w:cstheme="minorHAnsi"/>
          <w:b/>
          <w:bCs/>
          <w:sz w:val="24"/>
          <w:szCs w:val="24"/>
          <w:lang w:val="en-US" w:eastAsia="en-GB"/>
        </w:rPr>
        <w:t>Availability of data and materials</w:t>
      </w:r>
      <w:r w:rsidRPr="00CF5793">
        <w:t xml:space="preserve"> </w:t>
      </w:r>
    </w:p>
    <w:p w14:paraId="4E53BCA0" w14:textId="77777777" w:rsidR="009E76BE" w:rsidRPr="00FB6B5C" w:rsidRDefault="009E76BE" w:rsidP="00BA3FFE">
      <w:pPr>
        <w:spacing w:after="0" w:line="480" w:lineRule="auto"/>
        <w:rPr>
          <w:rFonts w:eastAsia="Times New Roman" w:cstheme="minorHAnsi"/>
          <w:sz w:val="24"/>
          <w:szCs w:val="24"/>
          <w:lang w:val="en-US" w:eastAsia="en-GB"/>
        </w:rPr>
      </w:pPr>
      <w:r w:rsidRPr="00187DEF">
        <w:rPr>
          <w:rFonts w:eastAsia="Times New Roman" w:cstheme="minorHAnsi"/>
          <w:sz w:val="24"/>
          <w:szCs w:val="24"/>
          <w:lang w:val="en-US" w:eastAsia="en-GB"/>
        </w:rPr>
        <w:t>The datasets used and analyzed during the current study are available from the corresponding author on reasonable request.</w:t>
      </w:r>
    </w:p>
    <w:p w14:paraId="7D781E63" w14:textId="77777777" w:rsidR="009E76BE" w:rsidRPr="00A56CA6" w:rsidRDefault="009E76BE" w:rsidP="00CA58BC">
      <w:pPr>
        <w:spacing w:after="0" w:line="480" w:lineRule="auto"/>
        <w:rPr>
          <w:rFonts w:eastAsia="Times New Roman" w:cstheme="minorHAnsi"/>
          <w:b/>
          <w:bCs/>
          <w:sz w:val="24"/>
          <w:szCs w:val="24"/>
          <w:lang w:val="en-US" w:eastAsia="en-GB"/>
        </w:rPr>
      </w:pPr>
      <w:r w:rsidRPr="00A56CA6">
        <w:rPr>
          <w:rFonts w:eastAsia="Times New Roman" w:cstheme="minorHAnsi"/>
          <w:b/>
          <w:bCs/>
          <w:sz w:val="24"/>
          <w:szCs w:val="24"/>
          <w:lang w:val="en-US" w:eastAsia="en-GB"/>
        </w:rPr>
        <w:t>Ethic</w:t>
      </w:r>
      <w:r>
        <w:rPr>
          <w:rFonts w:eastAsia="Times New Roman" w:cstheme="minorHAnsi"/>
          <w:b/>
          <w:bCs/>
          <w:sz w:val="24"/>
          <w:szCs w:val="24"/>
          <w:lang w:val="en-US" w:eastAsia="en-GB"/>
        </w:rPr>
        <w:t>al</w:t>
      </w:r>
      <w:r w:rsidRPr="00A56CA6">
        <w:rPr>
          <w:rFonts w:eastAsia="Times New Roman" w:cstheme="minorHAnsi"/>
          <w:b/>
          <w:bCs/>
          <w:sz w:val="24"/>
          <w:szCs w:val="24"/>
          <w:lang w:val="en-US" w:eastAsia="en-GB"/>
        </w:rPr>
        <w:t xml:space="preserve"> approval</w:t>
      </w:r>
    </w:p>
    <w:p w14:paraId="0432BB1F" w14:textId="77777777" w:rsidR="009E76BE" w:rsidRPr="00A56CA6" w:rsidRDefault="009E76BE" w:rsidP="0005102A">
      <w:pPr>
        <w:spacing w:after="0" w:line="480" w:lineRule="auto"/>
        <w:rPr>
          <w:rFonts w:eastAsia="Times New Roman" w:cstheme="minorHAnsi"/>
          <w:sz w:val="24"/>
          <w:szCs w:val="24"/>
          <w:lang w:val="en-US" w:eastAsia="en-GB"/>
        </w:rPr>
      </w:pPr>
      <w:r w:rsidRPr="00A56CA6">
        <w:rPr>
          <w:rFonts w:eastAsia="Times New Roman" w:cstheme="minorHAnsi"/>
          <w:sz w:val="24"/>
          <w:szCs w:val="24"/>
          <w:lang w:val="en-US" w:eastAsia="en-GB"/>
        </w:rPr>
        <w:t>This study was approved by the Research Ethics Committee (Protocol number IRGC-01-51-033) at Hamad Medical Corporation, Doha, Qatar.</w:t>
      </w:r>
    </w:p>
    <w:p w14:paraId="2941512E" w14:textId="77777777" w:rsidR="009E76BE" w:rsidRPr="00A56CA6" w:rsidRDefault="009E76BE" w:rsidP="0005102A">
      <w:pPr>
        <w:spacing w:after="0" w:line="480" w:lineRule="auto"/>
        <w:rPr>
          <w:rFonts w:eastAsia="Times New Roman" w:cstheme="minorHAnsi"/>
          <w:b/>
          <w:bCs/>
          <w:sz w:val="24"/>
          <w:szCs w:val="24"/>
          <w:lang w:val="en-US" w:eastAsia="en-GB"/>
        </w:rPr>
      </w:pPr>
      <w:r w:rsidRPr="00A56CA6">
        <w:rPr>
          <w:rFonts w:eastAsia="Times New Roman" w:cstheme="minorHAnsi"/>
          <w:b/>
          <w:bCs/>
          <w:sz w:val="24"/>
          <w:szCs w:val="24"/>
          <w:lang w:val="en-US" w:eastAsia="en-GB"/>
        </w:rPr>
        <w:lastRenderedPageBreak/>
        <w:t>Consent for publication</w:t>
      </w:r>
    </w:p>
    <w:p w14:paraId="49D41F09" w14:textId="77777777" w:rsidR="009E76BE" w:rsidRDefault="009E76BE" w:rsidP="0005102A">
      <w:pPr>
        <w:spacing w:after="0" w:line="480" w:lineRule="auto"/>
        <w:rPr>
          <w:rFonts w:eastAsia="Times New Roman" w:cstheme="minorHAnsi"/>
          <w:sz w:val="24"/>
          <w:szCs w:val="24"/>
          <w:lang w:val="en-US" w:eastAsia="en-GB"/>
        </w:rPr>
      </w:pPr>
      <w:r w:rsidRPr="00187DEF">
        <w:rPr>
          <w:rFonts w:eastAsia="Times New Roman" w:cstheme="minorHAnsi"/>
          <w:sz w:val="24"/>
          <w:szCs w:val="24"/>
          <w:lang w:val="en-US" w:eastAsia="en-GB"/>
        </w:rPr>
        <w:t>Not applicable.</w:t>
      </w:r>
      <w:r>
        <w:rPr>
          <w:rFonts w:eastAsia="Times New Roman" w:cstheme="minorHAnsi"/>
          <w:sz w:val="24"/>
          <w:szCs w:val="24"/>
          <w:lang w:val="en-US" w:eastAsia="en-GB"/>
        </w:rPr>
        <w:t xml:space="preserve"> </w:t>
      </w:r>
    </w:p>
    <w:p w14:paraId="69B7877D" w14:textId="77777777" w:rsidR="009E76BE" w:rsidRPr="00FB6B5C" w:rsidRDefault="009E76BE" w:rsidP="00FB6B5C">
      <w:pPr>
        <w:spacing w:after="0" w:line="480" w:lineRule="auto"/>
        <w:rPr>
          <w:rFonts w:eastAsia="Times New Roman" w:cstheme="minorHAnsi"/>
          <w:b/>
          <w:bCs/>
          <w:sz w:val="24"/>
          <w:szCs w:val="24"/>
          <w:lang w:val="en-US" w:eastAsia="en-GB"/>
        </w:rPr>
      </w:pPr>
      <w:r w:rsidRPr="00FB6B5C">
        <w:rPr>
          <w:rFonts w:eastAsia="Times New Roman" w:cstheme="minorHAnsi"/>
          <w:b/>
          <w:bCs/>
          <w:sz w:val="24"/>
          <w:szCs w:val="24"/>
          <w:lang w:val="en-US" w:eastAsia="en-GB"/>
        </w:rPr>
        <w:t>Competing interests</w:t>
      </w:r>
    </w:p>
    <w:p w14:paraId="40D5C3D7" w14:textId="77777777" w:rsidR="009E76BE" w:rsidRDefault="009E76BE" w:rsidP="00FB6B5C">
      <w:pPr>
        <w:spacing w:after="0" w:line="480" w:lineRule="auto"/>
        <w:rPr>
          <w:rFonts w:eastAsia="Times New Roman" w:cstheme="minorHAnsi"/>
          <w:b/>
          <w:bCs/>
          <w:sz w:val="24"/>
          <w:szCs w:val="24"/>
          <w:lang w:val="en-US" w:eastAsia="en-GB"/>
        </w:rPr>
      </w:pPr>
      <w:r w:rsidRPr="00187DEF">
        <w:rPr>
          <w:rFonts w:eastAsia="Times New Roman" w:cstheme="minorHAnsi"/>
          <w:sz w:val="24"/>
          <w:szCs w:val="24"/>
          <w:lang w:val="en-US" w:eastAsia="en-GB"/>
        </w:rPr>
        <w:t>The authors declare that they have no competing interests.</w:t>
      </w:r>
    </w:p>
    <w:p w14:paraId="63C6EB7D" w14:textId="77777777" w:rsidR="009E76BE" w:rsidRPr="00E93D08" w:rsidRDefault="009E76BE" w:rsidP="00E93D08">
      <w:pPr>
        <w:spacing w:after="0" w:line="480" w:lineRule="auto"/>
        <w:rPr>
          <w:rFonts w:cstheme="minorHAnsi"/>
          <w:b/>
          <w:sz w:val="24"/>
          <w:szCs w:val="24"/>
          <w:lang w:val="en-US"/>
        </w:rPr>
      </w:pPr>
      <w:r w:rsidRPr="00422FE4">
        <w:rPr>
          <w:rFonts w:cstheme="minorHAnsi"/>
          <w:b/>
          <w:sz w:val="24"/>
          <w:szCs w:val="24"/>
          <w:lang w:val="en-US"/>
        </w:rPr>
        <w:t>References</w:t>
      </w:r>
    </w:p>
    <w:p w14:paraId="61451930" w14:textId="77777777" w:rsidR="009E76BE" w:rsidRPr="00261832" w:rsidRDefault="009E76BE" w:rsidP="009E76BE">
      <w:pPr>
        <w:pStyle w:val="EndNoteBibliography"/>
        <w:spacing w:after="0"/>
        <w:jc w:val="left"/>
      </w:pPr>
      <w:r w:rsidRPr="00261832">
        <w:t>1.</w:t>
      </w:r>
      <w:r w:rsidRPr="00261832">
        <w:tab/>
        <w:t>Horcajada JP, Montero M, Oliver A, Sorli L, Luque S, Gomez-Zorrilla S, et al. Epidemiology and Treatment of Multidrug-Resistant and Extensively Drug-Resistant Pseudomonas aeruginosa Infections. Clin Microbiol Rev. 2019;32(4):e00031-19.</w:t>
      </w:r>
    </w:p>
    <w:p w14:paraId="32E42D2A" w14:textId="77777777" w:rsidR="009E76BE" w:rsidRPr="00261832" w:rsidRDefault="009E76BE" w:rsidP="009E76BE">
      <w:pPr>
        <w:pStyle w:val="EndNoteBibliography"/>
        <w:spacing w:after="0"/>
        <w:jc w:val="left"/>
      </w:pPr>
      <w:r w:rsidRPr="00261832">
        <w:t>2.</w:t>
      </w:r>
      <w:r w:rsidRPr="00261832">
        <w:tab/>
        <w:t xml:space="preserve">Oliver A, Mulet X, Lopez-Causape C, Juan C. The increasing threat of Pseudomonas aeruginosa high-risk clones. </w:t>
      </w:r>
      <w:r w:rsidRPr="009E76BE">
        <w:t>Drug Resist Updat</w:t>
      </w:r>
      <w:r w:rsidRPr="00261832">
        <w:t>. 2015;21-22:41-59.</w:t>
      </w:r>
    </w:p>
    <w:p w14:paraId="76A57F38" w14:textId="77777777" w:rsidR="009E76BE" w:rsidRPr="00261832" w:rsidRDefault="009E76BE" w:rsidP="009E76BE">
      <w:pPr>
        <w:pStyle w:val="EndNoteBibliography"/>
        <w:spacing w:after="0"/>
        <w:jc w:val="left"/>
      </w:pPr>
      <w:r w:rsidRPr="00261832">
        <w:t>3.</w:t>
      </w:r>
      <w:r w:rsidRPr="00261832">
        <w:tab/>
        <w:t xml:space="preserve">Magiorakos AP, Srinivasan A, Carey RB, Carmeli Y, Falagas ME, Giske CG, et al. Multidrug-resistant, extensively drug-resistant and pandrug-resistant bacteria: an international expert proposal for interim standard definitions for acquired resistance. Clin </w:t>
      </w:r>
      <w:r>
        <w:t>M</w:t>
      </w:r>
      <w:r w:rsidRPr="00261832">
        <w:t xml:space="preserve">icrobiol </w:t>
      </w:r>
      <w:r>
        <w:t>I</w:t>
      </w:r>
      <w:r w:rsidRPr="00261832">
        <w:t>nfect</w:t>
      </w:r>
      <w:r>
        <w:t>.</w:t>
      </w:r>
      <w:r w:rsidRPr="00261832">
        <w:t xml:space="preserve"> 2012;18(3):268-81.</w:t>
      </w:r>
    </w:p>
    <w:p w14:paraId="460E74D0" w14:textId="77777777" w:rsidR="009E76BE" w:rsidRPr="00261832" w:rsidRDefault="009E76BE" w:rsidP="009E76BE">
      <w:pPr>
        <w:pStyle w:val="EndNoteBibliography"/>
        <w:spacing w:after="0"/>
        <w:jc w:val="left"/>
      </w:pPr>
      <w:r w:rsidRPr="00261832">
        <w:t>4.</w:t>
      </w:r>
      <w:r w:rsidRPr="00261832">
        <w:tab/>
        <w:t>Bush K. The ABCD’s of β-lactamase nomenclature. J Infect Chemother. 2013;19(4):549-59.</w:t>
      </w:r>
    </w:p>
    <w:p w14:paraId="33A437F0" w14:textId="77777777" w:rsidR="009E76BE" w:rsidRPr="00261832" w:rsidRDefault="009E76BE" w:rsidP="009E76BE">
      <w:pPr>
        <w:pStyle w:val="EndNoteBibliography"/>
        <w:spacing w:after="0"/>
        <w:jc w:val="left"/>
      </w:pPr>
      <w:r w:rsidRPr="00261832">
        <w:t>5.</w:t>
      </w:r>
      <w:r w:rsidRPr="00261832">
        <w:tab/>
        <w:t xml:space="preserve">Haidar G, Philips NJ, Shields RK, Snyder D, Cheng S, Potoski BA, et al. Ceftolozane-Tazobactam for the Treatment of Multidrug-Resistant Pseudomonas aeruginosa Infections: Clinical Effectiveness and Evolution of Resistance. Clin </w:t>
      </w:r>
      <w:r>
        <w:t>I</w:t>
      </w:r>
      <w:r w:rsidRPr="00261832">
        <w:t xml:space="preserve">nfect </w:t>
      </w:r>
      <w:r>
        <w:t>D</w:t>
      </w:r>
      <w:r w:rsidRPr="00261832">
        <w:t>is. 2017;65(1):110-20.</w:t>
      </w:r>
    </w:p>
    <w:p w14:paraId="3E02CD00" w14:textId="77777777" w:rsidR="009E76BE" w:rsidRPr="00261832" w:rsidRDefault="009E76BE" w:rsidP="009E76BE">
      <w:pPr>
        <w:pStyle w:val="EndNoteBibliography"/>
        <w:spacing w:after="0"/>
        <w:jc w:val="left"/>
      </w:pPr>
      <w:r w:rsidRPr="00261832">
        <w:t>6.</w:t>
      </w:r>
      <w:r w:rsidRPr="00261832">
        <w:tab/>
        <w:t xml:space="preserve">Yezli S, Shibl AM, Memish ZA. The molecular basis of beta-lactamase production in Gram-negative bacteria from Saudi Arabia. J </w:t>
      </w:r>
      <w:r>
        <w:t>M</w:t>
      </w:r>
      <w:r w:rsidRPr="00261832">
        <w:t xml:space="preserve">ed </w:t>
      </w:r>
      <w:r>
        <w:t>M</w:t>
      </w:r>
      <w:r w:rsidRPr="00261832">
        <w:t>icrobiol. 2015;64(Pt 2):127-36.</w:t>
      </w:r>
    </w:p>
    <w:p w14:paraId="0C7F5889" w14:textId="77777777" w:rsidR="009E76BE" w:rsidRPr="00261832" w:rsidRDefault="009E76BE" w:rsidP="009E76BE">
      <w:pPr>
        <w:pStyle w:val="EndNoteBibliography"/>
        <w:spacing w:after="0"/>
        <w:jc w:val="left"/>
      </w:pPr>
      <w:r w:rsidRPr="00261832">
        <w:t>7.</w:t>
      </w:r>
      <w:r w:rsidRPr="00261832">
        <w:tab/>
        <w:t xml:space="preserve">Zowawi HM, Syrmis MW, Kidd TJ, Balkhy HH, Walsh TR, Al Johani SM, et al. Identification of carbapenem-resistant Pseudomonas aeruginosa in selected hospitals of the </w:t>
      </w:r>
      <w:r w:rsidRPr="00261832">
        <w:lastRenderedPageBreak/>
        <w:t xml:space="preserve">Gulf Cooperation Council States: dominance of high-risk clones in the region. J </w:t>
      </w:r>
      <w:r>
        <w:t>M</w:t>
      </w:r>
      <w:r w:rsidRPr="00261832">
        <w:t xml:space="preserve">ed </w:t>
      </w:r>
      <w:r>
        <w:t>M</w:t>
      </w:r>
      <w:r w:rsidRPr="00261832">
        <w:t>icrobiol. 2018;67(6):846-53.</w:t>
      </w:r>
    </w:p>
    <w:p w14:paraId="0C7449F4" w14:textId="77777777" w:rsidR="009E76BE" w:rsidRPr="00261832" w:rsidRDefault="009E76BE" w:rsidP="009E76BE">
      <w:pPr>
        <w:pStyle w:val="EndNoteBibliography"/>
        <w:spacing w:after="0"/>
        <w:jc w:val="left"/>
      </w:pPr>
      <w:r w:rsidRPr="00261832">
        <w:t>8.</w:t>
      </w:r>
      <w:r w:rsidRPr="00261832">
        <w:tab/>
        <w:t>Ghasemian A, Salimian Rizi K, Rajabi Vardanjani H, Nojoomi F. Prevalence of Clinically Isolated Metallo-beta-lactamase-producing Pseudomonas aeruginosa, Coding Genes, and Possible Risk Factors in Iran. Iran J Pathol. 2018;13(1):1-9.</w:t>
      </w:r>
    </w:p>
    <w:p w14:paraId="6445C25F" w14:textId="77777777" w:rsidR="009E76BE" w:rsidRPr="00261832" w:rsidRDefault="009E76BE" w:rsidP="009E76BE">
      <w:pPr>
        <w:pStyle w:val="EndNoteBibliography"/>
        <w:spacing w:after="0"/>
        <w:jc w:val="left"/>
      </w:pPr>
      <w:r w:rsidRPr="00261832">
        <w:t>9.</w:t>
      </w:r>
      <w:r w:rsidRPr="00261832">
        <w:tab/>
        <w:t>Khan AU, Maryam L, Zarrilli R. Structure, Genetics and Worldwide Spread of New Delhi Metallo-β-lactamase (NDM): a threat to public health. BMC Microbiol. 2017;17(1):101.</w:t>
      </w:r>
    </w:p>
    <w:p w14:paraId="633EA135" w14:textId="77777777" w:rsidR="009E76BE" w:rsidRPr="00261832" w:rsidRDefault="009E76BE" w:rsidP="009E76BE">
      <w:pPr>
        <w:pStyle w:val="EndNoteBibliography"/>
        <w:spacing w:after="0"/>
        <w:jc w:val="left"/>
      </w:pPr>
      <w:r w:rsidRPr="00261832">
        <w:t>10.</w:t>
      </w:r>
      <w:r w:rsidRPr="00261832">
        <w:tab/>
        <w:t>Ortiz de la Rosa J-M, Nordmann P, Poirel L. ESBLs and resistance to ceftazidime/avibactam and ceftolozane/tazobactam combinations in Escherichia coli and Pseudomonas aeruginosa. J Antimicrob Chemother. 2019:</w:t>
      </w:r>
      <w:r>
        <w:t>74(7):</w:t>
      </w:r>
      <w:r w:rsidRPr="009E76BE">
        <w:t>1934-1939</w:t>
      </w:r>
      <w:r w:rsidRPr="00261832">
        <w:t>.</w:t>
      </w:r>
    </w:p>
    <w:p w14:paraId="74BB6144" w14:textId="77777777" w:rsidR="009E76BE" w:rsidRPr="00261832" w:rsidRDefault="009E76BE" w:rsidP="009E76BE">
      <w:pPr>
        <w:pStyle w:val="EndNoteBibliography"/>
        <w:spacing w:after="0"/>
        <w:jc w:val="left"/>
      </w:pPr>
      <w:r w:rsidRPr="00261832">
        <w:t>11.</w:t>
      </w:r>
      <w:r w:rsidRPr="00261832">
        <w:tab/>
        <w:t xml:space="preserve">Lahiri SD, Alm RA. Identification of Novel VEB β-Lactamase Enzymes and Their Impact on Avibactam Inhibition. </w:t>
      </w:r>
      <w:r>
        <w:t>Antimicrob Agents Chemother</w:t>
      </w:r>
      <w:r w:rsidRPr="00261832">
        <w:t>. 2016;60(5):3183-6.</w:t>
      </w:r>
    </w:p>
    <w:p w14:paraId="538F66F0" w14:textId="77777777" w:rsidR="009E76BE" w:rsidRPr="00261832" w:rsidRDefault="009E76BE" w:rsidP="009E76BE">
      <w:pPr>
        <w:pStyle w:val="EndNoteBibliography"/>
        <w:spacing w:after="0"/>
        <w:jc w:val="left"/>
      </w:pPr>
      <w:r w:rsidRPr="00261832">
        <w:t>12.</w:t>
      </w:r>
      <w:r w:rsidRPr="00261832">
        <w:tab/>
        <w:t>Recio R, Villa J, Viedma E, Orellana MÁ, Lora-Tamayo J, Chaves F. Bacteraemia due to extensively drug-resistant Pseudomonas aeruginosa sequence type 235 high-risk clone: Facing the perfect storm. Int J Antimicrob Agents. 2018;52(2):172-9.</w:t>
      </w:r>
    </w:p>
    <w:p w14:paraId="3F6CDB21" w14:textId="77777777" w:rsidR="009E76BE" w:rsidRPr="00261832" w:rsidRDefault="009E76BE" w:rsidP="009E76BE">
      <w:pPr>
        <w:pStyle w:val="EndNoteBibliography"/>
        <w:spacing w:after="0"/>
        <w:jc w:val="left"/>
      </w:pPr>
      <w:r w:rsidRPr="00261832">
        <w:t>13.</w:t>
      </w:r>
      <w:r w:rsidRPr="00261832">
        <w:tab/>
        <w:t>Poirel L, Rotimi V. O., Mokaddas E. M., Karim A., Nordmann P. VEB-1-like Extended-Spectrum ß-Lactamases in Pseudomonas aeruginosa, Kuwait. Emerg Infect Dis. 2007;7(3):468-70.</w:t>
      </w:r>
    </w:p>
    <w:p w14:paraId="4E1F67F0" w14:textId="77777777" w:rsidR="009E76BE" w:rsidRPr="00261832" w:rsidRDefault="009E76BE" w:rsidP="009E76BE">
      <w:pPr>
        <w:pStyle w:val="EndNoteBibliography"/>
        <w:spacing w:after="0"/>
        <w:jc w:val="left"/>
      </w:pPr>
      <w:r w:rsidRPr="00261832">
        <w:t>14.</w:t>
      </w:r>
      <w:r w:rsidRPr="00261832">
        <w:tab/>
        <w:t>Al-Agamy MH, Shibl AM, Tawfik AF, Elkhizzi NA, Livermore DM. Extended-spectrum and metallo-beta-lactamases among ceftazidime-resistant Pseudomonas aeruginosa in Riyadh, Saudi Arabia. J Chemother. 2012;24(2):97-100.</w:t>
      </w:r>
    </w:p>
    <w:p w14:paraId="25E3520F" w14:textId="77777777" w:rsidR="009E76BE" w:rsidRPr="00261832" w:rsidRDefault="009E76BE" w:rsidP="009E76BE">
      <w:pPr>
        <w:pStyle w:val="EndNoteBibliography"/>
        <w:spacing w:after="0"/>
        <w:jc w:val="left"/>
      </w:pPr>
      <w:r w:rsidRPr="00261832">
        <w:t>15.</w:t>
      </w:r>
      <w:r w:rsidRPr="00261832">
        <w:tab/>
        <w:t xml:space="preserve">Amirkamali S, Naserpour-Farivar T, Azarhoosh K, Peymani A. Distribution of the bla OXA , bla VEB-1 , and bla GES-1 genes and resistance patterns of ESBL-producing </w:t>
      </w:r>
      <w:r w:rsidRPr="00261832">
        <w:lastRenderedPageBreak/>
        <w:t>Pseudomonas aeruginosa isolated from hospitals in Tehran and Qazvin, Iran. Rev Soc Bras Med Trop. 2017;50:315-20.</w:t>
      </w:r>
    </w:p>
    <w:p w14:paraId="1CCFC432" w14:textId="77777777" w:rsidR="009E76BE" w:rsidRPr="00261832" w:rsidRDefault="009E76BE" w:rsidP="009E76BE">
      <w:pPr>
        <w:pStyle w:val="EndNoteBibliography"/>
        <w:spacing w:after="0"/>
        <w:jc w:val="left"/>
      </w:pPr>
      <w:r w:rsidRPr="00261832">
        <w:t>16.</w:t>
      </w:r>
      <w:r w:rsidRPr="00261832">
        <w:tab/>
        <w:t>Laudy AE, Róg P, Smolińska-Król K, Ćmiel M, Słoczyńska A, Patzer J, et al. Prevalence of ESBL-producing Pseudomonas aeruginosa isolates in Warsaw, Poland, detected by various phenotypic and genotypic methods. PLoS One. 2017;12(6):e0180121.</w:t>
      </w:r>
    </w:p>
    <w:p w14:paraId="69A67539" w14:textId="77777777" w:rsidR="009E76BE" w:rsidRPr="00261832" w:rsidRDefault="009E76BE" w:rsidP="009E76BE">
      <w:pPr>
        <w:pStyle w:val="EndNoteBibliography"/>
        <w:spacing w:after="0"/>
        <w:jc w:val="left"/>
      </w:pPr>
      <w:r w:rsidRPr="00261832">
        <w:t>17.</w:t>
      </w:r>
      <w:r w:rsidRPr="00261832">
        <w:tab/>
        <w:t>Karlowsky JA, Kazmierczak KM, de Jonge BLM, Hackel MA, Sahm DF, Bradford PA. In Vitro Activity of Aztreonam-Avibactam against Enterobacteriaceae and Pseudomonas aeruginosa Isolated by Clinical Laboratories i</w:t>
      </w:r>
      <w:r w:rsidRPr="009E76BE">
        <w:t>n 40 Countries from 2012 to 2015. Antimicrob Agents Chemother. 2017;61(9):e00472-17.</w:t>
      </w:r>
    </w:p>
    <w:p w14:paraId="31EBFB5A" w14:textId="77777777" w:rsidR="009E76BE" w:rsidRPr="00261832" w:rsidRDefault="009E76BE" w:rsidP="009E76BE">
      <w:pPr>
        <w:pStyle w:val="EndNoteBibliography"/>
        <w:spacing w:after="0"/>
        <w:jc w:val="left"/>
      </w:pPr>
      <w:r w:rsidRPr="00261832">
        <w:t>18.</w:t>
      </w:r>
      <w:r w:rsidRPr="00261832">
        <w:tab/>
        <w:t>Hrabák J, Červená D, Izdebski R, Duljasz W, Gniadkowski M, Fridrichová M, et al. Regional Spread of Pseudomonas aeruginosa ST357 Producing IMP-7 Metallo-β-Lactamase in Central Europe. J Clin Microbiol. 2011;49(1):474-5.</w:t>
      </w:r>
    </w:p>
    <w:p w14:paraId="451677E6" w14:textId="77777777" w:rsidR="009E76BE" w:rsidRPr="00261832" w:rsidRDefault="009E76BE" w:rsidP="009E76BE">
      <w:pPr>
        <w:pStyle w:val="EndNoteBibliography"/>
        <w:spacing w:after="0"/>
        <w:jc w:val="left"/>
      </w:pPr>
      <w:r w:rsidRPr="00261832">
        <w:t>19.</w:t>
      </w:r>
      <w:r w:rsidRPr="00261832">
        <w:tab/>
        <w:t>Zafer MM, Al-Agamy MH, El-Mahallawy HA, Amin MA, El Din Ashour S. Dissemination of VIM-2 producing Pseudomonas aeruginosa ST233 at tertiary care hospitals in Egypt. BMC Infect Dis. 2015;15(1):122.</w:t>
      </w:r>
    </w:p>
    <w:p w14:paraId="0A0281FB" w14:textId="77777777" w:rsidR="009E76BE" w:rsidRPr="00261832" w:rsidRDefault="009E76BE" w:rsidP="009E76BE">
      <w:pPr>
        <w:pStyle w:val="EndNoteBibliography"/>
        <w:spacing w:after="0"/>
        <w:jc w:val="left"/>
      </w:pPr>
      <w:r w:rsidRPr="00261832">
        <w:t>20.</w:t>
      </w:r>
      <w:r w:rsidRPr="00261832">
        <w:tab/>
        <w:t>Balero de Paula S, Cayô R, Streling AP, Silva Nodari C, Pereira Matos A, Eches Perugini MR, et al. Detection of blaVIM-7 in an extensively drug-resistant Pseudomonas aeruginosa isolate belonging to ST1284 in Brazil. Diagn Microbiol Infect Dis. 2017;89(1):80-2.</w:t>
      </w:r>
    </w:p>
    <w:p w14:paraId="1D414258" w14:textId="77777777" w:rsidR="009E76BE" w:rsidRPr="00261832" w:rsidRDefault="009E76BE" w:rsidP="009E76BE">
      <w:pPr>
        <w:pStyle w:val="EndNoteBibliography"/>
        <w:jc w:val="left"/>
      </w:pPr>
      <w:r w:rsidRPr="00261832">
        <w:t>21.</w:t>
      </w:r>
      <w:r w:rsidRPr="00261832">
        <w:tab/>
        <w:t>Marvig RL, Dolce D, Sommer LM, Petersen B, Ciofu O, Campana S, et al. Within-host microevolution of Pseudomonas aeruginosa in Italian cystic fibrosis patients. BMC Microbiol. 2015;15(1):218.</w:t>
      </w:r>
    </w:p>
    <w:p w14:paraId="6B9ADA5F" w14:textId="77777777" w:rsidR="009E76BE" w:rsidRPr="00D065B4" w:rsidRDefault="009E76BE" w:rsidP="00261832">
      <w:pPr>
        <w:pageBreakBefore/>
        <w:rPr>
          <w:rFonts w:eastAsia="Calibri" w:cstheme="minorHAnsi"/>
          <w:b/>
          <w:bCs/>
          <w:color w:val="000000" w:themeColor="text1"/>
          <w:kern w:val="24"/>
          <w:sz w:val="24"/>
          <w:szCs w:val="24"/>
          <w:lang w:val="en-US" w:eastAsia="en-GB"/>
        </w:rPr>
      </w:pPr>
      <w:r w:rsidRPr="002F4FC7">
        <w:rPr>
          <w:rFonts w:eastAsia="Calibri" w:cstheme="minorHAnsi"/>
          <w:b/>
          <w:bCs/>
          <w:color w:val="000000" w:themeColor="text1"/>
          <w:kern w:val="24"/>
          <w:sz w:val="24"/>
          <w:szCs w:val="24"/>
          <w:lang w:val="en-US" w:eastAsia="en-GB"/>
        </w:rPr>
        <w:lastRenderedPageBreak/>
        <w:t>Figure legends and captions</w:t>
      </w:r>
    </w:p>
    <w:p w14:paraId="2EB85564" w14:textId="77777777" w:rsidR="009E76BE" w:rsidRPr="009917C7" w:rsidRDefault="009E76BE" w:rsidP="00F93F76">
      <w:pPr>
        <w:spacing w:after="0" w:line="480" w:lineRule="auto"/>
        <w:rPr>
          <w:rFonts w:eastAsia="Calibri" w:cstheme="minorHAnsi"/>
          <w:color w:val="000000" w:themeColor="text1"/>
          <w:kern w:val="24"/>
          <w:sz w:val="24"/>
          <w:szCs w:val="24"/>
          <w:lang w:val="en-US" w:eastAsia="en-GB"/>
        </w:rPr>
      </w:pPr>
      <w:r w:rsidRPr="00344932">
        <w:rPr>
          <w:rFonts w:eastAsia="Calibri" w:cstheme="minorHAnsi"/>
          <w:b/>
          <w:bCs/>
          <w:color w:val="000000" w:themeColor="text1"/>
          <w:kern w:val="24"/>
          <w:sz w:val="24"/>
          <w:szCs w:val="24"/>
          <w:lang w:val="en-US" w:eastAsia="en-GB"/>
        </w:rPr>
        <w:t xml:space="preserve">Figure 1. </w:t>
      </w:r>
      <w:r w:rsidRPr="00344932">
        <w:rPr>
          <w:rFonts w:eastAsia="Calibri" w:cstheme="minorHAnsi"/>
          <w:color w:val="000000" w:themeColor="text1"/>
          <w:kern w:val="24"/>
          <w:sz w:val="24"/>
          <w:szCs w:val="24"/>
          <w:lang w:val="en-US" w:eastAsia="en-GB"/>
        </w:rPr>
        <w:t>Antimicrobial susceptibility testing results for 75 MDR-</w:t>
      </w:r>
      <w:r w:rsidRPr="002F4D7F">
        <w:rPr>
          <w:rFonts w:eastAsia="Calibri" w:cstheme="minorHAnsi"/>
          <w:i/>
          <w:iCs/>
          <w:color w:val="000000" w:themeColor="text1"/>
          <w:kern w:val="24"/>
          <w:sz w:val="24"/>
          <w:szCs w:val="24"/>
          <w:lang w:val="en-US" w:eastAsia="en-GB"/>
        </w:rPr>
        <w:t>P. aeruginosa</w:t>
      </w:r>
      <w:r w:rsidRPr="0029291D">
        <w:rPr>
          <w:rFonts w:eastAsia="Calibri" w:cstheme="minorHAnsi"/>
          <w:color w:val="000000" w:themeColor="text1"/>
          <w:kern w:val="24"/>
          <w:sz w:val="24"/>
          <w:szCs w:val="24"/>
          <w:lang w:val="en-US" w:eastAsia="en-GB"/>
        </w:rPr>
        <w:t xml:space="preserve"> isolates</w:t>
      </w:r>
      <w:r>
        <w:rPr>
          <w:rFonts w:eastAsia="Calibri" w:cstheme="minorHAnsi"/>
          <w:color w:val="000000" w:themeColor="text1"/>
          <w:kern w:val="24"/>
          <w:sz w:val="24"/>
          <w:szCs w:val="24"/>
          <w:lang w:val="en-US" w:eastAsia="en-GB"/>
        </w:rPr>
        <w:t xml:space="preserve"> from Qatar</w:t>
      </w:r>
    </w:p>
    <w:p w14:paraId="70B09FF0" w14:textId="77777777" w:rsidR="009E76BE" w:rsidRPr="008927DB" w:rsidRDefault="009E76BE" w:rsidP="00F93F76">
      <w:pPr>
        <w:spacing w:after="0" w:line="480" w:lineRule="auto"/>
        <w:rPr>
          <w:rFonts w:cstheme="minorHAnsi"/>
          <w:noProof/>
          <w:sz w:val="24"/>
          <w:szCs w:val="24"/>
        </w:rPr>
      </w:pPr>
      <w:r w:rsidRPr="009917C7">
        <w:rPr>
          <w:rFonts w:eastAsia="Calibri" w:cstheme="minorHAnsi"/>
          <w:color w:val="000000" w:themeColor="text1"/>
          <w:kern w:val="24"/>
          <w:sz w:val="24"/>
          <w:szCs w:val="24"/>
          <w:lang w:val="en-US" w:eastAsia="en-GB"/>
        </w:rPr>
        <w:t xml:space="preserve">Columns represent number (Y axis) </w:t>
      </w:r>
      <w:r w:rsidRPr="007A4E54">
        <w:rPr>
          <w:rFonts w:eastAsia="Calibri" w:cstheme="minorHAnsi"/>
          <w:color w:val="000000" w:themeColor="text1"/>
          <w:kern w:val="24"/>
          <w:sz w:val="24"/>
          <w:szCs w:val="24"/>
          <w:lang w:val="en-US" w:eastAsia="en-GB"/>
        </w:rPr>
        <w:t xml:space="preserve">of isolates susceptible and line represents percentage (Z axis) of isolates susceptible to the corresponding antipseudomonal </w:t>
      </w:r>
      <w:r w:rsidRPr="00422FE4">
        <w:rPr>
          <w:rFonts w:eastAsia="Calibri" w:cstheme="minorHAnsi"/>
          <w:color w:val="000000" w:themeColor="text1"/>
          <w:kern w:val="24"/>
          <w:sz w:val="24"/>
          <w:szCs w:val="24"/>
          <w:lang w:val="en-US" w:eastAsia="en-GB"/>
        </w:rPr>
        <w:sym w:font="Symbol" w:char="F062"/>
      </w:r>
      <w:r w:rsidRPr="00422FE4">
        <w:rPr>
          <w:rFonts w:eastAsia="Calibri" w:cstheme="minorHAnsi"/>
          <w:color w:val="000000" w:themeColor="text1"/>
          <w:kern w:val="24"/>
          <w:sz w:val="24"/>
          <w:szCs w:val="24"/>
          <w:lang w:val="en-US" w:eastAsia="en-GB"/>
        </w:rPr>
        <w:t>-lactam. Reporting is based on CLSI breakpoint recommendations (</w:t>
      </w:r>
      <w:r w:rsidRPr="00422FE4">
        <w:rPr>
          <w:rFonts w:cstheme="minorHAnsi"/>
          <w:noProof/>
          <w:sz w:val="24"/>
          <w:szCs w:val="24"/>
        </w:rPr>
        <w:t xml:space="preserve">M100, 30th edition – January 2020). </w:t>
      </w:r>
      <w:r w:rsidRPr="00FD5CDD">
        <w:rPr>
          <w:rFonts w:cstheme="minorHAnsi"/>
          <w:sz w:val="24"/>
          <w:szCs w:val="24"/>
        </w:rPr>
        <w:t>ATM, aztreonam; CAZ, ceftazidime; CZA, ceftazidime-avibactam; C</w:t>
      </w:r>
      <w:r>
        <w:rPr>
          <w:rFonts w:cstheme="minorHAnsi"/>
          <w:sz w:val="24"/>
          <w:szCs w:val="24"/>
        </w:rPr>
        <w:t>/</w:t>
      </w:r>
      <w:r w:rsidRPr="00FD5CDD">
        <w:rPr>
          <w:rFonts w:cstheme="minorHAnsi"/>
          <w:sz w:val="24"/>
          <w:szCs w:val="24"/>
        </w:rPr>
        <w:t>T, ceftolozane-tazobactam; FE</w:t>
      </w:r>
      <w:r>
        <w:rPr>
          <w:rFonts w:cstheme="minorHAnsi"/>
          <w:sz w:val="24"/>
          <w:szCs w:val="24"/>
        </w:rPr>
        <w:t>P</w:t>
      </w:r>
      <w:r w:rsidRPr="00FD5CDD">
        <w:rPr>
          <w:rFonts w:cstheme="minorHAnsi"/>
          <w:sz w:val="24"/>
          <w:szCs w:val="24"/>
        </w:rPr>
        <w:t xml:space="preserve">, cefepime; MEM, meropenem; </w:t>
      </w:r>
      <w:r w:rsidRPr="00215469">
        <w:rPr>
          <w:rFonts w:eastAsia="Calibri" w:cstheme="minorHAnsi"/>
          <w:color w:val="000000" w:themeColor="text1"/>
          <w:kern w:val="24"/>
          <w:sz w:val="24"/>
          <w:szCs w:val="24"/>
          <w:lang w:val="en-US" w:eastAsia="en-GB"/>
        </w:rPr>
        <w:t>MIC, minimum inhibitory concentration in µg/mL</w:t>
      </w:r>
      <w:r w:rsidRPr="00FB047E">
        <w:rPr>
          <w:rFonts w:cstheme="minorHAnsi"/>
          <w:sz w:val="24"/>
          <w:szCs w:val="24"/>
        </w:rPr>
        <w:t xml:space="preserve">, TZP, piperacillin-tazobactam </w:t>
      </w:r>
      <w:r w:rsidRPr="008927DB">
        <w:rPr>
          <w:rFonts w:eastAsia="Calibri" w:cstheme="minorHAnsi"/>
          <w:color w:val="000000" w:themeColor="text1"/>
          <w:kern w:val="24"/>
          <w:sz w:val="24"/>
          <w:szCs w:val="24"/>
          <w:lang w:val="en-US" w:eastAsia="en-GB"/>
        </w:rPr>
        <w:t xml:space="preserve"> </w:t>
      </w:r>
    </w:p>
    <w:p w14:paraId="42F4A662" w14:textId="77777777" w:rsidR="00E344C8" w:rsidRDefault="009E76BE" w:rsidP="00AF0018">
      <w:pPr>
        <w:spacing w:after="0" w:line="480" w:lineRule="auto"/>
      </w:pPr>
      <w:r w:rsidRPr="005C54F1">
        <w:rPr>
          <w:rFonts w:eastAsia="Calibri" w:cstheme="minorHAnsi"/>
          <w:b/>
          <w:bCs/>
          <w:color w:val="000000" w:themeColor="text1"/>
          <w:kern w:val="24"/>
          <w:sz w:val="24"/>
          <w:szCs w:val="24"/>
          <w:lang w:val="en-US" w:eastAsia="en-GB"/>
        </w:rPr>
        <w:t xml:space="preserve">Figure 2. </w:t>
      </w:r>
      <w:r w:rsidRPr="005238C8">
        <w:rPr>
          <w:rFonts w:eastAsia="Calibri" w:cstheme="minorHAnsi"/>
          <w:bCs/>
          <w:color w:val="000000" w:themeColor="text1"/>
          <w:kern w:val="24"/>
          <w:sz w:val="24"/>
          <w:szCs w:val="24"/>
          <w:lang w:val="en-US" w:eastAsia="en-GB"/>
        </w:rPr>
        <w:t xml:space="preserve">Distribution </w:t>
      </w:r>
      <w:r>
        <w:rPr>
          <w:rFonts w:eastAsia="Calibri" w:cstheme="minorHAnsi"/>
          <w:color w:val="000000" w:themeColor="text1"/>
          <w:kern w:val="24"/>
          <w:sz w:val="24"/>
          <w:szCs w:val="24"/>
          <w:lang w:val="en-US" w:eastAsia="en-GB"/>
        </w:rPr>
        <w:t>of s</w:t>
      </w:r>
      <w:r w:rsidRPr="009A0FE8">
        <w:rPr>
          <w:rFonts w:eastAsia="Calibri" w:cstheme="minorHAnsi"/>
          <w:color w:val="000000" w:themeColor="text1"/>
          <w:kern w:val="24"/>
          <w:sz w:val="24"/>
          <w:szCs w:val="24"/>
          <w:lang w:val="en-US" w:eastAsia="en-GB"/>
        </w:rPr>
        <w:t>equence t</w:t>
      </w:r>
      <w:r w:rsidRPr="00FE0AC3">
        <w:rPr>
          <w:rFonts w:eastAsia="Calibri" w:cstheme="minorHAnsi"/>
          <w:color w:val="000000" w:themeColor="text1"/>
          <w:kern w:val="24"/>
          <w:sz w:val="24"/>
          <w:szCs w:val="24"/>
          <w:lang w:val="en-US" w:eastAsia="en-GB"/>
        </w:rPr>
        <w:t xml:space="preserve">ypes </w:t>
      </w:r>
      <w:r>
        <w:rPr>
          <w:rFonts w:eastAsia="Calibri" w:cstheme="minorHAnsi"/>
          <w:color w:val="000000" w:themeColor="text1"/>
          <w:kern w:val="24"/>
          <w:sz w:val="24"/>
          <w:szCs w:val="24"/>
          <w:lang w:val="en-US" w:eastAsia="en-GB"/>
        </w:rPr>
        <w:t>of</w:t>
      </w:r>
      <w:r w:rsidRPr="00FE0AC3">
        <w:rPr>
          <w:rFonts w:eastAsia="Calibri" w:cstheme="minorHAnsi"/>
          <w:color w:val="000000" w:themeColor="text1"/>
          <w:kern w:val="24"/>
          <w:sz w:val="24"/>
          <w:szCs w:val="24"/>
          <w:lang w:val="en-US" w:eastAsia="en-GB"/>
        </w:rPr>
        <w:t xml:space="preserve"> MDR-</w:t>
      </w:r>
      <w:r w:rsidRPr="003F4FE7">
        <w:rPr>
          <w:rFonts w:eastAsia="Calibri" w:cstheme="minorHAnsi"/>
          <w:i/>
          <w:iCs/>
          <w:color w:val="000000" w:themeColor="text1"/>
          <w:kern w:val="24"/>
          <w:sz w:val="24"/>
          <w:szCs w:val="24"/>
          <w:lang w:val="en-US" w:eastAsia="en-GB"/>
        </w:rPr>
        <w:t>P. aeruginosa</w:t>
      </w:r>
      <w:r w:rsidRPr="0053248A">
        <w:rPr>
          <w:rFonts w:eastAsia="Calibri" w:cstheme="minorHAnsi"/>
          <w:color w:val="000000" w:themeColor="text1"/>
          <w:kern w:val="24"/>
          <w:sz w:val="24"/>
          <w:szCs w:val="24"/>
          <w:lang w:val="en-US" w:eastAsia="en-GB"/>
        </w:rPr>
        <w:t xml:space="preserve"> (n</w:t>
      </w:r>
      <w:r>
        <w:rPr>
          <w:rFonts w:eastAsia="Calibri" w:cstheme="minorHAnsi"/>
          <w:color w:val="000000" w:themeColor="text1"/>
          <w:kern w:val="24"/>
          <w:sz w:val="24"/>
          <w:szCs w:val="24"/>
          <w:lang w:val="en-US" w:eastAsia="en-GB"/>
        </w:rPr>
        <w:t xml:space="preserve">=75) </w:t>
      </w:r>
      <w:r w:rsidRPr="0053248A">
        <w:rPr>
          <w:rFonts w:eastAsia="Calibri" w:cstheme="minorHAnsi"/>
          <w:color w:val="000000" w:themeColor="text1"/>
          <w:kern w:val="24"/>
          <w:sz w:val="24"/>
          <w:szCs w:val="24"/>
          <w:lang w:val="en-US" w:eastAsia="en-GB"/>
        </w:rPr>
        <w:t>isolate</w:t>
      </w:r>
      <w:r>
        <w:rPr>
          <w:rFonts w:eastAsia="Calibri" w:cstheme="minorHAnsi"/>
          <w:color w:val="000000" w:themeColor="text1"/>
          <w:kern w:val="24"/>
          <w:sz w:val="24"/>
          <w:szCs w:val="24"/>
          <w:lang w:val="en-US" w:eastAsia="en-GB"/>
        </w:rPr>
        <w:t>d in Qatar from 2014 to 2017.</w:t>
      </w:r>
    </w:p>
    <w:sectPr w:rsidR="00E344C8" w:rsidSect="00AF0018">
      <w:footerReference w:type="default" r:id="rId7"/>
      <w:pgSz w:w="11900" w:h="16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89453C" w14:textId="77777777" w:rsidR="00775442" w:rsidRDefault="00775442">
      <w:pPr>
        <w:spacing w:after="0" w:line="240" w:lineRule="auto"/>
      </w:pPr>
      <w:r>
        <w:separator/>
      </w:r>
    </w:p>
  </w:endnote>
  <w:endnote w:type="continuationSeparator" w:id="0">
    <w:p w14:paraId="658B9456" w14:textId="77777777" w:rsidR="00775442" w:rsidRDefault="007754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Sabon LT Std">
    <w:altName w:val="Cambria"/>
    <w:charset w:val="00"/>
    <w:family w:val="roman"/>
    <w:pitch w:val="variable"/>
    <w:sig w:usb0="800000AF" w:usb1="5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09088790"/>
      <w:docPartObj>
        <w:docPartGallery w:val="Page Numbers (Bottom of Page)"/>
        <w:docPartUnique/>
      </w:docPartObj>
    </w:sdtPr>
    <w:sdtEndPr>
      <w:rPr>
        <w:noProof/>
      </w:rPr>
    </w:sdtEndPr>
    <w:sdtContent>
      <w:p w14:paraId="59567491" w14:textId="77777777" w:rsidR="00505703" w:rsidRDefault="00AF001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4C2D536" w14:textId="77777777" w:rsidR="00505703" w:rsidRDefault="007754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688F92" w14:textId="77777777" w:rsidR="00775442" w:rsidRDefault="00775442">
      <w:pPr>
        <w:spacing w:after="0" w:line="240" w:lineRule="auto"/>
      </w:pPr>
      <w:r>
        <w:separator/>
      </w:r>
    </w:p>
  </w:footnote>
  <w:footnote w:type="continuationSeparator" w:id="0">
    <w:p w14:paraId="5A8D220A" w14:textId="77777777" w:rsidR="00775442" w:rsidRDefault="007754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345E6E"/>
    <w:multiLevelType w:val="hybridMultilevel"/>
    <w:tmpl w:val="B7C0CB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9E76BE"/>
    <w:rsid w:val="00033921"/>
    <w:rsid w:val="00056A60"/>
    <w:rsid w:val="00066001"/>
    <w:rsid w:val="00085E91"/>
    <w:rsid w:val="000B09EB"/>
    <w:rsid w:val="000C0D19"/>
    <w:rsid w:val="000C10BB"/>
    <w:rsid w:val="000C1C7B"/>
    <w:rsid w:val="000D0032"/>
    <w:rsid w:val="000F61FF"/>
    <w:rsid w:val="00105F7C"/>
    <w:rsid w:val="001348B6"/>
    <w:rsid w:val="00146323"/>
    <w:rsid w:val="00161251"/>
    <w:rsid w:val="00187DEF"/>
    <w:rsid w:val="0019386C"/>
    <w:rsid w:val="001C73D7"/>
    <w:rsid w:val="001D0E26"/>
    <w:rsid w:val="001D6B38"/>
    <w:rsid w:val="001E5013"/>
    <w:rsid w:val="001F1E01"/>
    <w:rsid w:val="001F4363"/>
    <w:rsid w:val="002001E5"/>
    <w:rsid w:val="0020767D"/>
    <w:rsid w:val="002172E7"/>
    <w:rsid w:val="002214BE"/>
    <w:rsid w:val="0022623B"/>
    <w:rsid w:val="00237216"/>
    <w:rsid w:val="00245FCC"/>
    <w:rsid w:val="0025048D"/>
    <w:rsid w:val="00260A90"/>
    <w:rsid w:val="00270A8B"/>
    <w:rsid w:val="00273FD5"/>
    <w:rsid w:val="00286800"/>
    <w:rsid w:val="002904B8"/>
    <w:rsid w:val="0029642E"/>
    <w:rsid w:val="002976E6"/>
    <w:rsid w:val="00297A9B"/>
    <w:rsid w:val="002A1C64"/>
    <w:rsid w:val="002B05DB"/>
    <w:rsid w:val="002C18D8"/>
    <w:rsid w:val="002C72D2"/>
    <w:rsid w:val="002D237F"/>
    <w:rsid w:val="002F2B0A"/>
    <w:rsid w:val="00304426"/>
    <w:rsid w:val="00317AB7"/>
    <w:rsid w:val="00332C37"/>
    <w:rsid w:val="0034647C"/>
    <w:rsid w:val="00364664"/>
    <w:rsid w:val="00373718"/>
    <w:rsid w:val="00373A51"/>
    <w:rsid w:val="00383964"/>
    <w:rsid w:val="0038625B"/>
    <w:rsid w:val="003A52D2"/>
    <w:rsid w:val="003C0D18"/>
    <w:rsid w:val="003D535E"/>
    <w:rsid w:val="003D6608"/>
    <w:rsid w:val="003E2F4E"/>
    <w:rsid w:val="003E7822"/>
    <w:rsid w:val="00417FE9"/>
    <w:rsid w:val="004264B6"/>
    <w:rsid w:val="00430809"/>
    <w:rsid w:val="00437C26"/>
    <w:rsid w:val="00444D9B"/>
    <w:rsid w:val="00453639"/>
    <w:rsid w:val="004859B1"/>
    <w:rsid w:val="00493FD0"/>
    <w:rsid w:val="0049494F"/>
    <w:rsid w:val="004A16C2"/>
    <w:rsid w:val="004B2B9E"/>
    <w:rsid w:val="004B3840"/>
    <w:rsid w:val="004B4395"/>
    <w:rsid w:val="004E425A"/>
    <w:rsid w:val="004E7A39"/>
    <w:rsid w:val="004F1A56"/>
    <w:rsid w:val="004F67E0"/>
    <w:rsid w:val="00506220"/>
    <w:rsid w:val="00531800"/>
    <w:rsid w:val="00532BCD"/>
    <w:rsid w:val="005350CC"/>
    <w:rsid w:val="00540FFA"/>
    <w:rsid w:val="005428E1"/>
    <w:rsid w:val="00545C75"/>
    <w:rsid w:val="00553318"/>
    <w:rsid w:val="005640BC"/>
    <w:rsid w:val="00580510"/>
    <w:rsid w:val="00586452"/>
    <w:rsid w:val="00587CC7"/>
    <w:rsid w:val="00590399"/>
    <w:rsid w:val="00592C3B"/>
    <w:rsid w:val="005A3B9C"/>
    <w:rsid w:val="005A476B"/>
    <w:rsid w:val="005B47A7"/>
    <w:rsid w:val="005C195D"/>
    <w:rsid w:val="005D7390"/>
    <w:rsid w:val="005F587E"/>
    <w:rsid w:val="005F6738"/>
    <w:rsid w:val="005F6EC6"/>
    <w:rsid w:val="0060210F"/>
    <w:rsid w:val="0063185A"/>
    <w:rsid w:val="00634DDD"/>
    <w:rsid w:val="00642005"/>
    <w:rsid w:val="00672219"/>
    <w:rsid w:val="006722B9"/>
    <w:rsid w:val="00692E35"/>
    <w:rsid w:val="006B3C3F"/>
    <w:rsid w:val="006D0EF7"/>
    <w:rsid w:val="006F0EBA"/>
    <w:rsid w:val="006F4FBC"/>
    <w:rsid w:val="007030B5"/>
    <w:rsid w:val="007073E2"/>
    <w:rsid w:val="00727AC0"/>
    <w:rsid w:val="00746FF9"/>
    <w:rsid w:val="00747DD9"/>
    <w:rsid w:val="00755747"/>
    <w:rsid w:val="00767843"/>
    <w:rsid w:val="00773CC2"/>
    <w:rsid w:val="00775442"/>
    <w:rsid w:val="0077760E"/>
    <w:rsid w:val="007876E3"/>
    <w:rsid w:val="007C631D"/>
    <w:rsid w:val="007D1312"/>
    <w:rsid w:val="007E028A"/>
    <w:rsid w:val="007E6183"/>
    <w:rsid w:val="007F39DD"/>
    <w:rsid w:val="00804D29"/>
    <w:rsid w:val="00805EBD"/>
    <w:rsid w:val="0080717A"/>
    <w:rsid w:val="00814492"/>
    <w:rsid w:val="00853F70"/>
    <w:rsid w:val="00867048"/>
    <w:rsid w:val="00877A91"/>
    <w:rsid w:val="00883ECB"/>
    <w:rsid w:val="0088415D"/>
    <w:rsid w:val="00895A36"/>
    <w:rsid w:val="008A34B8"/>
    <w:rsid w:val="008A7B54"/>
    <w:rsid w:val="008B1579"/>
    <w:rsid w:val="008B52A9"/>
    <w:rsid w:val="008B69B0"/>
    <w:rsid w:val="008C4803"/>
    <w:rsid w:val="008C761E"/>
    <w:rsid w:val="008D243E"/>
    <w:rsid w:val="008D5559"/>
    <w:rsid w:val="008D5F70"/>
    <w:rsid w:val="008F33F5"/>
    <w:rsid w:val="008F7110"/>
    <w:rsid w:val="00903334"/>
    <w:rsid w:val="00904CFC"/>
    <w:rsid w:val="009114A9"/>
    <w:rsid w:val="0091604A"/>
    <w:rsid w:val="0092229F"/>
    <w:rsid w:val="00943C23"/>
    <w:rsid w:val="00944EE8"/>
    <w:rsid w:val="00951D16"/>
    <w:rsid w:val="00967CA4"/>
    <w:rsid w:val="00981011"/>
    <w:rsid w:val="009912A9"/>
    <w:rsid w:val="00993744"/>
    <w:rsid w:val="009A00B0"/>
    <w:rsid w:val="009A0F47"/>
    <w:rsid w:val="009A6ADF"/>
    <w:rsid w:val="009B095E"/>
    <w:rsid w:val="009B0C6A"/>
    <w:rsid w:val="009B135C"/>
    <w:rsid w:val="009D55AC"/>
    <w:rsid w:val="009D6B01"/>
    <w:rsid w:val="009E17CB"/>
    <w:rsid w:val="009E76BE"/>
    <w:rsid w:val="009F34D5"/>
    <w:rsid w:val="009F6735"/>
    <w:rsid w:val="00A020C1"/>
    <w:rsid w:val="00A24C8F"/>
    <w:rsid w:val="00A25CA8"/>
    <w:rsid w:val="00A27F64"/>
    <w:rsid w:val="00A314E4"/>
    <w:rsid w:val="00A50BB0"/>
    <w:rsid w:val="00A637B9"/>
    <w:rsid w:val="00A67E3A"/>
    <w:rsid w:val="00A67E5F"/>
    <w:rsid w:val="00A879C1"/>
    <w:rsid w:val="00A90592"/>
    <w:rsid w:val="00AB3196"/>
    <w:rsid w:val="00AB4E96"/>
    <w:rsid w:val="00AC4774"/>
    <w:rsid w:val="00AC5A8D"/>
    <w:rsid w:val="00AD1AD9"/>
    <w:rsid w:val="00AD2D31"/>
    <w:rsid w:val="00AE0CF5"/>
    <w:rsid w:val="00AE40F3"/>
    <w:rsid w:val="00AE495E"/>
    <w:rsid w:val="00AF0018"/>
    <w:rsid w:val="00B05044"/>
    <w:rsid w:val="00B05A3F"/>
    <w:rsid w:val="00B42524"/>
    <w:rsid w:val="00B42E8B"/>
    <w:rsid w:val="00B52F80"/>
    <w:rsid w:val="00B56A15"/>
    <w:rsid w:val="00B66902"/>
    <w:rsid w:val="00B732EA"/>
    <w:rsid w:val="00B77A85"/>
    <w:rsid w:val="00B853F2"/>
    <w:rsid w:val="00BA40DA"/>
    <w:rsid w:val="00BB492D"/>
    <w:rsid w:val="00BE185E"/>
    <w:rsid w:val="00BE5E36"/>
    <w:rsid w:val="00C011ED"/>
    <w:rsid w:val="00C01766"/>
    <w:rsid w:val="00C22F38"/>
    <w:rsid w:val="00C35AFA"/>
    <w:rsid w:val="00C375E7"/>
    <w:rsid w:val="00C43F5B"/>
    <w:rsid w:val="00C43FD0"/>
    <w:rsid w:val="00C57810"/>
    <w:rsid w:val="00C61399"/>
    <w:rsid w:val="00C963B0"/>
    <w:rsid w:val="00CA0935"/>
    <w:rsid w:val="00CA62FA"/>
    <w:rsid w:val="00CA7976"/>
    <w:rsid w:val="00CB53D8"/>
    <w:rsid w:val="00CC7626"/>
    <w:rsid w:val="00CE130E"/>
    <w:rsid w:val="00CF6F59"/>
    <w:rsid w:val="00D03AFC"/>
    <w:rsid w:val="00D128C6"/>
    <w:rsid w:val="00D14E69"/>
    <w:rsid w:val="00D17C22"/>
    <w:rsid w:val="00D2094A"/>
    <w:rsid w:val="00D223BD"/>
    <w:rsid w:val="00D30B23"/>
    <w:rsid w:val="00D401C3"/>
    <w:rsid w:val="00D548B7"/>
    <w:rsid w:val="00D60A13"/>
    <w:rsid w:val="00D9561B"/>
    <w:rsid w:val="00DB4391"/>
    <w:rsid w:val="00DC429C"/>
    <w:rsid w:val="00DF0D8B"/>
    <w:rsid w:val="00E01576"/>
    <w:rsid w:val="00E06F0E"/>
    <w:rsid w:val="00E10BE9"/>
    <w:rsid w:val="00E15820"/>
    <w:rsid w:val="00E344C8"/>
    <w:rsid w:val="00E34776"/>
    <w:rsid w:val="00E4277B"/>
    <w:rsid w:val="00E43195"/>
    <w:rsid w:val="00E70F90"/>
    <w:rsid w:val="00E759C3"/>
    <w:rsid w:val="00E75B6B"/>
    <w:rsid w:val="00E95914"/>
    <w:rsid w:val="00EB5F50"/>
    <w:rsid w:val="00ED457E"/>
    <w:rsid w:val="00ED53EB"/>
    <w:rsid w:val="00F006AE"/>
    <w:rsid w:val="00F05075"/>
    <w:rsid w:val="00F11A0F"/>
    <w:rsid w:val="00F13048"/>
    <w:rsid w:val="00F32335"/>
    <w:rsid w:val="00F3305B"/>
    <w:rsid w:val="00F37EA0"/>
    <w:rsid w:val="00F42E34"/>
    <w:rsid w:val="00F5121F"/>
    <w:rsid w:val="00F51914"/>
    <w:rsid w:val="00F620D8"/>
    <w:rsid w:val="00F67AA8"/>
    <w:rsid w:val="00F701C5"/>
    <w:rsid w:val="00F81484"/>
    <w:rsid w:val="00F93E35"/>
    <w:rsid w:val="00F9486F"/>
    <w:rsid w:val="00FA0073"/>
    <w:rsid w:val="00FC197B"/>
    <w:rsid w:val="00FC4210"/>
    <w:rsid w:val="00FC5156"/>
    <w:rsid w:val="00FD5C9A"/>
    <w:rsid w:val="00FE29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C44DD"/>
  <w15:chartTrackingRefBased/>
  <w15:docId w15:val="{6D825A1A-CD96-B040-8408-489BE20AE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6BE"/>
    <w:pPr>
      <w:spacing w:after="160" w:line="259"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76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76BE"/>
    <w:rPr>
      <w:sz w:val="22"/>
      <w:szCs w:val="22"/>
      <w:lang w:val="en-GB"/>
    </w:rPr>
  </w:style>
  <w:style w:type="paragraph" w:styleId="Footer">
    <w:name w:val="footer"/>
    <w:basedOn w:val="Normal"/>
    <w:link w:val="FooterChar"/>
    <w:uiPriority w:val="99"/>
    <w:unhideWhenUsed/>
    <w:rsid w:val="009E76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76BE"/>
    <w:rPr>
      <w:sz w:val="22"/>
      <w:szCs w:val="22"/>
      <w:lang w:val="en-GB"/>
    </w:rPr>
  </w:style>
  <w:style w:type="character" w:styleId="LineNumber">
    <w:name w:val="line number"/>
    <w:basedOn w:val="DefaultParagraphFont"/>
    <w:uiPriority w:val="99"/>
    <w:semiHidden/>
    <w:unhideWhenUsed/>
    <w:rsid w:val="009E76BE"/>
  </w:style>
  <w:style w:type="paragraph" w:customStyle="1" w:styleId="EndNoteBibliographyTitle">
    <w:name w:val="EndNote Bibliography Title"/>
    <w:basedOn w:val="Normal"/>
    <w:link w:val="EndNoteBibliographyTitleChar"/>
    <w:rsid w:val="009E76BE"/>
    <w:pPr>
      <w:spacing w:after="0"/>
      <w:jc w:val="center"/>
    </w:pPr>
    <w:rPr>
      <w:rFonts w:ascii="Calibri" w:hAnsi="Calibri" w:cs="Calibri"/>
      <w:noProof/>
      <w:sz w:val="24"/>
      <w:lang w:val="en-US"/>
    </w:rPr>
  </w:style>
  <w:style w:type="character" w:customStyle="1" w:styleId="EndNoteBibliographyTitleChar">
    <w:name w:val="EndNote Bibliography Title Char"/>
    <w:basedOn w:val="DefaultParagraphFont"/>
    <w:link w:val="EndNoteBibliographyTitle"/>
    <w:rsid w:val="009E76BE"/>
    <w:rPr>
      <w:rFonts w:ascii="Calibri" w:hAnsi="Calibri" w:cs="Calibri"/>
      <w:noProof/>
      <w:szCs w:val="22"/>
    </w:rPr>
  </w:style>
  <w:style w:type="paragraph" w:customStyle="1" w:styleId="EndNoteBibliography">
    <w:name w:val="EndNote Bibliography"/>
    <w:basedOn w:val="Normal"/>
    <w:link w:val="EndNoteBibliographyChar"/>
    <w:rsid w:val="009E76BE"/>
    <w:pPr>
      <w:spacing w:line="480" w:lineRule="auto"/>
      <w:jc w:val="both"/>
    </w:pPr>
    <w:rPr>
      <w:rFonts w:ascii="Calibri" w:hAnsi="Calibri" w:cs="Calibri"/>
      <w:noProof/>
      <w:sz w:val="24"/>
      <w:lang w:val="en-US"/>
    </w:rPr>
  </w:style>
  <w:style w:type="character" w:customStyle="1" w:styleId="EndNoteBibliographyChar">
    <w:name w:val="EndNote Bibliography Char"/>
    <w:basedOn w:val="DefaultParagraphFont"/>
    <w:link w:val="EndNoteBibliography"/>
    <w:rsid w:val="009E76BE"/>
    <w:rPr>
      <w:rFonts w:ascii="Calibri" w:hAnsi="Calibri" w:cs="Calibri"/>
      <w:noProof/>
      <w:szCs w:val="22"/>
    </w:rPr>
  </w:style>
  <w:style w:type="character" w:styleId="Hyperlink">
    <w:name w:val="Hyperlink"/>
    <w:basedOn w:val="DefaultParagraphFont"/>
    <w:uiPriority w:val="99"/>
    <w:unhideWhenUsed/>
    <w:rsid w:val="009E76BE"/>
    <w:rPr>
      <w:color w:val="0563C1" w:themeColor="hyperlink"/>
      <w:u w:val="single"/>
    </w:rPr>
  </w:style>
  <w:style w:type="character" w:styleId="UnresolvedMention">
    <w:name w:val="Unresolved Mention"/>
    <w:basedOn w:val="DefaultParagraphFont"/>
    <w:uiPriority w:val="99"/>
    <w:semiHidden/>
    <w:unhideWhenUsed/>
    <w:rsid w:val="009E76BE"/>
    <w:rPr>
      <w:color w:val="605E5C"/>
      <w:shd w:val="clear" w:color="auto" w:fill="E1DFDD"/>
    </w:rPr>
  </w:style>
  <w:style w:type="character" w:styleId="PlaceholderText">
    <w:name w:val="Placeholder Text"/>
    <w:basedOn w:val="DefaultParagraphFont"/>
    <w:uiPriority w:val="99"/>
    <w:semiHidden/>
    <w:rsid w:val="009E76BE"/>
    <w:rPr>
      <w:color w:val="808080"/>
    </w:rPr>
  </w:style>
  <w:style w:type="paragraph" w:styleId="NormalWeb">
    <w:name w:val="Normal (Web)"/>
    <w:basedOn w:val="Normal"/>
    <w:uiPriority w:val="99"/>
    <w:unhideWhenUsed/>
    <w:rsid w:val="009E76BE"/>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9E76BE"/>
    <w:pPr>
      <w:ind w:left="720"/>
      <w:contextualSpacing/>
    </w:pPr>
  </w:style>
  <w:style w:type="paragraph" w:styleId="BalloonText">
    <w:name w:val="Balloon Text"/>
    <w:basedOn w:val="Normal"/>
    <w:link w:val="BalloonTextChar"/>
    <w:uiPriority w:val="99"/>
    <w:semiHidden/>
    <w:unhideWhenUsed/>
    <w:rsid w:val="009E76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76BE"/>
    <w:rPr>
      <w:rFonts w:ascii="Segoe UI" w:hAnsi="Segoe UI" w:cs="Segoe UI"/>
      <w:sz w:val="18"/>
      <w:szCs w:val="18"/>
      <w:lang w:val="en-GB"/>
    </w:rPr>
  </w:style>
  <w:style w:type="character" w:styleId="CommentReference">
    <w:name w:val="annotation reference"/>
    <w:basedOn w:val="DefaultParagraphFont"/>
    <w:uiPriority w:val="99"/>
    <w:semiHidden/>
    <w:unhideWhenUsed/>
    <w:rsid w:val="009E76BE"/>
    <w:rPr>
      <w:sz w:val="16"/>
      <w:szCs w:val="16"/>
    </w:rPr>
  </w:style>
  <w:style w:type="paragraph" w:styleId="CommentText">
    <w:name w:val="annotation text"/>
    <w:basedOn w:val="Normal"/>
    <w:link w:val="CommentTextChar"/>
    <w:uiPriority w:val="99"/>
    <w:semiHidden/>
    <w:unhideWhenUsed/>
    <w:rsid w:val="009E76BE"/>
    <w:pPr>
      <w:spacing w:line="240" w:lineRule="auto"/>
    </w:pPr>
    <w:rPr>
      <w:sz w:val="20"/>
      <w:szCs w:val="20"/>
    </w:rPr>
  </w:style>
  <w:style w:type="character" w:customStyle="1" w:styleId="CommentTextChar">
    <w:name w:val="Comment Text Char"/>
    <w:basedOn w:val="DefaultParagraphFont"/>
    <w:link w:val="CommentText"/>
    <w:uiPriority w:val="99"/>
    <w:semiHidden/>
    <w:rsid w:val="009E76BE"/>
    <w:rPr>
      <w:sz w:val="20"/>
      <w:szCs w:val="20"/>
      <w:lang w:val="en-GB"/>
    </w:rPr>
  </w:style>
  <w:style w:type="paragraph" w:styleId="CommentSubject">
    <w:name w:val="annotation subject"/>
    <w:basedOn w:val="CommentText"/>
    <w:next w:val="CommentText"/>
    <w:link w:val="CommentSubjectChar"/>
    <w:uiPriority w:val="99"/>
    <w:semiHidden/>
    <w:unhideWhenUsed/>
    <w:rsid w:val="009E76BE"/>
    <w:rPr>
      <w:b/>
      <w:bCs/>
    </w:rPr>
  </w:style>
  <w:style w:type="character" w:customStyle="1" w:styleId="CommentSubjectChar">
    <w:name w:val="Comment Subject Char"/>
    <w:basedOn w:val="CommentTextChar"/>
    <w:link w:val="CommentSubject"/>
    <w:uiPriority w:val="99"/>
    <w:semiHidden/>
    <w:rsid w:val="009E76BE"/>
    <w:rPr>
      <w:b/>
      <w:bCs/>
      <w:sz w:val="20"/>
      <w:szCs w:val="20"/>
      <w:lang w:val="en-GB"/>
    </w:rPr>
  </w:style>
  <w:style w:type="numbering" w:customStyle="1" w:styleId="NoList1">
    <w:name w:val="No List1"/>
    <w:next w:val="NoList"/>
    <w:uiPriority w:val="99"/>
    <w:semiHidden/>
    <w:unhideWhenUsed/>
    <w:rsid w:val="009E76BE"/>
  </w:style>
  <w:style w:type="table" w:styleId="TableGrid">
    <w:name w:val="Table Grid"/>
    <w:basedOn w:val="TableNormal"/>
    <w:uiPriority w:val="39"/>
    <w:rsid w:val="009E76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87DE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203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2571</Words>
  <Characters>14661</Characters>
  <Application>Microsoft Office Word</Application>
  <DocSecurity>0</DocSecurity>
  <Lines>122</Lines>
  <Paragraphs>34</Paragraphs>
  <ScaleCrop>false</ScaleCrop>
  <Company/>
  <LinksUpToDate>false</LinksUpToDate>
  <CharactersWithSpaces>17198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OMRANI</dc:creator>
  <cp:keywords/>
  <dc:description/>
  <cp:lastModifiedBy>Kelly</cp:lastModifiedBy>
  <cp:revision>2</cp:revision>
  <dcterms:created xsi:type="dcterms:W3CDTF">2020-09-23T14:23:00Z</dcterms:created>
  <dcterms:modified xsi:type="dcterms:W3CDTF">2020-09-23T14:23:00Z</dcterms:modified>
</cp:coreProperties>
</file>