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10F6">
      <w:pPr>
        <w:spacing w:line="360" w:lineRule="auto"/>
        <w:jc w:val="center"/>
      </w:pPr>
      <w:bookmarkStart w:id="9" w:name="_GoBack"/>
      <w:bookmarkEnd w:id="9"/>
      <w:r>
        <w:rPr>
          <w:rFonts w:ascii="Times New Roman" w:hAnsi="Times New Roman" w:cs="Times New Roman"/>
          <w:b/>
          <w:bCs/>
          <w:sz w:val="32"/>
          <w:szCs w:val="32"/>
        </w:rPr>
        <w:t>Supplementary Information</w:t>
      </w:r>
    </w:p>
    <w:p w14:paraId="2E8910F7">
      <w:pPr>
        <w:spacing w:line="360" w:lineRule="auto"/>
        <w:rPr>
          <w:rFonts w:ascii="Times New Roman" w:hAnsi="Times New Roman" w:cs="Times New Roman"/>
          <w:b/>
          <w:bCs/>
          <w:lang w:val="en-US"/>
        </w:rPr>
      </w:pPr>
    </w:p>
    <w:p w14:paraId="2E8910F8">
      <w:pPr>
        <w:spacing w:line="360" w:lineRule="auto"/>
        <w:rPr>
          <w:rFonts w:ascii="Times New Roman" w:hAnsi="Times New Roman" w:cs="Times New Roman"/>
          <w:b/>
          <w:bCs/>
          <w:lang w:val="en-US"/>
        </w:rPr>
      </w:pPr>
      <w:r>
        <w:rPr>
          <w:rFonts w:hint="eastAsia" w:ascii="Times New Roman" w:hAnsi="Times New Roman" w:cs="Times New Roman"/>
          <w:b/>
          <w:bCs/>
          <w:lang w:val="en-US"/>
        </w:rPr>
        <w:t>Supplementary Figures.</w:t>
      </w:r>
    </w:p>
    <w:p w14:paraId="2E8910F9">
      <w:pPr>
        <w:spacing w:line="360" w:lineRule="auto"/>
        <w:rPr>
          <w:rFonts w:ascii="Cambria" w:hAnsi="Cambria" w:cs="Calibri"/>
          <w:b/>
          <w:bCs/>
          <w:lang w:val="en-US"/>
        </w:rPr>
      </w:pPr>
      <w:r>
        <w:drawing>
          <wp:inline distT="0" distB="0" distL="114300" distR="114300">
            <wp:extent cx="3247390" cy="2406650"/>
            <wp:effectExtent l="0" t="0" r="10160" b="1270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5"/>
                    <a:stretch>
                      <a:fillRect/>
                    </a:stretch>
                  </pic:blipFill>
                  <pic:spPr>
                    <a:xfrm>
                      <a:off x="0" y="0"/>
                      <a:ext cx="3247390" cy="2406650"/>
                    </a:xfrm>
                    <a:prstGeom prst="rect">
                      <a:avLst/>
                    </a:prstGeom>
                    <a:noFill/>
                    <a:ln>
                      <a:noFill/>
                    </a:ln>
                  </pic:spPr>
                </pic:pic>
              </a:graphicData>
            </a:graphic>
          </wp:inline>
        </w:drawing>
      </w:r>
    </w:p>
    <w:p w14:paraId="2E8910FA">
      <w:pPr>
        <w:spacing w:line="360" w:lineRule="auto"/>
        <w:rPr>
          <w:rFonts w:ascii="Times New Roman" w:hAnsi="Times New Roman" w:cs="Times New Roman"/>
          <w:lang w:val="en-US"/>
        </w:rPr>
      </w:pPr>
      <w:bookmarkStart w:id="0" w:name="OLE_LINK5"/>
      <w:bookmarkStart w:id="1" w:name="OLE_LINK3"/>
      <w:r>
        <w:rPr>
          <w:rFonts w:ascii="Times New Roman" w:hAnsi="Times New Roman" w:cs="Times New Roman"/>
          <w:b/>
          <w:bCs/>
          <w:lang w:val="en-US"/>
        </w:rPr>
        <w:t>Figure</w:t>
      </w:r>
      <w:r>
        <w:rPr>
          <w:rFonts w:hint="eastAsia" w:ascii="Times New Roman" w:hAnsi="Times New Roman" w:cs="Times New Roman"/>
          <w:b/>
          <w:bCs/>
          <w:lang w:val="en-US"/>
        </w:rPr>
        <w:t xml:space="preserve"> S</w:t>
      </w:r>
      <w:r>
        <w:rPr>
          <w:rFonts w:ascii="Times New Roman" w:hAnsi="Times New Roman" w:cs="Times New Roman"/>
          <w:b/>
          <w:bCs/>
          <w:lang w:val="en-US"/>
        </w:rPr>
        <w:t xml:space="preserve">1. </w:t>
      </w:r>
      <w:r>
        <w:rPr>
          <w:rFonts w:hint="eastAsia" w:ascii="Times New Roman" w:hAnsi="Times New Roman" w:cs="Times New Roman"/>
          <w:b/>
          <w:bCs/>
          <w:lang w:val="en-US"/>
        </w:rPr>
        <w:t>Early Facilitation</w:t>
      </w:r>
      <w:r>
        <w:rPr>
          <w:rFonts w:ascii="Times New Roman" w:hAnsi="Times New Roman" w:cs="Times New Roman"/>
          <w:b/>
          <w:bCs/>
        </w:rPr>
        <w:t xml:space="preserve"> </w:t>
      </w:r>
      <w:r>
        <w:rPr>
          <w:rFonts w:hint="eastAsia" w:ascii="Times New Roman" w:hAnsi="Times New Roman" w:cs="Times New Roman"/>
          <w:b/>
          <w:bCs/>
          <w:lang w:val="en-US"/>
        </w:rPr>
        <w:t>I</w:t>
      </w:r>
      <w:r>
        <w:rPr>
          <w:rFonts w:ascii="Times New Roman" w:hAnsi="Times New Roman" w:cs="Times New Roman"/>
          <w:b/>
          <w:bCs/>
        </w:rPr>
        <w:t xml:space="preserve">nduced by </w:t>
      </w:r>
      <w:r>
        <w:rPr>
          <w:rFonts w:hint="eastAsia" w:ascii="Times New Roman" w:hAnsi="Times New Roman" w:cs="Times New Roman"/>
          <w:b/>
          <w:bCs/>
          <w:lang w:val="en-US"/>
        </w:rPr>
        <w:t>I</w:t>
      </w:r>
      <w:r>
        <w:rPr>
          <w:rFonts w:ascii="Times New Roman" w:hAnsi="Times New Roman" w:cs="Times New Roman"/>
          <w:b/>
          <w:bCs/>
          <w:lang w:val="en-US"/>
        </w:rPr>
        <w:t>nvisible</w:t>
      </w:r>
      <w:r>
        <w:rPr>
          <w:rFonts w:ascii="Times New Roman" w:hAnsi="Times New Roman" w:cs="Times New Roman"/>
          <w:b/>
          <w:bCs/>
        </w:rPr>
        <w:t xml:space="preserve"> </w:t>
      </w:r>
      <w:r>
        <w:rPr>
          <w:rFonts w:hint="eastAsia" w:ascii="Times New Roman" w:hAnsi="Times New Roman" w:cs="Times New Roman"/>
          <w:b/>
          <w:bCs/>
          <w:lang w:val="en-US"/>
        </w:rPr>
        <w:t>C</w:t>
      </w:r>
      <w:r>
        <w:rPr>
          <w:rFonts w:ascii="Times New Roman" w:hAnsi="Times New Roman" w:cs="Times New Roman"/>
          <w:b/>
          <w:bCs/>
        </w:rPr>
        <w:t>ues</w:t>
      </w:r>
      <w:r>
        <w:rPr>
          <w:rFonts w:hint="eastAsia" w:ascii="Times New Roman" w:hAnsi="Times New Roman" w:cs="Times New Roman"/>
          <w:b/>
          <w:bCs/>
          <w:lang w:val="en-US"/>
        </w:rPr>
        <w:t xml:space="preserve"> in Supplementary Experiment 1</w:t>
      </w:r>
      <w:r>
        <w:rPr>
          <w:rFonts w:ascii="Times New Roman" w:hAnsi="Times New Roman" w:cs="Times New Roman"/>
          <w:b/>
          <w:bCs/>
          <w:lang w:val="en-US"/>
        </w:rPr>
        <w:t>.</w:t>
      </w:r>
      <w:bookmarkEnd w:id="0"/>
      <w:r>
        <w:rPr>
          <w:rFonts w:ascii="Times New Roman" w:hAnsi="Times New Roman" w:cs="Times New Roman"/>
          <w:b/>
          <w:bCs/>
          <w:lang w:val="en-US"/>
        </w:rPr>
        <w:t xml:space="preserve"> </w:t>
      </w:r>
      <w:r>
        <w:rPr>
          <w:rFonts w:ascii="Times New Roman" w:hAnsi="Times New Roman" w:cs="Times New Roman"/>
          <w:lang w:val="en-US"/>
        </w:rPr>
        <w:t xml:space="preserve">The bar graph illustrates the effect of </w:t>
      </w:r>
      <w:r>
        <w:rPr>
          <w:rFonts w:hint="eastAsia" w:ascii="Times New Roman" w:hAnsi="Times New Roman" w:cs="Times New Roman"/>
          <w:lang w:val="en-US"/>
        </w:rPr>
        <w:t>invisible</w:t>
      </w:r>
      <w:r>
        <w:rPr>
          <w:rFonts w:ascii="Times New Roman" w:hAnsi="Times New Roman" w:cs="Times New Roman"/>
          <w:lang w:val="en-US"/>
        </w:rPr>
        <w:t xml:space="preserve"> cues on reaction times in a </w:t>
      </w:r>
      <w:r>
        <w:rPr>
          <w:rFonts w:hint="eastAsia" w:ascii="Times New Roman" w:hAnsi="Times New Roman" w:cs="Times New Roman"/>
          <w:lang w:val="en-US"/>
        </w:rPr>
        <w:t xml:space="preserve">pilot </w:t>
      </w:r>
      <w:r>
        <w:rPr>
          <w:rFonts w:ascii="Times New Roman" w:hAnsi="Times New Roman" w:cs="Times New Roman"/>
          <w:lang w:val="en-US"/>
        </w:rPr>
        <w:t xml:space="preserve">experiment involving 15 participants (11 female, mean age 21.9 </w:t>
      </w:r>
      <w:r>
        <w:rPr>
          <w:rFonts w:ascii="Times New Roman" w:hAnsi="Times New Roman" w:eastAsia="宋体" w:cs="Times New Roman"/>
          <w:kern w:val="2"/>
          <w:lang w:val="en-US" w:bidi="ar"/>
        </w:rPr>
        <w:t xml:space="preserve">± </w:t>
      </w:r>
      <w:r>
        <w:rPr>
          <w:rFonts w:hint="eastAsia" w:ascii="Times New Roman" w:hAnsi="Times New Roman" w:eastAsia="宋体" w:cs="Times New Roman"/>
          <w:kern w:val="2"/>
          <w:lang w:val="en-US" w:bidi="ar"/>
        </w:rPr>
        <w:t>8</w:t>
      </w:r>
      <w:r>
        <w:rPr>
          <w:rFonts w:ascii="Times New Roman" w:hAnsi="Times New Roman" w:eastAsia="宋体" w:cs="Times New Roman"/>
          <w:kern w:val="2"/>
          <w:lang w:val="en-US" w:bidi="ar"/>
        </w:rPr>
        <w:t>.</w:t>
      </w:r>
      <w:r>
        <w:rPr>
          <w:rFonts w:hint="eastAsia" w:ascii="Times New Roman" w:hAnsi="Times New Roman" w:eastAsia="宋体" w:cs="Times New Roman"/>
          <w:kern w:val="2"/>
          <w:lang w:val="en-US" w:bidi="ar"/>
        </w:rPr>
        <w:t>1</w:t>
      </w:r>
      <w:r>
        <w:rPr>
          <w:rFonts w:ascii="Times New Roman" w:hAnsi="Times New Roman" w:cs="Times New Roman"/>
          <w:lang w:val="en-US"/>
        </w:rPr>
        <w:t xml:space="preserve">). Participants completed a </w:t>
      </w:r>
      <w:r>
        <w:rPr>
          <w:rFonts w:hint="eastAsia" w:ascii="Times New Roman" w:hAnsi="Times New Roman" w:cs="Times New Roman"/>
          <w:lang w:val="en-US"/>
        </w:rPr>
        <w:t>Posner-cueing</w:t>
      </w:r>
      <w:r>
        <w:rPr>
          <w:rFonts w:ascii="Times New Roman" w:hAnsi="Times New Roman" w:cs="Times New Roman"/>
          <w:lang w:val="en-US"/>
        </w:rPr>
        <w:t xml:space="preserve"> task similar to Experiment 1, with identical equipment and </w:t>
      </w:r>
      <w:r>
        <w:rPr>
          <w:rFonts w:hint="eastAsia" w:ascii="Times New Roman" w:hAnsi="Times New Roman" w:cs="Times New Roman"/>
          <w:lang w:val="en-US"/>
        </w:rPr>
        <w:t xml:space="preserve">similar </w:t>
      </w:r>
      <w:r>
        <w:rPr>
          <w:rFonts w:ascii="Times New Roman" w:hAnsi="Times New Roman" w:cs="Times New Roman"/>
          <w:lang w:val="en-US"/>
        </w:rPr>
        <w:t>stimul</w:t>
      </w:r>
      <w:r>
        <w:rPr>
          <w:rFonts w:hint="eastAsia" w:ascii="Times New Roman" w:hAnsi="Times New Roman" w:cs="Times New Roman"/>
          <w:lang w:val="en-US"/>
        </w:rPr>
        <w:t>us</w:t>
      </w:r>
      <w:r>
        <w:rPr>
          <w:rFonts w:ascii="Times New Roman" w:hAnsi="Times New Roman" w:cs="Times New Roman"/>
          <w:lang w:val="en-US"/>
        </w:rPr>
        <w:t xml:space="preserve"> parameters, but with only three SOA conditions</w:t>
      </w:r>
      <w:r>
        <w:rPr>
          <w:rFonts w:hint="eastAsia" w:ascii="Times New Roman" w:hAnsi="Times New Roman" w:cs="Times New Roman"/>
          <w:lang w:val="en-US"/>
        </w:rPr>
        <w:t xml:space="preserve"> (0.3/0.6/1 s)</w:t>
      </w:r>
      <w:r>
        <w:rPr>
          <w:rFonts w:ascii="Times New Roman" w:hAnsi="Times New Roman" w:cs="Times New Roman"/>
          <w:lang w:val="en-US"/>
        </w:rPr>
        <w:t xml:space="preserve">. As in Experiment 1, participants reported not perceiving the </w:t>
      </w:r>
      <w:r>
        <w:rPr>
          <w:rFonts w:hint="eastAsia" w:ascii="Times New Roman" w:hAnsi="Times New Roman" w:cs="Times New Roman"/>
          <w:lang w:val="en-US"/>
        </w:rPr>
        <w:t xml:space="preserve">invisible </w:t>
      </w:r>
      <w:r>
        <w:rPr>
          <w:rFonts w:ascii="Times New Roman" w:hAnsi="Times New Roman" w:cs="Times New Roman"/>
          <w:lang w:val="en-US"/>
        </w:rPr>
        <w:t xml:space="preserve">cues. </w:t>
      </w:r>
      <w:r>
        <w:rPr>
          <w:rFonts w:hint="eastAsia" w:ascii="Times New Roman" w:hAnsi="Times New Roman" w:cs="Times New Roman"/>
          <w:lang w:val="en-US"/>
        </w:rPr>
        <w:t>We observed a</w:t>
      </w:r>
      <w:r>
        <w:rPr>
          <w:rFonts w:ascii="Times New Roman" w:hAnsi="Times New Roman" w:cs="Times New Roman"/>
          <w:lang w:val="en-US"/>
        </w:rPr>
        <w:t xml:space="preserve"> facilitation effect at </w:t>
      </w:r>
      <w:r>
        <w:rPr>
          <w:rFonts w:hint="eastAsia" w:ascii="Times New Roman" w:hAnsi="Times New Roman" w:cs="Times New Roman"/>
          <w:lang w:val="en-US"/>
        </w:rPr>
        <w:t>the</w:t>
      </w:r>
      <w:r>
        <w:rPr>
          <w:rFonts w:ascii="Times New Roman" w:hAnsi="Times New Roman" w:cs="Times New Roman"/>
          <w:lang w:val="en-US"/>
        </w:rPr>
        <w:t xml:space="preserve"> </w:t>
      </w:r>
      <w:r>
        <w:rPr>
          <w:rFonts w:hint="eastAsia" w:ascii="Times New Roman" w:hAnsi="Times New Roman" w:cs="Times New Roman"/>
          <w:lang w:val="en-US"/>
        </w:rPr>
        <w:t xml:space="preserve">condition </w:t>
      </w:r>
      <w:r>
        <w:rPr>
          <w:rFonts w:ascii="Times New Roman" w:hAnsi="Times New Roman" w:cs="Times New Roman"/>
          <w:lang w:val="en-US"/>
        </w:rPr>
        <w:t>of 300 ms</w:t>
      </w:r>
      <w:r>
        <w:rPr>
          <w:rFonts w:hint="eastAsia" w:ascii="Times New Roman" w:hAnsi="Times New Roman" w:cs="Times New Roman"/>
          <w:lang w:val="en-US"/>
        </w:rPr>
        <w:t xml:space="preserve"> (503 ms vs. 515 ms; </w:t>
      </w:r>
      <w:bookmarkStart w:id="2" w:name="OLE_LINK7"/>
      <w:r>
        <w:rPr>
          <w:rFonts w:hint="eastAsia" w:ascii="Times New Roman" w:hAnsi="Times New Roman" w:eastAsia="宋体" w:cs="Times New Roman"/>
          <w:i/>
          <w:iCs/>
          <w:kern w:val="2"/>
          <w:lang w:val="en-US" w:bidi="ar"/>
        </w:rPr>
        <w:t>BF</w:t>
      </w:r>
      <w:r>
        <w:rPr>
          <w:rFonts w:hint="eastAsia" w:ascii="Times New Roman" w:hAnsi="Times New Roman" w:eastAsia="宋体" w:cs="Times New Roman"/>
          <w:i/>
          <w:iCs/>
          <w:kern w:val="2"/>
          <w:vertAlign w:val="subscript"/>
          <w:lang w:val="en-US" w:bidi="ar"/>
        </w:rPr>
        <w:t>10</w:t>
      </w:r>
      <w:r>
        <w:rPr>
          <w:rFonts w:hint="eastAsia" w:ascii="Times New Roman" w:hAnsi="Times New Roman" w:eastAsia="宋体" w:cs="Times New Roman"/>
          <w:kern w:val="2"/>
          <w:lang w:val="en-US" w:bidi="ar"/>
        </w:rPr>
        <w:t xml:space="preserve"> = 4.11; </w:t>
      </w:r>
      <w:r>
        <w:rPr>
          <w:rFonts w:ascii="Times New Roman" w:hAnsi="Times New Roman" w:eastAsia="宋体" w:cs="Times New Roman"/>
          <w:i/>
          <w:iCs/>
          <w:kern w:val="2"/>
          <w:lang w:val="en-US" w:bidi="ar"/>
        </w:rPr>
        <w:t>t</w:t>
      </w:r>
      <w:r>
        <w:rPr>
          <w:rFonts w:ascii="Times New Roman" w:hAnsi="Times New Roman" w:eastAsia="宋体" w:cs="Times New Roman"/>
          <w:kern w:val="2"/>
          <w:lang w:val="en-US" w:bidi="ar"/>
        </w:rPr>
        <w:t>(1</w:t>
      </w:r>
      <w:r>
        <w:rPr>
          <w:rFonts w:hint="eastAsia" w:ascii="Times New Roman" w:hAnsi="Times New Roman" w:eastAsia="宋体" w:cs="Times New Roman"/>
          <w:kern w:val="2"/>
          <w:lang w:val="en-US" w:bidi="ar"/>
        </w:rPr>
        <w:t>4</w:t>
      </w:r>
      <w:r>
        <w:rPr>
          <w:rFonts w:ascii="Times New Roman" w:hAnsi="Times New Roman" w:eastAsia="宋体" w:cs="Times New Roman"/>
          <w:kern w:val="2"/>
          <w:lang w:val="en-US" w:bidi="ar"/>
        </w:rPr>
        <w:t xml:space="preserve">) = </w:t>
      </w:r>
      <w:r>
        <w:rPr>
          <w:rFonts w:hint="eastAsia" w:ascii="Times New Roman" w:hAnsi="Times New Roman" w:eastAsia="宋体" w:cs="Times New Roman"/>
          <w:kern w:val="2"/>
          <w:lang w:val="en-US" w:bidi="ar"/>
        </w:rPr>
        <w:t>2.79</w:t>
      </w:r>
      <w:bookmarkStart w:id="3" w:name="OLE_LINK1"/>
      <w:r>
        <w:rPr>
          <w:rFonts w:ascii="Times New Roman" w:hAnsi="Times New Roman" w:eastAsia="宋体" w:cs="Times New Roman"/>
          <w:kern w:val="2"/>
          <w:lang w:val="en-US" w:bidi="ar"/>
        </w:rPr>
        <w:t>,</w:t>
      </w:r>
      <w:bookmarkEnd w:id="3"/>
      <w:r>
        <w:rPr>
          <w:rFonts w:ascii="Times New Roman" w:hAnsi="Times New Roman" w:eastAsia="宋体" w:cs="Times New Roman"/>
          <w:kern w:val="2"/>
          <w:lang w:val="en-US" w:bidi="ar"/>
        </w:rPr>
        <w:t xml:space="preserve"> </w:t>
      </w:r>
      <w:r>
        <w:rPr>
          <w:rFonts w:ascii="Times New Roman" w:hAnsi="Times New Roman" w:eastAsia="宋体" w:cs="Times New Roman"/>
          <w:i/>
          <w:iCs/>
          <w:kern w:val="2"/>
          <w:lang w:val="en-US" w:bidi="ar"/>
        </w:rPr>
        <w:t>p</w:t>
      </w:r>
      <w:bookmarkStart w:id="4" w:name="OLE_LINK2"/>
      <w:r>
        <w:rPr>
          <w:rFonts w:ascii="Times New Roman" w:hAnsi="Times New Roman" w:eastAsia="宋体" w:cs="Times New Roman"/>
          <w:i/>
          <w:iCs/>
          <w:kern w:val="2"/>
          <w:vertAlign w:val="subscript"/>
          <w:lang w:val="en-US" w:bidi="ar"/>
        </w:rPr>
        <w:t>Bonf</w:t>
      </w:r>
      <w:bookmarkEnd w:id="4"/>
      <w:r>
        <w:rPr>
          <w:rFonts w:ascii="Times New Roman" w:hAnsi="Times New Roman" w:eastAsia="宋体" w:cs="Times New Roman"/>
          <w:i/>
          <w:iCs/>
          <w:kern w:val="2"/>
          <w:lang w:val="en-US" w:bidi="ar"/>
        </w:rPr>
        <w:t xml:space="preserve"> </w:t>
      </w:r>
      <w:r>
        <w:rPr>
          <w:rFonts w:ascii="Times New Roman" w:hAnsi="Times New Roman" w:eastAsia="宋体" w:cs="Times New Roman"/>
          <w:kern w:val="2"/>
          <w:lang w:val="en-US" w:bidi="ar"/>
        </w:rPr>
        <w:t>= .</w:t>
      </w:r>
      <w:r>
        <w:rPr>
          <w:rFonts w:hint="eastAsia" w:ascii="Times New Roman" w:hAnsi="Times New Roman" w:eastAsia="宋体" w:cs="Times New Roman"/>
          <w:kern w:val="2"/>
          <w:lang w:val="en-US" w:bidi="ar"/>
        </w:rPr>
        <w:t>045</w:t>
      </w:r>
      <w:r>
        <w:rPr>
          <w:rFonts w:hint="eastAsia" w:ascii="Times New Roman" w:hAnsi="Times New Roman" w:eastAsia="宋体" w:cs="Times New Roman"/>
          <w:kern w:val="2"/>
          <w:vertAlign w:val="superscript"/>
          <w:lang w:val="en-US" w:bidi="ar"/>
        </w:rPr>
        <w:t>*</w:t>
      </w:r>
      <w:r>
        <w:rPr>
          <w:rFonts w:ascii="Times New Roman" w:hAnsi="Times New Roman" w:eastAsia="宋体" w:cs="Times New Roman"/>
          <w:kern w:val="2"/>
          <w:lang w:val="en-US" w:bidi="ar"/>
        </w:rPr>
        <w:t>,</w:t>
      </w:r>
      <w:r>
        <w:rPr>
          <w:rFonts w:hint="eastAsia" w:ascii="Times New Roman" w:hAnsi="Times New Roman" w:eastAsia="宋体" w:cs="Times New Roman"/>
          <w:kern w:val="2"/>
          <w:lang w:val="en-US" w:bidi="ar"/>
        </w:rPr>
        <w:t xml:space="preserve"> </w:t>
      </w:r>
      <w:r>
        <w:rPr>
          <w:rFonts w:hint="eastAsia" w:ascii="Times New Roman" w:hAnsi="Times New Roman" w:eastAsia="宋体" w:cs="Times New Roman"/>
          <w:i/>
          <w:iCs/>
          <w:kern w:val="2"/>
          <w:lang w:val="en-US" w:bidi="ar"/>
        </w:rPr>
        <w:t>Cohen</w:t>
      </w:r>
      <w:r>
        <w:rPr>
          <w:rFonts w:ascii="Times New Roman" w:hAnsi="Times New Roman" w:eastAsia="宋体" w:cs="Times New Roman"/>
          <w:i/>
          <w:iCs/>
          <w:kern w:val="2"/>
          <w:lang w:val="en-US" w:bidi="ar"/>
        </w:rPr>
        <w:t>’</w:t>
      </w:r>
      <w:r>
        <w:rPr>
          <w:rFonts w:hint="eastAsia" w:ascii="Times New Roman" w:hAnsi="Times New Roman" w:eastAsia="宋体" w:cs="Times New Roman"/>
          <w:i/>
          <w:iCs/>
          <w:kern w:val="2"/>
          <w:lang w:val="en-US" w:bidi="ar"/>
        </w:rPr>
        <w:t>s d</w:t>
      </w:r>
      <w:r>
        <w:rPr>
          <w:rFonts w:hint="eastAsia" w:ascii="Times New Roman" w:hAnsi="Times New Roman" w:eastAsia="宋体" w:cs="Times New Roman"/>
          <w:kern w:val="2"/>
          <w:lang w:val="en-US" w:bidi="ar"/>
        </w:rPr>
        <w:t xml:space="preserve"> = 0.72</w:t>
      </w:r>
      <w:bookmarkEnd w:id="2"/>
      <w:r>
        <w:rPr>
          <w:rFonts w:hint="eastAsia" w:ascii="Times New Roman" w:hAnsi="Times New Roman" w:cs="Times New Roman"/>
          <w:lang w:val="en-US"/>
        </w:rPr>
        <w:t>)</w:t>
      </w:r>
      <w:r>
        <w:rPr>
          <w:rFonts w:ascii="Times New Roman" w:hAnsi="Times New Roman" w:cs="Times New Roman"/>
          <w:lang w:val="en-US"/>
        </w:rPr>
        <w:t xml:space="preserve">, with no evidence of </w:t>
      </w:r>
      <w:r>
        <w:rPr>
          <w:rFonts w:hint="eastAsia" w:ascii="Times New Roman" w:hAnsi="Times New Roman" w:cs="Times New Roman"/>
          <w:lang w:val="en-US"/>
        </w:rPr>
        <w:t>ROI</w:t>
      </w:r>
      <w:r>
        <w:rPr>
          <w:rFonts w:ascii="Times New Roman" w:hAnsi="Times New Roman" w:cs="Times New Roman"/>
          <w:lang w:val="en-US"/>
        </w:rPr>
        <w:t xml:space="preserve"> at 600 ms or 1000 ms</w:t>
      </w:r>
      <w:r>
        <w:rPr>
          <w:rFonts w:hint="eastAsia" w:ascii="Times New Roman" w:hAnsi="Times New Roman" w:cs="Times New Roman"/>
          <w:lang w:val="en-US"/>
        </w:rPr>
        <w:t xml:space="preserve"> </w:t>
      </w:r>
      <w:bookmarkStart w:id="5" w:name="OLE_LINK6"/>
      <w:r>
        <w:rPr>
          <w:rFonts w:hint="eastAsia" w:ascii="Times New Roman" w:hAnsi="Times New Roman" w:cs="Times New Roman"/>
          <w:lang w:val="en-US"/>
        </w:rPr>
        <w:t>(</w:t>
      </w:r>
      <w:r>
        <w:rPr>
          <w:rFonts w:hint="eastAsia" w:ascii="Times New Roman" w:hAnsi="Times New Roman" w:cs="Times New Roman"/>
          <w:i/>
          <w:iCs/>
          <w:lang w:val="en-US"/>
        </w:rPr>
        <w:t>ps</w:t>
      </w:r>
      <w:r>
        <w:rPr>
          <w:rFonts w:ascii="Times New Roman" w:hAnsi="Times New Roman" w:eastAsia="宋体" w:cs="Times New Roman"/>
          <w:i/>
          <w:iCs/>
          <w:kern w:val="2"/>
          <w:vertAlign w:val="subscript"/>
          <w:lang w:val="en-US" w:bidi="ar"/>
        </w:rPr>
        <w:t>Bonf</w:t>
      </w:r>
      <w:r>
        <w:rPr>
          <w:rFonts w:hint="eastAsia" w:ascii="Times New Roman" w:hAnsi="Times New Roman" w:cs="Times New Roman"/>
          <w:lang w:val="en-US"/>
        </w:rPr>
        <w:t xml:space="preserve"> &gt; .100)</w:t>
      </w:r>
      <w:r>
        <w:rPr>
          <w:rFonts w:ascii="Times New Roman" w:hAnsi="Times New Roman" w:cs="Times New Roman"/>
          <w:lang w:val="en-US"/>
        </w:rPr>
        <w:t>.</w:t>
      </w:r>
      <w:bookmarkEnd w:id="5"/>
    </w:p>
    <w:p w14:paraId="2E8910FB">
      <w:pPr>
        <w:spacing w:line="360" w:lineRule="auto"/>
        <w:rPr>
          <w:rFonts w:ascii="Times New Roman" w:hAnsi="Times New Roman" w:cs="Times New Roman"/>
          <w:b/>
          <w:bCs/>
          <w:lang w:val="en-US"/>
        </w:rPr>
      </w:pPr>
      <w:r>
        <w:drawing>
          <wp:inline distT="0" distB="0" distL="114300" distR="114300">
            <wp:extent cx="5266055" cy="3553460"/>
            <wp:effectExtent l="0" t="0" r="10795" b="889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6"/>
                    <a:stretch>
                      <a:fillRect/>
                    </a:stretch>
                  </pic:blipFill>
                  <pic:spPr>
                    <a:xfrm>
                      <a:off x="0" y="0"/>
                      <a:ext cx="5266055" cy="3553460"/>
                    </a:xfrm>
                    <a:prstGeom prst="rect">
                      <a:avLst/>
                    </a:prstGeom>
                    <a:noFill/>
                    <a:ln>
                      <a:noFill/>
                    </a:ln>
                  </pic:spPr>
                </pic:pic>
              </a:graphicData>
            </a:graphic>
          </wp:inline>
        </w:drawing>
      </w:r>
    </w:p>
    <w:p w14:paraId="2E8910FC">
      <w:pPr>
        <w:pStyle w:val="13"/>
        <w:spacing w:beforeAutospacing="0" w:afterAutospacing="0" w:line="360" w:lineRule="auto"/>
        <w:rPr>
          <w:rFonts w:ascii="Times New Roman" w:hAnsi="Times New Roman"/>
        </w:rPr>
      </w:pPr>
      <w:r>
        <w:rPr>
          <w:rFonts w:ascii="Times New Roman" w:hAnsi="Times New Roman"/>
          <w:b/>
          <w:bCs/>
        </w:rPr>
        <w:t xml:space="preserve">Figure </w:t>
      </w:r>
      <w:r>
        <w:rPr>
          <w:rFonts w:hint="eastAsia" w:ascii="Times New Roman" w:hAnsi="Times New Roman"/>
          <w:b/>
          <w:bCs/>
        </w:rPr>
        <w:t>S2</w:t>
      </w:r>
      <w:r>
        <w:rPr>
          <w:rFonts w:ascii="Times New Roman" w:hAnsi="Times New Roman"/>
          <w:b/>
          <w:bCs/>
        </w:rPr>
        <w:t xml:space="preserve">. Temporal </w:t>
      </w:r>
      <w:r>
        <w:rPr>
          <w:rFonts w:hint="eastAsia" w:ascii="Times New Roman" w:hAnsi="Times New Roman"/>
          <w:b/>
          <w:bCs/>
        </w:rPr>
        <w:t>D</w:t>
      </w:r>
      <w:r>
        <w:rPr>
          <w:rFonts w:ascii="Times New Roman" w:hAnsi="Times New Roman"/>
          <w:b/>
          <w:bCs/>
        </w:rPr>
        <w:t xml:space="preserve">ynamics of RTs in Experiment 1. </w:t>
      </w:r>
      <w:r>
        <w:rPr>
          <w:rFonts w:ascii="Times New Roman" w:hAnsi="Times New Roman"/>
        </w:rPr>
        <w:t xml:space="preserve">Panels A–C represent the visible condition results. </w:t>
      </w:r>
      <w:r>
        <w:rPr>
          <w:rFonts w:hint="eastAsia" w:ascii="Times New Roman" w:hAnsi="Times New Roman"/>
        </w:rPr>
        <w:t>(</w:t>
      </w:r>
      <w:r>
        <w:rPr>
          <w:rFonts w:ascii="Times New Roman" w:hAnsi="Times New Roman"/>
        </w:rPr>
        <w:t>A</w:t>
      </w:r>
      <w:r>
        <w:rPr>
          <w:rFonts w:hint="eastAsia" w:ascii="Times New Roman" w:hAnsi="Times New Roman"/>
        </w:rPr>
        <w:t>)</w:t>
      </w:r>
      <w:r>
        <w:rPr>
          <w:rFonts w:ascii="Times New Roman" w:hAnsi="Times New Roman"/>
        </w:rPr>
        <w:t xml:space="preserve"> shows raw response time (RT) data, with the yellow line representing the cue</w:t>
      </w:r>
      <w:r>
        <w:rPr>
          <w:rFonts w:hint="eastAsia" w:ascii="Times New Roman" w:hAnsi="Times New Roman"/>
        </w:rPr>
        <w:t>d</w:t>
      </w:r>
      <w:r>
        <w:rPr>
          <w:rFonts w:ascii="Times New Roman" w:hAnsi="Times New Roman"/>
        </w:rPr>
        <w:t xml:space="preserve"> condition and the green line representing the uncue</w:t>
      </w:r>
      <w:r>
        <w:rPr>
          <w:rFonts w:hint="eastAsia" w:ascii="Times New Roman" w:hAnsi="Times New Roman"/>
        </w:rPr>
        <w:t>d</w:t>
      </w:r>
      <w:r>
        <w:rPr>
          <w:rFonts w:ascii="Times New Roman" w:hAnsi="Times New Roman"/>
        </w:rPr>
        <w:t xml:space="preserve"> condition; the shaded area denotes the standard error. </w:t>
      </w:r>
      <w:r>
        <w:rPr>
          <w:rFonts w:hint="eastAsia" w:ascii="Times New Roman" w:hAnsi="Times New Roman"/>
        </w:rPr>
        <w:t>(</w:t>
      </w:r>
      <w:r>
        <w:rPr>
          <w:rFonts w:ascii="Times New Roman" w:hAnsi="Times New Roman"/>
        </w:rPr>
        <w:t>B</w:t>
      </w:r>
      <w:r>
        <w:rPr>
          <w:rFonts w:hint="eastAsia" w:ascii="Times New Roman" w:hAnsi="Times New Roman"/>
        </w:rPr>
        <w:t>)</w:t>
      </w:r>
      <w:r>
        <w:rPr>
          <w:rFonts w:ascii="Times New Roman" w:hAnsi="Times New Roman"/>
        </w:rPr>
        <w:t xml:space="preserve"> illustrates attention trends, with black triangles marking significant differences between the cued and uncued conditions, though not corrected for multiple comparisons. Early in the SOA time window, facilitation was observed, while inhibition of return (IOR) occurred in the later SOA time window. </w:t>
      </w:r>
      <w:r>
        <w:rPr>
          <w:rFonts w:hint="eastAsia" w:ascii="Times New Roman" w:hAnsi="Times New Roman"/>
        </w:rPr>
        <w:t>(</w:t>
      </w:r>
      <w:r>
        <w:rPr>
          <w:rFonts w:ascii="Times New Roman" w:hAnsi="Times New Roman"/>
        </w:rPr>
        <w:t>C</w:t>
      </w:r>
      <w:r>
        <w:rPr>
          <w:rFonts w:hint="eastAsia" w:ascii="Times New Roman" w:hAnsi="Times New Roman"/>
        </w:rPr>
        <w:t>)</w:t>
      </w:r>
      <w:r>
        <w:rPr>
          <w:rFonts w:ascii="Times New Roman" w:hAnsi="Times New Roman"/>
        </w:rPr>
        <w:t xml:space="preserve"> presents the spectral analysis results, where both conditions exhibited power peaks in the 6–8 Hz range, with the uncue</w:t>
      </w:r>
      <w:r>
        <w:rPr>
          <w:rFonts w:hint="eastAsia" w:ascii="Times New Roman" w:hAnsi="Times New Roman"/>
        </w:rPr>
        <w:t>d</w:t>
      </w:r>
      <w:r>
        <w:rPr>
          <w:rFonts w:ascii="Times New Roman" w:hAnsi="Times New Roman"/>
        </w:rPr>
        <w:t xml:space="preserve"> condition showing particularly significant results.</w:t>
      </w:r>
    </w:p>
    <w:p w14:paraId="2E8910FD">
      <w:pPr>
        <w:pStyle w:val="13"/>
        <w:spacing w:beforeAutospacing="0" w:afterAutospacing="0" w:line="360" w:lineRule="auto"/>
        <w:ind w:firstLine="480" w:firstLineChars="200"/>
        <w:rPr>
          <w:rFonts w:ascii="Times New Roman" w:hAnsi="Times New Roman"/>
        </w:rPr>
      </w:pPr>
      <w:r>
        <w:rPr>
          <w:rFonts w:ascii="Times New Roman" w:hAnsi="Times New Roman"/>
        </w:rPr>
        <w:t xml:space="preserve">Panels D–F depict the invisible condition results. </w:t>
      </w:r>
      <w:r>
        <w:rPr>
          <w:rFonts w:hint="eastAsia" w:ascii="Times New Roman" w:hAnsi="Times New Roman"/>
        </w:rPr>
        <w:t>(</w:t>
      </w:r>
      <w:r>
        <w:rPr>
          <w:rFonts w:ascii="Times New Roman" w:hAnsi="Times New Roman"/>
        </w:rPr>
        <w:t>E</w:t>
      </w:r>
      <w:r>
        <w:rPr>
          <w:rFonts w:hint="eastAsia" w:ascii="Times New Roman" w:hAnsi="Times New Roman"/>
        </w:rPr>
        <w:t>)</w:t>
      </w:r>
      <w:r>
        <w:rPr>
          <w:rFonts w:ascii="Times New Roman" w:hAnsi="Times New Roman"/>
        </w:rPr>
        <w:t xml:space="preserve"> shows no significant IOR in the late time window, contrasting with the visible condition. In </w:t>
      </w:r>
      <w:r>
        <w:rPr>
          <w:rFonts w:hint="eastAsia" w:ascii="Times New Roman" w:hAnsi="Times New Roman"/>
        </w:rPr>
        <w:t>(</w:t>
      </w:r>
      <w:r>
        <w:rPr>
          <w:rFonts w:ascii="Times New Roman" w:hAnsi="Times New Roman"/>
        </w:rPr>
        <w:t>F</w:t>
      </w:r>
      <w:r>
        <w:rPr>
          <w:rFonts w:hint="eastAsia" w:ascii="Times New Roman" w:hAnsi="Times New Roman"/>
        </w:rPr>
        <w:t>)</w:t>
      </w:r>
      <w:r>
        <w:rPr>
          <w:rFonts w:ascii="Times New Roman" w:hAnsi="Times New Roman"/>
        </w:rPr>
        <w:t>, both the cued and uncued conditions peaked in the 3–4 Hz range</w:t>
      </w:r>
      <w:r>
        <w:rPr>
          <w:rFonts w:hint="eastAsia" w:ascii="Times New Roman" w:hAnsi="Times New Roman"/>
        </w:rPr>
        <w:t xml:space="preserve"> for the invisible cues</w:t>
      </w:r>
      <w:r>
        <w:rPr>
          <w:rFonts w:ascii="Times New Roman" w:hAnsi="Times New Roman"/>
        </w:rPr>
        <w:t>, with the uncue</w:t>
      </w:r>
      <w:r>
        <w:rPr>
          <w:rFonts w:hint="eastAsia" w:ascii="Times New Roman" w:hAnsi="Times New Roman"/>
        </w:rPr>
        <w:t>d</w:t>
      </w:r>
      <w:r>
        <w:rPr>
          <w:rFonts w:ascii="Times New Roman" w:hAnsi="Times New Roman"/>
        </w:rPr>
        <w:t xml:space="preserve"> condition surpassing the significance threshold. Interestingly, the </w:t>
      </w:r>
      <w:r>
        <w:rPr>
          <w:rFonts w:hint="eastAsia" w:ascii="Times New Roman" w:hAnsi="Times New Roman"/>
        </w:rPr>
        <w:t xml:space="preserve">spectrum of </w:t>
      </w:r>
      <w:r>
        <w:rPr>
          <w:rFonts w:ascii="Times New Roman" w:hAnsi="Times New Roman"/>
        </w:rPr>
        <w:t xml:space="preserve">cue condition also peaked at around 10 Hz, similar to both the visible and invisible </w:t>
      </w:r>
      <w:r>
        <w:rPr>
          <w:rFonts w:hint="eastAsia" w:ascii="Times New Roman" w:hAnsi="Times New Roman"/>
        </w:rPr>
        <w:t>cues</w:t>
      </w:r>
      <w:r>
        <w:rPr>
          <w:rFonts w:ascii="Times New Roman" w:hAnsi="Times New Roman"/>
        </w:rPr>
        <w:t>. These findings are consistent with previous research, suggesting that the theta-band behavioral oscillations observed in the uncued condition</w:t>
      </w:r>
      <w:r>
        <w:rPr>
          <w:rFonts w:hint="eastAsia" w:ascii="Times New Roman" w:hAnsi="Times New Roman"/>
        </w:rPr>
        <w:t>s</w:t>
      </w:r>
      <w:r>
        <w:rPr>
          <w:rFonts w:ascii="Times New Roman" w:hAnsi="Times New Roman"/>
        </w:rPr>
        <w:t xml:space="preserve"> may indicate the rhythm of attentional reorienting. In contrast, the alpha oscillations found in the cued condition may reflect perceptual fluctuations, as supported by some EEG studies.</w:t>
      </w:r>
    </w:p>
    <w:p w14:paraId="2E8910FE">
      <w:pPr>
        <w:spacing w:line="360" w:lineRule="auto"/>
        <w:rPr>
          <w:rFonts w:ascii="Times New Roman" w:hAnsi="Times New Roman" w:cs="Times New Roman"/>
          <w:lang w:val="en-US"/>
        </w:rPr>
      </w:pPr>
    </w:p>
    <w:bookmarkEnd w:id="1"/>
    <w:p w14:paraId="2E8910FF">
      <w:pPr>
        <w:pStyle w:val="13"/>
        <w:spacing w:beforeAutospacing="0" w:afterAutospacing="0" w:line="360" w:lineRule="auto"/>
      </w:pPr>
      <w:r>
        <w:drawing>
          <wp:inline distT="0" distB="0" distL="114300" distR="114300">
            <wp:extent cx="5171440" cy="2249170"/>
            <wp:effectExtent l="0" t="0" r="10160" b="1778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7"/>
                    <a:stretch>
                      <a:fillRect/>
                    </a:stretch>
                  </pic:blipFill>
                  <pic:spPr>
                    <a:xfrm>
                      <a:off x="0" y="0"/>
                      <a:ext cx="5171440" cy="2249170"/>
                    </a:xfrm>
                    <a:prstGeom prst="rect">
                      <a:avLst/>
                    </a:prstGeom>
                    <a:noFill/>
                    <a:ln>
                      <a:noFill/>
                    </a:ln>
                  </pic:spPr>
                </pic:pic>
              </a:graphicData>
            </a:graphic>
          </wp:inline>
        </w:drawing>
      </w:r>
    </w:p>
    <w:p w14:paraId="2E891100">
      <w:pPr>
        <w:pStyle w:val="13"/>
        <w:spacing w:beforeAutospacing="0" w:afterAutospacing="0" w:line="360" w:lineRule="auto"/>
        <w:rPr>
          <w:rFonts w:ascii="Times New Roman" w:hAnsi="Times New Roman"/>
        </w:rPr>
      </w:pPr>
      <w:r>
        <w:rPr>
          <w:rFonts w:ascii="Times New Roman" w:hAnsi="Times New Roman"/>
          <w:b/>
          <w:bCs/>
        </w:rPr>
        <w:t xml:space="preserve">Figure </w:t>
      </w:r>
      <w:r>
        <w:rPr>
          <w:rFonts w:hint="eastAsia" w:ascii="Times New Roman" w:hAnsi="Times New Roman"/>
          <w:b/>
          <w:bCs/>
        </w:rPr>
        <w:t>S3</w:t>
      </w:r>
      <w:r>
        <w:rPr>
          <w:rFonts w:ascii="Times New Roman" w:hAnsi="Times New Roman"/>
          <w:b/>
          <w:bCs/>
        </w:rPr>
        <w:t xml:space="preserve">. </w:t>
      </w:r>
      <w:r>
        <w:rPr>
          <w:rFonts w:hint="eastAsia" w:ascii="Times New Roman" w:hAnsi="Times New Roman"/>
          <w:b/>
          <w:bCs/>
        </w:rPr>
        <w:t>Behavioral Performance</w:t>
      </w:r>
      <w:r>
        <w:rPr>
          <w:rFonts w:ascii="Times New Roman" w:hAnsi="Times New Roman"/>
          <w:b/>
          <w:bCs/>
        </w:rPr>
        <w:t xml:space="preserve"> in Experiment </w:t>
      </w:r>
      <w:r>
        <w:rPr>
          <w:rFonts w:hint="eastAsia" w:ascii="Times New Roman" w:hAnsi="Times New Roman"/>
          <w:b/>
          <w:bCs/>
        </w:rPr>
        <w:t>2 and Supplementary Experiment 2</w:t>
      </w:r>
      <w:r>
        <w:rPr>
          <w:rFonts w:ascii="Times New Roman" w:hAnsi="Times New Roman"/>
          <w:b/>
          <w:bCs/>
        </w:rPr>
        <w:t>.</w:t>
      </w:r>
      <w:r>
        <w:rPr>
          <w:rFonts w:hint="eastAsia" w:ascii="Times New Roman" w:hAnsi="Times New Roman"/>
          <w:b/>
          <w:bCs/>
        </w:rPr>
        <w:t xml:space="preserve"> </w:t>
      </w:r>
      <w:r>
        <w:rPr>
          <w:rFonts w:hint="eastAsia" w:ascii="Times New Roman" w:hAnsi="Times New Roman"/>
        </w:rPr>
        <w:t>The Bar graphs (A) and (B) depict the behavioral performance in Experiment 2 and Supplementary Experiment 2, respectively. The green and yellow bars represent contrast luminance thresholds at which participants discriminated targets with approximately 80% accuracy in the cued and uncued discs, respectively. The error bars denote the standard errors.</w:t>
      </w:r>
    </w:p>
    <w:p w14:paraId="2E891101">
      <w:pPr>
        <w:pStyle w:val="13"/>
        <w:spacing w:beforeAutospacing="0" w:afterAutospacing="0" w:line="360" w:lineRule="auto"/>
        <w:ind w:firstLine="480" w:firstLineChars="200"/>
        <w:rPr>
          <w:rFonts w:ascii="Times New Roman" w:hAnsi="Times New Roman"/>
        </w:rPr>
      </w:pPr>
      <w:r>
        <w:rPr>
          <w:rFonts w:hint="eastAsia" w:ascii="Times New Roman" w:hAnsi="Times New Roman"/>
        </w:rPr>
        <w:t>In the EEG experiments, a repeated-measures ANOVA was performed with cue awareness (visible vs. invisible) and cue congruency (cued vs. uncued) as independent variables. The analysis revealed no significant main effects or interactions (</w:t>
      </w:r>
      <w:r>
        <w:rPr>
          <w:rFonts w:hint="eastAsia" w:ascii="Times New Roman" w:hAnsi="Times New Roman"/>
          <w:i/>
          <w:iCs/>
        </w:rPr>
        <w:t>ps</w:t>
      </w:r>
      <w:r>
        <w:rPr>
          <w:rFonts w:hint="eastAsia" w:ascii="Times New Roman" w:hAnsi="Times New Roman"/>
        </w:rPr>
        <w:t xml:space="preserve"> &gt; .100)</w:t>
      </w:r>
      <w:r>
        <w:rPr>
          <w:rFonts w:ascii="Times New Roman" w:hAnsi="Times New Roman"/>
        </w:rPr>
        <w:t>.</w:t>
      </w:r>
      <w:r>
        <w:rPr>
          <w:rFonts w:hint="eastAsia" w:ascii="Times New Roman" w:hAnsi="Times New Roman"/>
        </w:rPr>
        <w:t xml:space="preserve"> Notably, in the invisible condition, the threshold was slightly lower in the cued condition compared to the uncued condition (3.51 vs. 3.61), whereas this trend reversed in the visible condition (3.85 vs. 3.60). Given the limited number of trials involving target presence in the EEG experiments, factors such as individual judgment criteria may have influenced the observed attentional effects.</w:t>
      </w:r>
    </w:p>
    <w:p w14:paraId="2E891102">
      <w:pPr>
        <w:pStyle w:val="13"/>
        <w:spacing w:beforeAutospacing="0" w:afterAutospacing="0" w:line="360" w:lineRule="auto"/>
        <w:ind w:firstLine="480" w:firstLineChars="200"/>
        <w:rPr>
          <w:rFonts w:ascii="Times New Roman" w:hAnsi="Times New Roman"/>
        </w:rPr>
      </w:pPr>
      <w:r>
        <w:rPr>
          <w:rFonts w:hint="eastAsia" w:ascii="Times New Roman" w:hAnsi="Times New Roman"/>
        </w:rPr>
        <w:t xml:space="preserve">To further validate the trend observed in the EEG experiment, we conducted Supplementary Behavioral Experiment 2, recruiting 39 participants (one excluded for failing to fit the threshold, leaving 20 female and 18 male, mean age = 23.6 ± 3.13 years). The equipment and stimuli were identical to the main experiment, except that the target was present in every trial, with 56 trials conducted per condition. The results revealed a significant interaction between cue awareness and cue congruency </w:t>
      </w:r>
      <w:r>
        <w:rPr>
          <w:rFonts w:ascii="Times New Roman" w:hAnsi="Times New Roman" w:eastAsia="宋体"/>
          <w:kern w:val="2"/>
          <w:lang w:bidi="ar"/>
        </w:rPr>
        <w:t>[</w:t>
      </w:r>
      <w:r>
        <w:rPr>
          <w:rFonts w:ascii="Times New Roman" w:hAnsi="Times New Roman" w:eastAsia="宋体"/>
          <w:i/>
          <w:iCs/>
          <w:kern w:val="2"/>
          <w:lang w:bidi="ar"/>
        </w:rPr>
        <w:t>F</w:t>
      </w:r>
      <w:r>
        <w:rPr>
          <w:rFonts w:ascii="Times New Roman" w:hAnsi="Times New Roman" w:eastAsia="宋体"/>
          <w:kern w:val="2"/>
          <w:lang w:bidi="ar"/>
        </w:rPr>
        <w:t>(1,</w:t>
      </w:r>
      <w:r>
        <w:rPr>
          <w:rFonts w:hint="eastAsia" w:ascii="Times New Roman" w:hAnsi="Times New Roman" w:eastAsia="宋体"/>
          <w:kern w:val="2"/>
          <w:lang w:bidi="ar"/>
        </w:rPr>
        <w:t>37</w:t>
      </w:r>
      <w:r>
        <w:rPr>
          <w:rFonts w:ascii="Times New Roman" w:hAnsi="Times New Roman" w:eastAsia="宋体"/>
          <w:kern w:val="2"/>
          <w:lang w:bidi="ar"/>
        </w:rPr>
        <w:t xml:space="preserve">) = </w:t>
      </w:r>
      <w:r>
        <w:rPr>
          <w:rFonts w:hint="eastAsia" w:ascii="Times New Roman" w:hAnsi="Times New Roman" w:eastAsia="宋体"/>
          <w:kern w:val="2"/>
          <w:lang w:bidi="ar"/>
        </w:rPr>
        <w:t>5</w:t>
      </w:r>
      <w:r>
        <w:rPr>
          <w:rFonts w:ascii="Times New Roman" w:hAnsi="Times New Roman" w:eastAsia="宋体"/>
          <w:kern w:val="2"/>
          <w:lang w:bidi="ar"/>
        </w:rPr>
        <w:t>.</w:t>
      </w:r>
      <w:r>
        <w:rPr>
          <w:rFonts w:hint="eastAsia" w:ascii="Times New Roman" w:hAnsi="Times New Roman" w:eastAsia="宋体"/>
          <w:kern w:val="2"/>
          <w:lang w:bidi="ar"/>
        </w:rPr>
        <w:t>00</w:t>
      </w:r>
      <w:r>
        <w:rPr>
          <w:rFonts w:ascii="Times New Roman" w:hAnsi="Times New Roman" w:eastAsia="宋体"/>
          <w:kern w:val="2"/>
          <w:lang w:bidi="ar"/>
        </w:rPr>
        <w:t xml:space="preserve">, </w:t>
      </w:r>
      <w:r>
        <w:rPr>
          <w:rFonts w:ascii="Times New Roman" w:hAnsi="Times New Roman" w:eastAsia="宋体"/>
          <w:i/>
          <w:iCs/>
          <w:kern w:val="2"/>
          <w:lang w:bidi="ar"/>
        </w:rPr>
        <w:t>p</w:t>
      </w:r>
      <w:r>
        <w:rPr>
          <w:rFonts w:ascii="Times New Roman" w:hAnsi="Times New Roman" w:eastAsia="宋体"/>
          <w:kern w:val="2"/>
          <w:lang w:bidi="ar"/>
        </w:rPr>
        <w:t xml:space="preserve"> = .0</w:t>
      </w:r>
      <w:r>
        <w:rPr>
          <w:rFonts w:hint="eastAsia" w:ascii="Times New Roman" w:hAnsi="Times New Roman" w:eastAsia="宋体"/>
          <w:kern w:val="2"/>
          <w:lang w:bidi="ar"/>
        </w:rPr>
        <w:t>3</w:t>
      </w:r>
      <w:r>
        <w:rPr>
          <w:rFonts w:ascii="Times New Roman" w:hAnsi="Times New Roman" w:eastAsia="宋体"/>
          <w:kern w:val="2"/>
          <w:lang w:bidi="ar"/>
        </w:rPr>
        <w:t>1</w:t>
      </w:r>
      <w:r>
        <w:rPr>
          <w:rFonts w:hint="eastAsia" w:ascii="Times New Roman" w:hAnsi="Times New Roman" w:eastAsia="宋体"/>
          <w:kern w:val="2"/>
          <w:vertAlign w:val="superscript"/>
          <w:lang w:bidi="ar"/>
        </w:rPr>
        <w:t>*</w:t>
      </w:r>
      <w:r>
        <w:rPr>
          <w:rFonts w:ascii="Times New Roman" w:hAnsi="Times New Roman" w:eastAsia="宋体"/>
          <w:kern w:val="2"/>
          <w:lang w:bidi="ar"/>
        </w:rPr>
        <w:t xml:space="preserve">, </w:t>
      </w:r>
      <w:r>
        <w:rPr>
          <w:rFonts w:ascii="Times New Roman" w:hAnsi="Times New Roman" w:eastAsia="宋体"/>
          <w:i/>
          <w:iCs/>
          <w:kern w:val="2"/>
          <w:lang w:bidi="ar"/>
        </w:rPr>
        <w:t>η</w:t>
      </w:r>
      <w:r>
        <w:rPr>
          <w:rFonts w:ascii="Times New Roman" w:hAnsi="Times New Roman" w:eastAsia="宋体"/>
          <w:i/>
          <w:iCs/>
          <w:kern w:val="2"/>
          <w:vertAlign w:val="superscript"/>
          <w:lang w:bidi="ar"/>
        </w:rPr>
        <w:t>2</w:t>
      </w:r>
      <w:r>
        <w:rPr>
          <w:rFonts w:ascii="Times New Roman" w:hAnsi="Times New Roman" w:eastAsia="宋体"/>
          <w:i/>
          <w:iCs/>
          <w:kern w:val="2"/>
          <w:vertAlign w:val="subscript"/>
          <w:lang w:bidi="ar"/>
        </w:rPr>
        <w:t>p</w:t>
      </w:r>
      <w:r>
        <w:rPr>
          <w:rFonts w:ascii="Times New Roman" w:hAnsi="Times New Roman" w:eastAsia="宋体"/>
          <w:kern w:val="2"/>
          <w:lang w:bidi="ar"/>
        </w:rPr>
        <w:t xml:space="preserve"> = .1</w:t>
      </w:r>
      <w:r>
        <w:rPr>
          <w:rFonts w:hint="eastAsia" w:ascii="Times New Roman" w:hAnsi="Times New Roman" w:eastAsia="宋体"/>
          <w:kern w:val="2"/>
          <w:lang w:bidi="ar"/>
        </w:rPr>
        <w:t>2</w:t>
      </w:r>
      <w:r>
        <w:rPr>
          <w:rFonts w:ascii="Times New Roman" w:hAnsi="Times New Roman" w:eastAsia="宋体"/>
          <w:kern w:val="2"/>
          <w:lang w:bidi="ar"/>
        </w:rPr>
        <w:t>]</w:t>
      </w:r>
      <w:r>
        <w:rPr>
          <w:rFonts w:hint="eastAsia" w:ascii="Times New Roman" w:hAnsi="Times New Roman"/>
        </w:rPr>
        <w:t xml:space="preserve">. In the invisible cue condition, the threshold was lower in the cued condition than in the uncued condition (4.02 vs. 4.32; </w:t>
      </w:r>
      <w:r>
        <w:rPr>
          <w:rFonts w:hint="eastAsia" w:ascii="Times New Roman" w:hAnsi="Times New Roman" w:eastAsia="宋体"/>
          <w:i/>
          <w:iCs/>
          <w:kern w:val="2"/>
          <w:lang w:bidi="ar"/>
        </w:rPr>
        <w:t>BF</w:t>
      </w:r>
      <w:r>
        <w:rPr>
          <w:rFonts w:hint="eastAsia" w:ascii="Times New Roman" w:hAnsi="Times New Roman" w:eastAsia="宋体"/>
          <w:i/>
          <w:iCs/>
          <w:kern w:val="2"/>
          <w:vertAlign w:val="subscript"/>
          <w:lang w:bidi="ar"/>
        </w:rPr>
        <w:t>10</w:t>
      </w:r>
      <w:r>
        <w:rPr>
          <w:rFonts w:hint="eastAsia" w:ascii="Times New Roman" w:hAnsi="Times New Roman" w:eastAsia="宋体"/>
          <w:kern w:val="2"/>
          <w:lang w:bidi="ar"/>
        </w:rPr>
        <w:t xml:space="preserve"> = 1.37; </w:t>
      </w:r>
      <w:r>
        <w:rPr>
          <w:rFonts w:ascii="Times New Roman" w:hAnsi="Times New Roman" w:eastAsia="宋体"/>
          <w:i/>
          <w:iCs/>
          <w:kern w:val="2"/>
          <w:lang w:bidi="ar"/>
        </w:rPr>
        <w:t>t</w:t>
      </w:r>
      <w:r>
        <w:rPr>
          <w:rFonts w:ascii="Times New Roman" w:hAnsi="Times New Roman" w:eastAsia="宋体"/>
          <w:kern w:val="2"/>
          <w:lang w:bidi="ar"/>
        </w:rPr>
        <w:t>(</w:t>
      </w:r>
      <w:r>
        <w:rPr>
          <w:rFonts w:hint="eastAsia" w:ascii="Times New Roman" w:hAnsi="Times New Roman" w:eastAsia="宋体"/>
          <w:kern w:val="2"/>
          <w:lang w:bidi="ar"/>
        </w:rPr>
        <w:t>37</w:t>
      </w:r>
      <w:r>
        <w:rPr>
          <w:rFonts w:ascii="Times New Roman" w:hAnsi="Times New Roman" w:eastAsia="宋体"/>
          <w:kern w:val="2"/>
          <w:lang w:bidi="ar"/>
        </w:rPr>
        <w:t xml:space="preserve">) = </w:t>
      </w:r>
      <w:r>
        <w:rPr>
          <w:rFonts w:hint="eastAsia" w:ascii="Times New Roman" w:hAnsi="Times New Roman" w:eastAsia="宋体"/>
          <w:kern w:val="2"/>
          <w:lang w:bidi="ar"/>
        </w:rPr>
        <w:t>2.15</w:t>
      </w:r>
      <w:r>
        <w:rPr>
          <w:rFonts w:ascii="Times New Roman" w:hAnsi="Times New Roman" w:eastAsia="宋体"/>
          <w:kern w:val="2"/>
          <w:lang w:bidi="ar"/>
        </w:rPr>
        <w:t xml:space="preserve">, </w:t>
      </w:r>
      <w:bookmarkStart w:id="6" w:name="OLE_LINK8"/>
      <w:r>
        <w:rPr>
          <w:rFonts w:ascii="Times New Roman" w:hAnsi="Times New Roman" w:eastAsia="宋体"/>
          <w:i/>
          <w:iCs/>
          <w:kern w:val="2"/>
          <w:lang w:bidi="ar"/>
        </w:rPr>
        <w:t>p</w:t>
      </w:r>
      <w:r>
        <w:rPr>
          <w:rFonts w:ascii="Times New Roman" w:hAnsi="Times New Roman" w:eastAsia="宋体"/>
          <w:i/>
          <w:iCs/>
          <w:kern w:val="2"/>
          <w:vertAlign w:val="subscript"/>
          <w:lang w:bidi="ar"/>
        </w:rPr>
        <w:t>Bonf</w:t>
      </w:r>
      <w:r>
        <w:rPr>
          <w:rFonts w:ascii="Times New Roman" w:hAnsi="Times New Roman" w:eastAsia="宋体"/>
          <w:i/>
          <w:iCs/>
          <w:kern w:val="2"/>
          <w:lang w:bidi="ar"/>
        </w:rPr>
        <w:t xml:space="preserve"> </w:t>
      </w:r>
      <w:r>
        <w:rPr>
          <w:rFonts w:ascii="Times New Roman" w:hAnsi="Times New Roman" w:eastAsia="宋体"/>
          <w:kern w:val="2"/>
          <w:lang w:bidi="ar"/>
        </w:rPr>
        <w:t>= .</w:t>
      </w:r>
      <w:r>
        <w:rPr>
          <w:rFonts w:hint="eastAsia" w:ascii="Times New Roman" w:hAnsi="Times New Roman" w:eastAsia="宋体"/>
          <w:kern w:val="2"/>
          <w:lang w:bidi="ar"/>
        </w:rPr>
        <w:t>076</w:t>
      </w:r>
      <w:r>
        <w:rPr>
          <w:rFonts w:ascii="Times New Roman" w:hAnsi="Times New Roman" w:eastAsia="宋体"/>
          <w:kern w:val="2"/>
          <w:lang w:bidi="ar"/>
        </w:rPr>
        <w:t>,</w:t>
      </w:r>
      <w:bookmarkEnd w:id="6"/>
      <w:r>
        <w:rPr>
          <w:rFonts w:hint="eastAsia" w:ascii="Times New Roman" w:hAnsi="Times New Roman" w:eastAsia="宋体"/>
          <w:kern w:val="2"/>
          <w:lang w:bidi="ar"/>
        </w:rPr>
        <w:t xml:space="preserve"> </w:t>
      </w:r>
      <w:r>
        <w:rPr>
          <w:rFonts w:hint="eastAsia" w:ascii="Times New Roman" w:hAnsi="Times New Roman" w:eastAsia="宋体"/>
          <w:i/>
          <w:iCs/>
          <w:kern w:val="2"/>
          <w:lang w:bidi="ar"/>
        </w:rPr>
        <w:t>Cohen</w:t>
      </w:r>
      <w:r>
        <w:rPr>
          <w:rFonts w:ascii="Times New Roman" w:hAnsi="Times New Roman" w:eastAsia="宋体"/>
          <w:i/>
          <w:iCs/>
          <w:kern w:val="2"/>
          <w:lang w:bidi="ar"/>
        </w:rPr>
        <w:t>’</w:t>
      </w:r>
      <w:r>
        <w:rPr>
          <w:rFonts w:hint="eastAsia" w:ascii="Times New Roman" w:hAnsi="Times New Roman" w:eastAsia="宋体"/>
          <w:i/>
          <w:iCs/>
          <w:kern w:val="2"/>
          <w:lang w:bidi="ar"/>
        </w:rPr>
        <w:t>s d</w:t>
      </w:r>
      <w:r>
        <w:rPr>
          <w:rFonts w:hint="eastAsia" w:ascii="Times New Roman" w:hAnsi="Times New Roman" w:eastAsia="宋体"/>
          <w:kern w:val="2"/>
          <w:lang w:bidi="ar"/>
        </w:rPr>
        <w:t xml:space="preserve"> = 0.35</w:t>
      </w:r>
      <w:r>
        <w:rPr>
          <w:rFonts w:hint="eastAsia" w:ascii="Times New Roman" w:hAnsi="Times New Roman"/>
        </w:rPr>
        <w:t xml:space="preserve">), indicating a facilitation effect due to cue-induced attentional shifts. Conversely, no significant threshold changes were observed in the visible condition (4.20 vs. 4.04; </w:t>
      </w:r>
      <w:r>
        <w:rPr>
          <w:rFonts w:ascii="Times New Roman" w:hAnsi="Times New Roman" w:eastAsia="宋体"/>
          <w:i/>
          <w:iCs/>
          <w:kern w:val="2"/>
          <w:lang w:bidi="ar"/>
        </w:rPr>
        <w:t>p</w:t>
      </w:r>
      <w:r>
        <w:rPr>
          <w:rFonts w:ascii="Times New Roman" w:hAnsi="Times New Roman" w:eastAsia="宋体"/>
          <w:i/>
          <w:iCs/>
          <w:kern w:val="2"/>
          <w:vertAlign w:val="subscript"/>
          <w:lang w:bidi="ar"/>
        </w:rPr>
        <w:t>Bonf</w:t>
      </w:r>
      <w:r>
        <w:rPr>
          <w:rFonts w:ascii="Times New Roman" w:hAnsi="Times New Roman" w:eastAsia="宋体"/>
          <w:i/>
          <w:iCs/>
          <w:kern w:val="2"/>
          <w:lang w:bidi="ar"/>
        </w:rPr>
        <w:t xml:space="preserve"> </w:t>
      </w:r>
      <w:r>
        <w:rPr>
          <w:rFonts w:hint="eastAsia" w:ascii="Times New Roman" w:hAnsi="Times New Roman" w:eastAsia="宋体"/>
          <w:kern w:val="2"/>
          <w:lang w:bidi="ar"/>
        </w:rPr>
        <w:t>&gt;</w:t>
      </w:r>
      <w:r>
        <w:rPr>
          <w:rFonts w:ascii="Times New Roman" w:hAnsi="Times New Roman" w:eastAsia="宋体"/>
          <w:kern w:val="2"/>
          <w:lang w:bidi="ar"/>
        </w:rPr>
        <w:t xml:space="preserve"> .</w:t>
      </w:r>
      <w:r>
        <w:rPr>
          <w:rFonts w:hint="eastAsia" w:ascii="Times New Roman" w:hAnsi="Times New Roman" w:eastAsia="宋体"/>
          <w:kern w:val="2"/>
          <w:lang w:bidi="ar"/>
        </w:rPr>
        <w:t>100</w:t>
      </w:r>
      <w:r>
        <w:rPr>
          <w:rFonts w:hint="eastAsia" w:ascii="Times New Roman" w:hAnsi="Times New Roman"/>
        </w:rPr>
        <w:t>), suggesting that participants might have suppressed the influence of the cues. These findings are consistent with Experiment 1, indicating that invisible cues induce attentional facilitation, while visible cues may also engage inhibitory processes.</w:t>
      </w:r>
    </w:p>
    <w:p w14:paraId="2E891103">
      <w:pPr>
        <w:pStyle w:val="13"/>
        <w:spacing w:beforeAutospacing="0" w:afterAutospacing="0" w:line="360" w:lineRule="auto"/>
      </w:pPr>
      <w:r>
        <w:drawing>
          <wp:inline distT="0" distB="0" distL="114300" distR="114300">
            <wp:extent cx="5631815" cy="2475865"/>
            <wp:effectExtent l="0" t="0" r="6985" b="6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8"/>
                    <a:stretch>
                      <a:fillRect/>
                    </a:stretch>
                  </pic:blipFill>
                  <pic:spPr>
                    <a:xfrm>
                      <a:off x="0" y="0"/>
                      <a:ext cx="5631815" cy="2475865"/>
                    </a:xfrm>
                    <a:prstGeom prst="rect">
                      <a:avLst/>
                    </a:prstGeom>
                    <a:noFill/>
                    <a:ln>
                      <a:noFill/>
                    </a:ln>
                  </pic:spPr>
                </pic:pic>
              </a:graphicData>
            </a:graphic>
          </wp:inline>
        </w:drawing>
      </w:r>
    </w:p>
    <w:p w14:paraId="2E891104">
      <w:pPr>
        <w:pStyle w:val="13"/>
        <w:spacing w:beforeAutospacing="0" w:afterAutospacing="0" w:line="360" w:lineRule="auto"/>
        <w:rPr>
          <w:rFonts w:ascii="Times New Roman" w:hAnsi="Times New Roman"/>
        </w:rPr>
      </w:pPr>
      <w:r>
        <w:rPr>
          <w:rFonts w:ascii="Times New Roman" w:hAnsi="Times New Roman"/>
          <w:b/>
          <w:bCs/>
        </w:rPr>
        <w:t>Figure S4. Correlation between Behavioral Performance Across Different Levels of Awareness</w:t>
      </w:r>
      <w:r>
        <w:rPr>
          <w:rFonts w:hint="eastAsia" w:ascii="Times New Roman" w:hAnsi="Times New Roman"/>
          <w:b/>
          <w:bCs/>
        </w:rPr>
        <w:t xml:space="preserve"> and </w:t>
      </w:r>
      <w:r>
        <w:rPr>
          <w:rFonts w:ascii="Times New Roman" w:hAnsi="Times New Roman"/>
          <w:b/>
          <w:bCs/>
        </w:rPr>
        <w:t>Attentional Alpha Power Modulation.</w:t>
      </w:r>
      <w:r>
        <w:rPr>
          <w:rFonts w:ascii="Times New Roman" w:hAnsi="Times New Roman"/>
        </w:rPr>
        <w:t xml:space="preserve"> Scatter plots illustrate the correlation between behavioral performance (uncued-cued) </w:t>
      </w:r>
      <w:r>
        <w:rPr>
          <w:rFonts w:hint="eastAsia" w:ascii="Times New Roman" w:hAnsi="Times New Roman"/>
        </w:rPr>
        <w:t xml:space="preserve">and </w:t>
      </w:r>
      <w:r>
        <w:rPr>
          <w:rFonts w:ascii="Times New Roman" w:hAnsi="Times New Roman"/>
        </w:rPr>
        <w:t xml:space="preserve">alpha power modulation (cued-uncued) in the frontal </w:t>
      </w:r>
      <w:r>
        <w:rPr>
          <w:rFonts w:hint="eastAsia" w:ascii="Times New Roman" w:hAnsi="Times New Roman"/>
        </w:rPr>
        <w:t xml:space="preserve">(A) </w:t>
      </w:r>
      <w:r>
        <w:rPr>
          <w:rFonts w:ascii="Times New Roman" w:hAnsi="Times New Roman"/>
        </w:rPr>
        <w:t>and occipito</w:t>
      </w:r>
      <w:r>
        <w:rPr>
          <w:rFonts w:hint="eastAsia" w:ascii="Times New Roman" w:hAnsi="Times New Roman"/>
        </w:rPr>
        <w:t>-</w:t>
      </w:r>
      <w:r>
        <w:rPr>
          <w:rFonts w:ascii="Times New Roman" w:hAnsi="Times New Roman"/>
        </w:rPr>
        <w:t>parietal regions</w:t>
      </w:r>
      <w:r>
        <w:rPr>
          <w:rFonts w:hint="eastAsia" w:ascii="Times New Roman" w:hAnsi="Times New Roman"/>
        </w:rPr>
        <w:t xml:space="preserve"> (B)</w:t>
      </w:r>
      <w:r>
        <w:rPr>
          <w:rFonts w:ascii="Times New Roman" w:hAnsi="Times New Roman"/>
        </w:rPr>
        <w:t xml:space="preserve">. Orange dots represent </w:t>
      </w:r>
      <w:r>
        <w:rPr>
          <w:rFonts w:hint="eastAsia" w:ascii="Times New Roman" w:hAnsi="Times New Roman"/>
        </w:rPr>
        <w:t xml:space="preserve">the </w:t>
      </w:r>
      <w:r>
        <w:rPr>
          <w:rFonts w:ascii="Times New Roman" w:hAnsi="Times New Roman"/>
        </w:rPr>
        <w:t xml:space="preserve">visible condition, while gray dots denote </w:t>
      </w:r>
      <w:r>
        <w:rPr>
          <w:rFonts w:hint="eastAsia" w:ascii="Times New Roman" w:hAnsi="Times New Roman"/>
        </w:rPr>
        <w:t xml:space="preserve">the </w:t>
      </w:r>
      <w:r>
        <w:rPr>
          <w:rFonts w:ascii="Times New Roman" w:hAnsi="Times New Roman"/>
        </w:rPr>
        <w:t>invisible condition. The shaded gray area represents the 95% confidence interval.</w:t>
      </w:r>
      <w:r>
        <w:rPr>
          <w:rFonts w:hint="eastAsia" w:ascii="Times New Roman" w:hAnsi="Times New Roman"/>
        </w:rPr>
        <w:t xml:space="preserve"> </w:t>
      </w:r>
      <w:r>
        <w:rPr>
          <w:rFonts w:ascii="Times New Roman" w:hAnsi="Times New Roman"/>
        </w:rPr>
        <w:t>Correlation analysis showed that alpha power modulation in the frontal region was not significantly correlated with behavioral performance. However, in the right-lateralized occipito</w:t>
      </w:r>
      <w:r>
        <w:rPr>
          <w:rFonts w:hint="eastAsia" w:ascii="Times New Roman" w:hAnsi="Times New Roman"/>
        </w:rPr>
        <w:t>-</w:t>
      </w:r>
      <w:r>
        <w:rPr>
          <w:rFonts w:ascii="Times New Roman" w:hAnsi="Times New Roman"/>
        </w:rPr>
        <w:t>parietal region, alpha power changes were negatively correlated with behavioral performance, particularly in the visible condition (</w:t>
      </w:r>
      <w:r>
        <w:rPr>
          <w:rFonts w:ascii="Times New Roman" w:hAnsi="Times New Roman"/>
          <w:i/>
          <w:iCs/>
        </w:rPr>
        <w:t>p</w:t>
      </w:r>
      <w:r>
        <w:rPr>
          <w:rFonts w:ascii="Times New Roman" w:hAnsi="Times New Roman"/>
        </w:rPr>
        <w:t xml:space="preserve"> &lt; 0.000</w:t>
      </w:r>
      <w:r>
        <w:rPr>
          <w:rFonts w:ascii="Times New Roman" w:hAnsi="Times New Roman"/>
          <w:vertAlign w:val="superscript"/>
        </w:rPr>
        <w:t>***</w:t>
      </w:r>
      <w:r>
        <w:rPr>
          <w:rFonts w:ascii="Times New Roman" w:hAnsi="Times New Roman"/>
        </w:rPr>
        <w:t>). Specifically, the greater the alpha power in the cued condition compared to the uncued condition, the weaker the cues’ facilitation of the perceptual threshold. These findings suggest that the right occipito</w:t>
      </w:r>
      <w:r>
        <w:rPr>
          <w:rFonts w:hint="eastAsia" w:ascii="Times New Roman" w:hAnsi="Times New Roman"/>
        </w:rPr>
        <w:t>-</w:t>
      </w:r>
      <w:r>
        <w:rPr>
          <w:rFonts w:ascii="Times New Roman" w:hAnsi="Times New Roman"/>
        </w:rPr>
        <w:t>parietal attention system plays a crucial role in bottom-up attentional orienting. Furthermore, the enhancement of alpha power likely serves as an index of attentional inhibition, consistent with previous studies.</w:t>
      </w:r>
    </w:p>
    <w:p w14:paraId="2E891105">
      <w:pPr>
        <w:pStyle w:val="13"/>
        <w:spacing w:beforeAutospacing="0" w:afterAutospacing="0" w:line="360" w:lineRule="auto"/>
      </w:pPr>
    </w:p>
    <w:p w14:paraId="2E891106">
      <w:pPr>
        <w:pStyle w:val="13"/>
        <w:spacing w:beforeAutospacing="0" w:afterAutospacing="0" w:line="360" w:lineRule="auto"/>
      </w:pPr>
      <w:r>
        <w:drawing>
          <wp:inline distT="0" distB="0" distL="114300" distR="114300">
            <wp:extent cx="5766435" cy="3880485"/>
            <wp:effectExtent l="0" t="0" r="5715" b="5715"/>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9"/>
                    <a:stretch>
                      <a:fillRect/>
                    </a:stretch>
                  </pic:blipFill>
                  <pic:spPr>
                    <a:xfrm>
                      <a:off x="0" y="0"/>
                      <a:ext cx="5766435" cy="3880485"/>
                    </a:xfrm>
                    <a:prstGeom prst="rect">
                      <a:avLst/>
                    </a:prstGeom>
                    <a:noFill/>
                    <a:ln>
                      <a:noFill/>
                    </a:ln>
                  </pic:spPr>
                </pic:pic>
              </a:graphicData>
            </a:graphic>
          </wp:inline>
        </w:drawing>
      </w:r>
    </w:p>
    <w:p w14:paraId="2E891107">
      <w:pPr>
        <w:pStyle w:val="13"/>
        <w:spacing w:beforeAutospacing="0" w:afterAutospacing="0" w:line="360" w:lineRule="auto"/>
        <w:rPr>
          <w:rFonts w:ascii="Times New Roman" w:hAnsi="Times New Roman"/>
        </w:rPr>
      </w:pPr>
      <w:bookmarkStart w:id="7" w:name="OLE_LINK9"/>
      <w:r>
        <w:rPr>
          <w:rFonts w:ascii="Times New Roman" w:hAnsi="Times New Roman"/>
          <w:b/>
          <w:bCs/>
        </w:rPr>
        <w:t>Figure S5. Analysis of TRF in Response to Stimuli Presented at Different Visual Fields.</w:t>
      </w:r>
      <w:r>
        <w:rPr>
          <w:rFonts w:hint="eastAsia" w:ascii="Times New Roman" w:hAnsi="Times New Roman"/>
          <w:b/>
          <w:bCs/>
        </w:rPr>
        <w:t xml:space="preserve"> </w:t>
      </w:r>
      <w:r>
        <w:rPr>
          <w:rFonts w:ascii="Times New Roman" w:hAnsi="Times New Roman"/>
        </w:rPr>
        <w:t>(A) illustrate the topographic map</w:t>
      </w:r>
      <w:r>
        <w:rPr>
          <w:rFonts w:hint="eastAsia" w:ascii="Times New Roman" w:hAnsi="Times New Roman"/>
        </w:rPr>
        <w:t>s</w:t>
      </w:r>
      <w:r>
        <w:rPr>
          <w:rFonts w:ascii="Times New Roman" w:hAnsi="Times New Roman"/>
        </w:rPr>
        <w:t xml:space="preserve"> of statistical values comparing cued and uncued conditions within the time window of interest (117-380 ms) across different visual fields (left visual field, LVF, vs. right visual field, RVF) and levels of cue awareness. White dots indicate electrodes showing significant differences. The results showed that cues, whether visible or not, enhanced TRF in brain regions contralateral to the visual field of the stimuli while suppressing TRF in ipsilateral regions. This led to power changes across all frequency bands (1-30 Hz).</w:t>
      </w:r>
    </w:p>
    <w:p w14:paraId="2E891108">
      <w:pPr>
        <w:pStyle w:val="13"/>
        <w:spacing w:beforeAutospacing="0" w:afterAutospacing="0" w:line="360" w:lineRule="auto"/>
        <w:ind w:firstLine="480" w:firstLineChars="200"/>
        <w:rPr>
          <w:rFonts w:ascii="Times New Roman" w:hAnsi="Times New Roman"/>
        </w:rPr>
      </w:pPr>
      <w:r>
        <w:rPr>
          <w:rFonts w:ascii="Times New Roman" w:hAnsi="Times New Roman"/>
        </w:rPr>
        <w:t>Two possible mechanisms could explain these results. First, the visual pathway corresponding to the stimulated visual field may be enhanced when both the cue and disc are encoded in the perceptual network, even without attention orienting. Alternatively, the cue might draw attention to the cued side, heightening the perceptual representation. To disentangle these possibilities, we combined the effects of stimuli from both visual fields. If the observed effects were solely due to the lateralized perceptual encoding of both the cue and discs, cue</w:t>
      </w:r>
      <w:r>
        <w:rPr>
          <w:rFonts w:hint="eastAsia" w:ascii="Times New Roman" w:hAnsi="Times New Roman"/>
        </w:rPr>
        <w:t>ing effects</w:t>
      </w:r>
      <w:r>
        <w:rPr>
          <w:rFonts w:ascii="Times New Roman" w:hAnsi="Times New Roman"/>
        </w:rPr>
        <w:t xml:space="preserve"> from opposite visual fields would cancel each other out, as they would </w:t>
      </w:r>
      <w:r>
        <w:rPr>
          <w:rFonts w:hint="eastAsia" w:ascii="Times New Roman" w:hAnsi="Times New Roman"/>
        </w:rPr>
        <w:t>involve solely</w:t>
      </w:r>
      <w:r>
        <w:rPr>
          <w:rFonts w:ascii="Times New Roman" w:hAnsi="Times New Roman"/>
        </w:rPr>
        <w:t xml:space="preserve"> opposing perceptual </w:t>
      </w:r>
      <w:r>
        <w:rPr>
          <w:rFonts w:hint="eastAsia" w:ascii="Times New Roman" w:hAnsi="Times New Roman"/>
        </w:rPr>
        <w:t>encoding</w:t>
      </w:r>
      <w:r>
        <w:rPr>
          <w:rFonts w:ascii="Times New Roman" w:hAnsi="Times New Roman"/>
        </w:rPr>
        <w:t>. Instead, if attention is responsible, we would expect to see consistent modulation of neural coding, regardless of the visual field.</w:t>
      </w:r>
    </w:p>
    <w:p w14:paraId="2E891109">
      <w:pPr>
        <w:pStyle w:val="13"/>
        <w:spacing w:beforeAutospacing="0" w:afterAutospacing="0" w:line="360" w:lineRule="auto"/>
        <w:ind w:firstLine="480" w:firstLineChars="200"/>
        <w:rPr>
          <w:rFonts w:ascii="Times New Roman" w:hAnsi="Times New Roman"/>
        </w:rPr>
      </w:pPr>
      <w:r>
        <w:rPr>
          <w:rFonts w:ascii="Times New Roman" w:hAnsi="Times New Roman"/>
        </w:rPr>
        <w:t>(B) presents the time-frequency spectrum of cueing effects (cued vs. uncued) before and after combining the visual field data for the two clusters located in the right and left hemispheres (circled by green dashed lines in A). Before combining the visual field data, power lateralization was evident across most frequency bands. However, after merging the data from both visual fields, the effects in most frequency bands largely canceled out, except in the alpha and theta bands of the right hemisphere. This preserved pattern closely mirrors the findings highlighted in the manuscript (circled by the red dashed line). These results suggest that the effects reported in our study reflect a unified, attention-driven modulation pattern across both visual fields.</w:t>
      </w:r>
    </w:p>
    <w:bookmarkEnd w:id="7"/>
    <w:p w14:paraId="2E89110A">
      <w:pPr>
        <w:pStyle w:val="13"/>
        <w:spacing w:beforeAutospacing="0" w:afterAutospacing="0" w:line="360" w:lineRule="auto"/>
        <w:rPr>
          <w:rFonts w:ascii="Times New Roman" w:hAnsi="Times New Roman"/>
        </w:rPr>
      </w:pPr>
      <w:r>
        <w:drawing>
          <wp:inline distT="0" distB="0" distL="114300" distR="114300">
            <wp:extent cx="5554345" cy="27622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554345" cy="2762250"/>
                    </a:xfrm>
                    <a:prstGeom prst="rect">
                      <a:avLst/>
                    </a:prstGeom>
                    <a:noFill/>
                    <a:ln>
                      <a:noFill/>
                    </a:ln>
                  </pic:spPr>
                </pic:pic>
              </a:graphicData>
            </a:graphic>
          </wp:inline>
        </w:drawing>
      </w:r>
    </w:p>
    <w:p w14:paraId="2E89110B">
      <w:pPr>
        <w:pStyle w:val="13"/>
        <w:spacing w:beforeAutospacing="0" w:afterAutospacing="0" w:line="360" w:lineRule="auto"/>
        <w:rPr>
          <w:rFonts w:ascii="Times New Roman" w:hAnsi="Times New Roman"/>
        </w:rPr>
      </w:pPr>
      <w:r>
        <w:rPr>
          <w:rFonts w:ascii="Times New Roman" w:hAnsi="Times New Roman"/>
          <w:b/>
          <w:bCs/>
        </w:rPr>
        <w:t>Figure S</w:t>
      </w:r>
      <w:r>
        <w:rPr>
          <w:rFonts w:hint="eastAsia" w:ascii="Times New Roman" w:hAnsi="Times New Roman"/>
          <w:b/>
          <w:bCs/>
        </w:rPr>
        <w:t>6</w:t>
      </w:r>
      <w:r>
        <w:rPr>
          <w:rFonts w:ascii="Times New Roman" w:hAnsi="Times New Roman"/>
          <w:b/>
          <w:bCs/>
        </w:rPr>
        <w:t>. Results of Experiment 2 After Excluding Subjects Who Did Not Complete the Objective Awareness Check.</w:t>
      </w:r>
      <w:r>
        <w:rPr>
          <w:rFonts w:hint="eastAsia" w:ascii="Times New Roman" w:hAnsi="Times New Roman"/>
          <w:b/>
          <w:bCs/>
        </w:rPr>
        <w:t xml:space="preserve"> </w:t>
      </w:r>
      <w:r>
        <w:rPr>
          <w:rFonts w:ascii="Times New Roman" w:hAnsi="Times New Roman"/>
        </w:rPr>
        <w:t>(A) Topography of the alpha power difference (cued</w:t>
      </w:r>
      <w:r>
        <w:rPr>
          <w:rFonts w:hint="eastAsia" w:ascii="Times New Roman" w:hAnsi="Times New Roman"/>
        </w:rPr>
        <w:t xml:space="preserve"> vs. </w:t>
      </w:r>
      <w:r>
        <w:rPr>
          <w:rFonts w:ascii="Times New Roman" w:hAnsi="Times New Roman"/>
        </w:rPr>
        <w:t>uncued) within the time window of interest (117–383 ms) for both the invisible and visible conditions, with black dots marking electrodes showing significant effects.</w:t>
      </w:r>
      <w:r>
        <w:rPr>
          <w:rFonts w:hint="eastAsia" w:ascii="Times New Roman" w:hAnsi="Times New Roman"/>
        </w:rPr>
        <w:t xml:space="preserve"> </w:t>
      </w:r>
      <w:r>
        <w:rPr>
          <w:rFonts w:ascii="Times New Roman" w:hAnsi="Times New Roman"/>
        </w:rPr>
        <w:t>(B) Connectivity analysis between the frontal and occipito</w:t>
      </w:r>
      <w:r>
        <w:rPr>
          <w:rFonts w:hint="eastAsia" w:ascii="Times New Roman" w:hAnsi="Times New Roman"/>
        </w:rPr>
        <w:t>-</w:t>
      </w:r>
      <w:r>
        <w:rPr>
          <w:rFonts w:ascii="Times New Roman" w:hAnsi="Times New Roman"/>
        </w:rPr>
        <w:t>parietal regions, showing that phase coherence (PLV) between these regions was stronger in the cued condition compared to the uncued condition.</w:t>
      </w:r>
      <w:r>
        <w:rPr>
          <w:rFonts w:hint="eastAsia" w:ascii="Times New Roman" w:hAnsi="Times New Roman"/>
        </w:rPr>
        <w:t xml:space="preserve"> </w:t>
      </w:r>
      <w:r>
        <w:rPr>
          <w:rFonts w:ascii="Times New Roman" w:hAnsi="Times New Roman"/>
        </w:rPr>
        <w:t>(C) Granger causality analysis of signals between the two brain regions in the cued condition. These results align with the findings in the main manuscript, indicating that the exclusion of the two subjects did not significantly affect the key outcomes of the study.</w:t>
      </w:r>
    </w:p>
    <w:p w14:paraId="2E89110C">
      <w:pPr>
        <w:pStyle w:val="13"/>
        <w:spacing w:beforeAutospacing="0" w:afterAutospacing="0" w:line="360" w:lineRule="auto"/>
        <w:rPr>
          <w:rFonts w:ascii="Times New Roman" w:hAnsi="Times New Roman"/>
        </w:rPr>
      </w:pPr>
    </w:p>
    <w:p w14:paraId="2E89110D">
      <w:pPr>
        <w:spacing w:line="360" w:lineRule="auto"/>
        <w:rPr>
          <w:rFonts w:ascii="Times New Roman" w:hAnsi="Times New Roman" w:cs="Times New Roman"/>
          <w:b/>
          <w:bCs/>
          <w:lang w:val="en-US"/>
        </w:rPr>
      </w:pPr>
      <w:r>
        <w:rPr>
          <w:rFonts w:hint="eastAsia" w:ascii="Times New Roman" w:hAnsi="Times New Roman" w:cs="Times New Roman"/>
          <w:b/>
          <w:bCs/>
          <w:lang w:val="en-US"/>
        </w:rPr>
        <w:t>Supplementary Tables.</w:t>
      </w:r>
    </w:p>
    <w:p w14:paraId="2E89110E">
      <w:pPr>
        <w:spacing w:after="120"/>
        <w:rPr>
          <w:rFonts w:ascii="Times New Roman" w:hAnsi="Times New Roman" w:eastAsia="仿宋" w:cs="Times New Roman"/>
          <w:b/>
          <w:bCs/>
          <w:lang w:val="en-US"/>
        </w:rPr>
      </w:pPr>
      <w:r>
        <w:rPr>
          <w:rFonts w:hint="eastAsia" w:ascii="Times New Roman" w:hAnsi="Times New Roman" w:eastAsia="仿宋" w:cs="Times New Roman"/>
          <w:b/>
          <w:bCs/>
          <w:lang w:val="en-US"/>
        </w:rPr>
        <w:t>Table</w:t>
      </w:r>
      <w:r>
        <w:rPr>
          <w:rFonts w:ascii="Times New Roman" w:hAnsi="Times New Roman" w:eastAsia="仿宋" w:cs="Times New Roman"/>
          <w:b/>
          <w:bCs/>
          <w:lang w:val="en-US"/>
        </w:rPr>
        <w:t xml:space="preserve"> </w:t>
      </w:r>
      <w:r>
        <w:rPr>
          <w:rFonts w:hint="eastAsia" w:ascii="Times New Roman" w:hAnsi="Times New Roman" w:eastAsia="仿宋" w:cs="Times New Roman"/>
          <w:b/>
          <w:bCs/>
          <w:lang w:val="en-US"/>
        </w:rPr>
        <w:t>S</w:t>
      </w:r>
      <w:r>
        <w:rPr>
          <w:rFonts w:ascii="Times New Roman" w:hAnsi="Times New Roman" w:eastAsia="仿宋" w:cs="Times New Roman"/>
          <w:b/>
          <w:bCs/>
          <w:lang w:val="en-US"/>
        </w:rPr>
        <w:t xml:space="preserve">1. </w:t>
      </w:r>
      <w:r>
        <w:rPr>
          <w:rFonts w:hint="eastAsia" w:ascii="Times New Roman" w:hAnsi="Times New Roman" w:eastAsia="仿宋" w:cs="Times New Roman"/>
          <w:b/>
          <w:bCs/>
          <w:lang w:val="en-US"/>
        </w:rPr>
        <w:t>Accuracy rates and statistical values for the awareness check tasks across the two experiments.</w:t>
      </w:r>
    </w:p>
    <w:tbl>
      <w:tblPr>
        <w:tblStyle w:val="14"/>
        <w:tblW w:w="8696" w:type="dxa"/>
        <w:tblInd w:w="93" w:type="dxa"/>
        <w:tblLayout w:type="fixed"/>
        <w:tblCellMar>
          <w:top w:w="0" w:type="dxa"/>
          <w:left w:w="108" w:type="dxa"/>
          <w:bottom w:w="0" w:type="dxa"/>
          <w:right w:w="108" w:type="dxa"/>
        </w:tblCellMar>
      </w:tblPr>
      <w:tblGrid>
        <w:gridCol w:w="1351"/>
        <w:gridCol w:w="918"/>
        <w:gridCol w:w="918"/>
        <w:gridCol w:w="918"/>
        <w:gridCol w:w="728"/>
        <w:gridCol w:w="837"/>
        <w:gridCol w:w="1004"/>
        <w:gridCol w:w="943"/>
        <w:gridCol w:w="1079"/>
      </w:tblGrid>
      <w:tr w14:paraId="2E891117">
        <w:tblPrEx>
          <w:tblCellMar>
            <w:top w:w="0" w:type="dxa"/>
            <w:left w:w="108" w:type="dxa"/>
            <w:bottom w:w="0" w:type="dxa"/>
            <w:right w:w="108" w:type="dxa"/>
          </w:tblCellMar>
        </w:tblPrEx>
        <w:trPr>
          <w:trHeight w:val="334" w:hRule="atLeast"/>
        </w:trPr>
        <w:tc>
          <w:tcPr>
            <w:tcW w:w="1351" w:type="dxa"/>
            <w:tcBorders>
              <w:top w:val="single" w:color="auto" w:sz="8" w:space="0"/>
              <w:left w:val="nil"/>
              <w:bottom w:val="nil"/>
              <w:right w:val="nil"/>
            </w:tcBorders>
            <w:shd w:val="clear" w:color="auto" w:fill="auto"/>
            <w:noWrap/>
            <w:vAlign w:val="center"/>
          </w:tcPr>
          <w:p w14:paraId="2E89110F">
            <w:pPr>
              <w:rPr>
                <w:rFonts w:ascii="Times New Roman" w:hAnsi="Times New Roman" w:eastAsia="宋体" w:cs="Times New Roman"/>
                <w:color w:val="000000"/>
                <w:sz w:val="20"/>
                <w:szCs w:val="20"/>
              </w:rPr>
            </w:pPr>
            <w:bookmarkStart w:id="8" w:name="OLE_LINK4"/>
          </w:p>
        </w:tc>
        <w:tc>
          <w:tcPr>
            <w:tcW w:w="918" w:type="dxa"/>
            <w:tcBorders>
              <w:top w:val="single" w:color="auto" w:sz="8" w:space="0"/>
              <w:left w:val="nil"/>
              <w:bottom w:val="nil"/>
              <w:right w:val="nil"/>
            </w:tcBorders>
            <w:shd w:val="clear" w:color="auto" w:fill="auto"/>
            <w:noWrap/>
            <w:vAlign w:val="center"/>
          </w:tcPr>
          <w:p w14:paraId="2E891110">
            <w:pPr>
              <w:rPr>
                <w:rFonts w:ascii="Times New Roman" w:hAnsi="Times New Roman" w:eastAsia="宋体" w:cs="Times New Roman"/>
                <w:color w:val="000000"/>
                <w:sz w:val="20"/>
                <w:szCs w:val="20"/>
              </w:rPr>
            </w:pPr>
          </w:p>
        </w:tc>
        <w:tc>
          <w:tcPr>
            <w:tcW w:w="918" w:type="dxa"/>
            <w:tcBorders>
              <w:top w:val="single" w:color="auto" w:sz="8" w:space="0"/>
              <w:left w:val="nil"/>
              <w:bottom w:val="nil"/>
              <w:right w:val="nil"/>
            </w:tcBorders>
            <w:shd w:val="clear" w:color="auto" w:fill="auto"/>
            <w:noWrap/>
            <w:vAlign w:val="center"/>
          </w:tcPr>
          <w:p w14:paraId="2E891111">
            <w:pPr>
              <w:rPr>
                <w:rFonts w:ascii="Times New Roman" w:hAnsi="Times New Roman" w:eastAsia="宋体" w:cs="Times New Roman"/>
                <w:color w:val="000000"/>
                <w:sz w:val="20"/>
                <w:szCs w:val="20"/>
              </w:rPr>
            </w:pPr>
          </w:p>
        </w:tc>
        <w:tc>
          <w:tcPr>
            <w:tcW w:w="918" w:type="dxa"/>
            <w:tcBorders>
              <w:top w:val="single" w:color="auto" w:sz="8" w:space="0"/>
              <w:left w:val="nil"/>
              <w:bottom w:val="nil"/>
              <w:right w:val="nil"/>
            </w:tcBorders>
            <w:shd w:val="clear" w:color="auto" w:fill="auto"/>
            <w:noWrap/>
            <w:vAlign w:val="center"/>
          </w:tcPr>
          <w:p w14:paraId="2E891112">
            <w:pPr>
              <w:rPr>
                <w:rFonts w:ascii="Times New Roman" w:hAnsi="Times New Roman" w:eastAsia="宋体" w:cs="Times New Roman"/>
                <w:color w:val="000000"/>
                <w:sz w:val="20"/>
                <w:szCs w:val="20"/>
              </w:rPr>
            </w:pPr>
          </w:p>
        </w:tc>
        <w:tc>
          <w:tcPr>
            <w:tcW w:w="728" w:type="dxa"/>
            <w:tcBorders>
              <w:top w:val="single" w:color="auto" w:sz="8" w:space="0"/>
              <w:left w:val="nil"/>
              <w:bottom w:val="nil"/>
              <w:right w:val="nil"/>
            </w:tcBorders>
            <w:shd w:val="clear" w:color="auto" w:fill="auto"/>
            <w:noWrap/>
            <w:vAlign w:val="center"/>
          </w:tcPr>
          <w:p w14:paraId="2E891113">
            <w:pPr>
              <w:rPr>
                <w:rFonts w:ascii="Times New Roman" w:hAnsi="Times New Roman" w:eastAsia="宋体" w:cs="Times New Roman"/>
                <w:color w:val="000000"/>
                <w:sz w:val="20"/>
                <w:szCs w:val="20"/>
              </w:rPr>
            </w:pPr>
          </w:p>
        </w:tc>
        <w:tc>
          <w:tcPr>
            <w:tcW w:w="837" w:type="dxa"/>
            <w:tcBorders>
              <w:top w:val="single" w:color="auto" w:sz="8" w:space="0"/>
              <w:left w:val="nil"/>
              <w:bottom w:val="nil"/>
              <w:right w:val="nil"/>
            </w:tcBorders>
            <w:shd w:val="clear" w:color="auto" w:fill="auto"/>
            <w:noWrap/>
            <w:vAlign w:val="center"/>
          </w:tcPr>
          <w:p w14:paraId="2E891114">
            <w:pPr>
              <w:rPr>
                <w:rFonts w:ascii="Times New Roman" w:hAnsi="Times New Roman" w:eastAsia="宋体" w:cs="Times New Roman"/>
                <w:color w:val="000000"/>
                <w:sz w:val="20"/>
                <w:szCs w:val="20"/>
              </w:rPr>
            </w:pPr>
          </w:p>
        </w:tc>
        <w:tc>
          <w:tcPr>
            <w:tcW w:w="1947" w:type="dxa"/>
            <w:gridSpan w:val="2"/>
            <w:tcBorders>
              <w:top w:val="single" w:color="auto" w:sz="8" w:space="0"/>
              <w:left w:val="nil"/>
              <w:bottom w:val="single" w:color="auto" w:sz="4" w:space="0"/>
              <w:right w:val="nil"/>
            </w:tcBorders>
            <w:shd w:val="clear" w:color="auto" w:fill="auto"/>
            <w:vAlign w:val="center"/>
          </w:tcPr>
          <w:p w14:paraId="2E891115">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95% CI</w:t>
            </w:r>
          </w:p>
        </w:tc>
        <w:tc>
          <w:tcPr>
            <w:tcW w:w="1079" w:type="dxa"/>
            <w:tcBorders>
              <w:top w:val="single" w:color="auto" w:sz="8" w:space="0"/>
              <w:left w:val="nil"/>
              <w:bottom w:val="nil"/>
              <w:right w:val="nil"/>
            </w:tcBorders>
            <w:shd w:val="clear" w:color="auto" w:fill="auto"/>
            <w:vAlign w:val="center"/>
          </w:tcPr>
          <w:p w14:paraId="2E891116">
            <w:pPr>
              <w:jc w:val="center"/>
              <w:rPr>
                <w:rFonts w:ascii="Times New Roman" w:hAnsi="Times New Roman" w:eastAsia="宋体" w:cs="Times New Roman"/>
                <w:color w:val="000000"/>
                <w:sz w:val="20"/>
                <w:szCs w:val="20"/>
              </w:rPr>
            </w:pPr>
          </w:p>
        </w:tc>
      </w:tr>
      <w:tr w14:paraId="2E891121">
        <w:tblPrEx>
          <w:tblCellMar>
            <w:top w:w="0" w:type="dxa"/>
            <w:left w:w="108" w:type="dxa"/>
            <w:bottom w:w="0" w:type="dxa"/>
            <w:right w:w="108" w:type="dxa"/>
          </w:tblCellMar>
        </w:tblPrEx>
        <w:trPr>
          <w:trHeight w:val="618" w:hRule="atLeast"/>
        </w:trPr>
        <w:tc>
          <w:tcPr>
            <w:tcW w:w="1351" w:type="dxa"/>
            <w:tcBorders>
              <w:top w:val="nil"/>
              <w:left w:val="nil"/>
              <w:bottom w:val="single" w:color="auto" w:sz="4" w:space="0"/>
              <w:right w:val="nil"/>
            </w:tcBorders>
            <w:shd w:val="clear" w:color="auto" w:fill="auto"/>
            <w:vAlign w:val="center"/>
          </w:tcPr>
          <w:p w14:paraId="2E891118">
            <w:pPr>
              <w:jc w:val="center"/>
              <w:textAlignment w:val="center"/>
              <w:rPr>
                <w:rFonts w:ascii="Times New Roman" w:hAnsi="Times New Roman" w:eastAsia="宋体" w:cs="Times New Roman"/>
                <w:color w:val="000000"/>
                <w:sz w:val="20"/>
                <w:szCs w:val="20"/>
                <w:lang w:val="en-US"/>
              </w:rPr>
            </w:pPr>
            <w:r>
              <w:rPr>
                <w:rFonts w:ascii="Times New Roman" w:hAnsi="Times New Roman" w:eastAsia="宋体" w:cs="Times New Roman"/>
                <w:color w:val="000000"/>
                <w:sz w:val="20"/>
                <w:szCs w:val="20"/>
                <w:lang w:val="en-US" w:bidi="ar"/>
              </w:rPr>
              <w:t xml:space="preserve">Awareness </w:t>
            </w:r>
            <w:r>
              <w:rPr>
                <w:rFonts w:hint="eastAsia" w:ascii="Times New Roman" w:hAnsi="Times New Roman" w:eastAsia="宋体" w:cs="Times New Roman"/>
                <w:color w:val="000000"/>
                <w:sz w:val="20"/>
                <w:szCs w:val="20"/>
                <w:lang w:val="en-US" w:bidi="ar"/>
              </w:rPr>
              <w:t>Check</w:t>
            </w:r>
          </w:p>
        </w:tc>
        <w:tc>
          <w:tcPr>
            <w:tcW w:w="918" w:type="dxa"/>
            <w:tcBorders>
              <w:top w:val="nil"/>
              <w:left w:val="nil"/>
              <w:bottom w:val="single" w:color="auto" w:sz="4" w:space="0"/>
              <w:right w:val="nil"/>
            </w:tcBorders>
            <w:shd w:val="clear" w:color="auto" w:fill="auto"/>
            <w:vAlign w:val="center"/>
          </w:tcPr>
          <w:p w14:paraId="2E891119">
            <w:pPr>
              <w:jc w:val="center"/>
              <w:textAlignment w:val="center"/>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lang w:val="en-US" w:bidi="ar"/>
              </w:rPr>
              <w:t>M</w:t>
            </w:r>
            <w:r>
              <w:rPr>
                <w:rFonts w:ascii="Times New Roman" w:hAnsi="Times New Roman" w:eastAsia="宋体" w:cs="Times New Roman"/>
                <w:color w:val="000000"/>
                <w:sz w:val="20"/>
                <w:szCs w:val="20"/>
                <w:lang w:val="en-US" w:bidi="ar"/>
              </w:rPr>
              <w:t>ean ACC</w:t>
            </w:r>
          </w:p>
        </w:tc>
        <w:tc>
          <w:tcPr>
            <w:tcW w:w="918" w:type="dxa"/>
            <w:tcBorders>
              <w:top w:val="nil"/>
              <w:left w:val="nil"/>
              <w:bottom w:val="single" w:color="auto" w:sz="4" w:space="0"/>
              <w:right w:val="nil"/>
            </w:tcBorders>
            <w:shd w:val="clear" w:color="auto" w:fill="auto"/>
            <w:vAlign w:val="center"/>
          </w:tcPr>
          <w:p w14:paraId="2E89111A">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BF</w:t>
            </w:r>
            <w:r>
              <w:rPr>
                <w:rFonts w:ascii="Times New Roman" w:hAnsi="Times New Roman" w:eastAsia="宋体" w:cs="Times New Roman"/>
                <w:i/>
                <w:iCs/>
                <w:color w:val="000000"/>
                <w:sz w:val="20"/>
                <w:szCs w:val="20"/>
                <w:vertAlign w:val="subscript"/>
                <w:lang w:val="en-US" w:bidi="ar"/>
              </w:rPr>
              <w:t>10</w:t>
            </w:r>
          </w:p>
        </w:tc>
        <w:tc>
          <w:tcPr>
            <w:tcW w:w="918" w:type="dxa"/>
            <w:tcBorders>
              <w:top w:val="nil"/>
              <w:left w:val="nil"/>
              <w:bottom w:val="single" w:color="auto" w:sz="4" w:space="0"/>
              <w:right w:val="nil"/>
            </w:tcBorders>
            <w:shd w:val="clear" w:color="auto" w:fill="auto"/>
            <w:vAlign w:val="center"/>
          </w:tcPr>
          <w:p w14:paraId="2E89111B">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t</w:t>
            </w:r>
          </w:p>
        </w:tc>
        <w:tc>
          <w:tcPr>
            <w:tcW w:w="728" w:type="dxa"/>
            <w:tcBorders>
              <w:top w:val="nil"/>
              <w:left w:val="nil"/>
              <w:bottom w:val="single" w:color="auto" w:sz="4" w:space="0"/>
              <w:right w:val="nil"/>
            </w:tcBorders>
            <w:shd w:val="clear" w:color="auto" w:fill="auto"/>
            <w:vAlign w:val="center"/>
          </w:tcPr>
          <w:p w14:paraId="2E89111C">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df</w:t>
            </w:r>
          </w:p>
        </w:tc>
        <w:tc>
          <w:tcPr>
            <w:tcW w:w="837" w:type="dxa"/>
            <w:tcBorders>
              <w:top w:val="nil"/>
              <w:left w:val="nil"/>
              <w:bottom w:val="single" w:color="auto" w:sz="4" w:space="0"/>
              <w:right w:val="nil"/>
            </w:tcBorders>
            <w:shd w:val="clear" w:color="auto" w:fill="auto"/>
            <w:vAlign w:val="center"/>
          </w:tcPr>
          <w:p w14:paraId="2E89111D">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p</w:t>
            </w:r>
          </w:p>
        </w:tc>
        <w:tc>
          <w:tcPr>
            <w:tcW w:w="1004" w:type="dxa"/>
            <w:tcBorders>
              <w:top w:val="single" w:color="auto" w:sz="4" w:space="0"/>
              <w:left w:val="nil"/>
              <w:bottom w:val="single" w:color="auto" w:sz="4" w:space="0"/>
              <w:right w:val="nil"/>
            </w:tcBorders>
            <w:shd w:val="clear" w:color="auto" w:fill="auto"/>
            <w:vAlign w:val="center"/>
          </w:tcPr>
          <w:p w14:paraId="2E89111E">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Lower</w:t>
            </w:r>
          </w:p>
        </w:tc>
        <w:tc>
          <w:tcPr>
            <w:tcW w:w="943" w:type="dxa"/>
            <w:tcBorders>
              <w:top w:val="single" w:color="auto" w:sz="4" w:space="0"/>
              <w:left w:val="nil"/>
              <w:bottom w:val="single" w:color="auto" w:sz="4" w:space="0"/>
              <w:right w:val="nil"/>
            </w:tcBorders>
            <w:shd w:val="clear" w:color="auto" w:fill="auto"/>
            <w:vAlign w:val="center"/>
          </w:tcPr>
          <w:p w14:paraId="2E89111F">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Upper</w:t>
            </w:r>
          </w:p>
        </w:tc>
        <w:tc>
          <w:tcPr>
            <w:tcW w:w="1079" w:type="dxa"/>
            <w:tcBorders>
              <w:top w:val="nil"/>
              <w:left w:val="nil"/>
              <w:bottom w:val="single" w:color="auto" w:sz="4" w:space="0"/>
              <w:right w:val="nil"/>
            </w:tcBorders>
            <w:shd w:val="clear" w:color="auto" w:fill="auto"/>
            <w:vAlign w:val="center"/>
          </w:tcPr>
          <w:p w14:paraId="2E891120">
            <w:pPr>
              <w:jc w:val="center"/>
              <w:textAlignment w:val="center"/>
              <w:rPr>
                <w:rFonts w:ascii="Times New Roman" w:hAnsi="Times New Roman" w:eastAsia="宋体" w:cs="Times New Roman"/>
                <w:i/>
                <w:iCs/>
                <w:color w:val="000000"/>
                <w:sz w:val="20"/>
                <w:szCs w:val="20"/>
              </w:rPr>
            </w:pPr>
            <w:r>
              <w:rPr>
                <w:rFonts w:ascii="Times New Roman" w:hAnsi="Times New Roman" w:eastAsia="宋体" w:cs="Times New Roman"/>
                <w:i/>
                <w:iCs/>
                <w:color w:val="000000"/>
                <w:sz w:val="20"/>
                <w:szCs w:val="20"/>
                <w:lang w:val="en-US" w:bidi="ar"/>
              </w:rPr>
              <w:t>Cohen's d</w:t>
            </w:r>
          </w:p>
        </w:tc>
      </w:tr>
      <w:tr w14:paraId="2E89112B">
        <w:tblPrEx>
          <w:tblCellMar>
            <w:top w:w="0" w:type="dxa"/>
            <w:left w:w="108" w:type="dxa"/>
            <w:bottom w:w="0" w:type="dxa"/>
            <w:right w:w="108" w:type="dxa"/>
          </w:tblCellMar>
        </w:tblPrEx>
        <w:trPr>
          <w:trHeight w:val="324" w:hRule="atLeast"/>
        </w:trPr>
        <w:tc>
          <w:tcPr>
            <w:tcW w:w="1351" w:type="dxa"/>
            <w:tcBorders>
              <w:top w:val="single" w:color="auto" w:sz="4" w:space="0"/>
              <w:left w:val="nil"/>
              <w:bottom w:val="nil"/>
              <w:right w:val="nil"/>
            </w:tcBorders>
            <w:shd w:val="clear" w:color="auto" w:fill="auto"/>
            <w:vAlign w:val="center"/>
          </w:tcPr>
          <w:p w14:paraId="2E891122">
            <w:pP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Exp.1</w:t>
            </w:r>
          </w:p>
        </w:tc>
        <w:tc>
          <w:tcPr>
            <w:tcW w:w="918" w:type="dxa"/>
            <w:tcBorders>
              <w:top w:val="single" w:color="auto" w:sz="4" w:space="0"/>
              <w:left w:val="nil"/>
              <w:bottom w:val="nil"/>
              <w:right w:val="nil"/>
            </w:tcBorders>
            <w:shd w:val="clear" w:color="auto" w:fill="auto"/>
            <w:vAlign w:val="center"/>
          </w:tcPr>
          <w:p w14:paraId="2E891123">
            <w:pPr>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49.80%</w:t>
            </w:r>
          </w:p>
        </w:tc>
        <w:tc>
          <w:tcPr>
            <w:tcW w:w="918" w:type="dxa"/>
            <w:tcBorders>
              <w:top w:val="single" w:color="auto" w:sz="4" w:space="0"/>
              <w:left w:val="nil"/>
              <w:bottom w:val="nil"/>
              <w:right w:val="nil"/>
            </w:tcBorders>
            <w:shd w:val="clear" w:color="auto" w:fill="auto"/>
            <w:vAlign w:val="center"/>
          </w:tcPr>
          <w:p w14:paraId="2E891124">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0.31</w:t>
            </w:r>
          </w:p>
        </w:tc>
        <w:tc>
          <w:tcPr>
            <w:tcW w:w="918" w:type="dxa"/>
            <w:tcBorders>
              <w:top w:val="single" w:color="auto" w:sz="4" w:space="0"/>
              <w:left w:val="nil"/>
              <w:bottom w:val="nil"/>
              <w:right w:val="nil"/>
            </w:tcBorders>
            <w:shd w:val="clear" w:color="auto" w:fill="auto"/>
            <w:vAlign w:val="center"/>
          </w:tcPr>
          <w:p w14:paraId="2E891125">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-0.105</w:t>
            </w:r>
          </w:p>
        </w:tc>
        <w:tc>
          <w:tcPr>
            <w:tcW w:w="728" w:type="dxa"/>
            <w:tcBorders>
              <w:top w:val="single" w:color="auto" w:sz="4" w:space="0"/>
              <w:left w:val="nil"/>
              <w:bottom w:val="nil"/>
              <w:right w:val="nil"/>
            </w:tcBorders>
            <w:shd w:val="clear" w:color="auto" w:fill="auto"/>
            <w:vAlign w:val="center"/>
          </w:tcPr>
          <w:p w14:paraId="2E891126">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19</w:t>
            </w:r>
          </w:p>
        </w:tc>
        <w:tc>
          <w:tcPr>
            <w:tcW w:w="837" w:type="dxa"/>
            <w:tcBorders>
              <w:top w:val="single" w:color="auto" w:sz="4" w:space="0"/>
              <w:left w:val="nil"/>
              <w:bottom w:val="nil"/>
              <w:right w:val="nil"/>
            </w:tcBorders>
            <w:shd w:val="clear" w:color="auto" w:fill="auto"/>
            <w:vAlign w:val="center"/>
          </w:tcPr>
          <w:p w14:paraId="2E891127">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0.918</w:t>
            </w:r>
          </w:p>
        </w:tc>
        <w:tc>
          <w:tcPr>
            <w:tcW w:w="1004" w:type="dxa"/>
            <w:tcBorders>
              <w:top w:val="single" w:color="auto" w:sz="4" w:space="0"/>
              <w:left w:val="nil"/>
              <w:bottom w:val="nil"/>
              <w:right w:val="nil"/>
            </w:tcBorders>
            <w:shd w:val="clear" w:color="auto" w:fill="auto"/>
            <w:vAlign w:val="center"/>
          </w:tcPr>
          <w:p w14:paraId="2E891128">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-0.0459</w:t>
            </w:r>
          </w:p>
        </w:tc>
        <w:tc>
          <w:tcPr>
            <w:tcW w:w="943" w:type="dxa"/>
            <w:tcBorders>
              <w:top w:val="single" w:color="auto" w:sz="4" w:space="0"/>
              <w:left w:val="nil"/>
              <w:bottom w:val="nil"/>
              <w:right w:val="nil"/>
            </w:tcBorders>
            <w:shd w:val="clear" w:color="auto" w:fill="auto"/>
            <w:vAlign w:val="center"/>
          </w:tcPr>
          <w:p w14:paraId="2E891129">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0.0415</w:t>
            </w:r>
          </w:p>
        </w:tc>
        <w:tc>
          <w:tcPr>
            <w:tcW w:w="1079" w:type="dxa"/>
            <w:tcBorders>
              <w:top w:val="single" w:color="auto" w:sz="4" w:space="0"/>
              <w:left w:val="nil"/>
              <w:bottom w:val="nil"/>
              <w:right w:val="nil"/>
            </w:tcBorders>
            <w:shd w:val="clear" w:color="auto" w:fill="auto"/>
            <w:vAlign w:val="center"/>
          </w:tcPr>
          <w:p w14:paraId="2E89112A">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-0.0234</w:t>
            </w:r>
          </w:p>
        </w:tc>
      </w:tr>
      <w:tr w14:paraId="2E891135">
        <w:tblPrEx>
          <w:tblCellMar>
            <w:top w:w="0" w:type="dxa"/>
            <w:left w:w="108" w:type="dxa"/>
            <w:bottom w:w="0" w:type="dxa"/>
            <w:right w:w="108" w:type="dxa"/>
          </w:tblCellMar>
        </w:tblPrEx>
        <w:trPr>
          <w:trHeight w:val="305" w:hRule="atLeast"/>
        </w:trPr>
        <w:tc>
          <w:tcPr>
            <w:tcW w:w="1351" w:type="dxa"/>
            <w:tcBorders>
              <w:top w:val="nil"/>
              <w:left w:val="nil"/>
              <w:bottom w:val="nil"/>
              <w:right w:val="nil"/>
            </w:tcBorders>
            <w:shd w:val="clear" w:color="auto" w:fill="auto"/>
            <w:vAlign w:val="center"/>
          </w:tcPr>
          <w:p w14:paraId="2E89112C">
            <w:pPr>
              <w:textAlignment w:val="center"/>
              <w:rPr>
                <w:rFonts w:ascii="Times New Roman" w:hAnsi="Times New Roman" w:eastAsia="宋体" w:cs="Times New Roman"/>
                <w:color w:val="000000"/>
                <w:sz w:val="20"/>
                <w:szCs w:val="20"/>
                <w:lang w:val="en-US"/>
              </w:rPr>
            </w:pPr>
            <w:r>
              <w:rPr>
                <w:rFonts w:ascii="Times New Roman" w:hAnsi="Times New Roman" w:eastAsia="宋体" w:cs="Times New Roman"/>
                <w:color w:val="000000"/>
                <w:sz w:val="20"/>
                <w:szCs w:val="20"/>
                <w:lang w:val="en-US" w:bidi="ar"/>
              </w:rPr>
              <w:t>Exp.2</w:t>
            </w:r>
            <w:r>
              <w:rPr>
                <w:rFonts w:hint="eastAsia" w:ascii="Times New Roman" w:hAnsi="Times New Roman" w:eastAsia="宋体" w:cs="Times New Roman"/>
                <w:color w:val="000000"/>
                <w:sz w:val="20"/>
                <w:szCs w:val="20"/>
                <w:lang w:val="en-US" w:bidi="ar"/>
              </w:rPr>
              <w:t xml:space="preserve"> 1st</w:t>
            </w:r>
          </w:p>
        </w:tc>
        <w:tc>
          <w:tcPr>
            <w:tcW w:w="918" w:type="dxa"/>
            <w:tcBorders>
              <w:top w:val="nil"/>
              <w:left w:val="nil"/>
              <w:bottom w:val="nil"/>
              <w:right w:val="nil"/>
            </w:tcBorders>
            <w:shd w:val="clear" w:color="auto" w:fill="auto"/>
            <w:vAlign w:val="center"/>
          </w:tcPr>
          <w:p w14:paraId="2E89112D">
            <w:pPr>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51.20%</w:t>
            </w:r>
          </w:p>
        </w:tc>
        <w:tc>
          <w:tcPr>
            <w:tcW w:w="918" w:type="dxa"/>
            <w:tcBorders>
              <w:top w:val="nil"/>
              <w:left w:val="nil"/>
              <w:bottom w:val="nil"/>
              <w:right w:val="nil"/>
            </w:tcBorders>
            <w:shd w:val="clear" w:color="auto" w:fill="auto"/>
            <w:vAlign w:val="center"/>
          </w:tcPr>
          <w:p w14:paraId="2E89112E">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0.348</w:t>
            </w:r>
          </w:p>
        </w:tc>
        <w:tc>
          <w:tcPr>
            <w:tcW w:w="918" w:type="dxa"/>
            <w:tcBorders>
              <w:top w:val="nil"/>
              <w:left w:val="nil"/>
              <w:bottom w:val="nil"/>
              <w:right w:val="nil"/>
            </w:tcBorders>
            <w:shd w:val="clear" w:color="auto" w:fill="auto"/>
            <w:vAlign w:val="center"/>
          </w:tcPr>
          <w:p w14:paraId="2E89112F">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0.54</w:t>
            </w:r>
          </w:p>
        </w:tc>
        <w:tc>
          <w:tcPr>
            <w:tcW w:w="728" w:type="dxa"/>
            <w:tcBorders>
              <w:top w:val="nil"/>
              <w:left w:val="nil"/>
              <w:bottom w:val="nil"/>
              <w:right w:val="nil"/>
            </w:tcBorders>
            <w:shd w:val="clear" w:color="auto" w:fill="auto"/>
            <w:vAlign w:val="center"/>
          </w:tcPr>
          <w:p w14:paraId="2E891130">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19</w:t>
            </w:r>
          </w:p>
        </w:tc>
        <w:tc>
          <w:tcPr>
            <w:tcW w:w="837" w:type="dxa"/>
            <w:tcBorders>
              <w:top w:val="nil"/>
              <w:left w:val="nil"/>
              <w:bottom w:val="nil"/>
              <w:right w:val="nil"/>
            </w:tcBorders>
            <w:shd w:val="clear" w:color="auto" w:fill="auto"/>
            <w:vAlign w:val="center"/>
          </w:tcPr>
          <w:p w14:paraId="2E891131">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0.596</w:t>
            </w:r>
          </w:p>
        </w:tc>
        <w:tc>
          <w:tcPr>
            <w:tcW w:w="1004" w:type="dxa"/>
            <w:tcBorders>
              <w:top w:val="nil"/>
              <w:left w:val="nil"/>
              <w:bottom w:val="nil"/>
              <w:right w:val="nil"/>
            </w:tcBorders>
            <w:shd w:val="clear" w:color="auto" w:fill="auto"/>
            <w:vAlign w:val="center"/>
          </w:tcPr>
          <w:p w14:paraId="2E891132">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-0.0351</w:t>
            </w:r>
          </w:p>
        </w:tc>
        <w:tc>
          <w:tcPr>
            <w:tcW w:w="943" w:type="dxa"/>
            <w:tcBorders>
              <w:top w:val="nil"/>
              <w:left w:val="nil"/>
              <w:bottom w:val="nil"/>
              <w:right w:val="nil"/>
            </w:tcBorders>
            <w:shd w:val="clear" w:color="auto" w:fill="auto"/>
            <w:vAlign w:val="center"/>
          </w:tcPr>
          <w:p w14:paraId="2E891133">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0.0595</w:t>
            </w:r>
          </w:p>
        </w:tc>
        <w:tc>
          <w:tcPr>
            <w:tcW w:w="1079" w:type="dxa"/>
            <w:tcBorders>
              <w:top w:val="nil"/>
              <w:left w:val="nil"/>
              <w:bottom w:val="nil"/>
              <w:right w:val="nil"/>
            </w:tcBorders>
            <w:shd w:val="clear" w:color="auto" w:fill="auto"/>
            <w:vAlign w:val="center"/>
          </w:tcPr>
          <w:p w14:paraId="2E891134">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0.121</w:t>
            </w:r>
          </w:p>
        </w:tc>
      </w:tr>
      <w:tr w14:paraId="2E89113F">
        <w:tblPrEx>
          <w:tblCellMar>
            <w:top w:w="0" w:type="dxa"/>
            <w:left w:w="108" w:type="dxa"/>
            <w:bottom w:w="0" w:type="dxa"/>
            <w:right w:w="108" w:type="dxa"/>
          </w:tblCellMar>
        </w:tblPrEx>
        <w:trPr>
          <w:trHeight w:val="449" w:hRule="atLeast"/>
        </w:trPr>
        <w:tc>
          <w:tcPr>
            <w:tcW w:w="1351" w:type="dxa"/>
            <w:tcBorders>
              <w:top w:val="nil"/>
              <w:left w:val="nil"/>
              <w:bottom w:val="single" w:color="auto" w:sz="8" w:space="0"/>
              <w:right w:val="nil"/>
            </w:tcBorders>
            <w:shd w:val="clear" w:color="auto" w:fill="auto"/>
            <w:vAlign w:val="center"/>
          </w:tcPr>
          <w:p w14:paraId="2E891136">
            <w:pPr>
              <w:textAlignment w:val="center"/>
              <w:rPr>
                <w:rFonts w:ascii="Times New Roman" w:hAnsi="Times New Roman" w:eastAsia="宋体" w:cs="Times New Roman"/>
                <w:color w:val="000000"/>
                <w:sz w:val="20"/>
                <w:szCs w:val="20"/>
                <w:lang w:val="en-US"/>
              </w:rPr>
            </w:pPr>
            <w:r>
              <w:rPr>
                <w:rFonts w:ascii="Times New Roman" w:hAnsi="Times New Roman" w:eastAsia="宋体" w:cs="Times New Roman"/>
                <w:color w:val="000000"/>
                <w:sz w:val="20"/>
                <w:szCs w:val="20"/>
                <w:lang w:val="en-US" w:bidi="ar"/>
              </w:rPr>
              <w:t>Exp.2</w:t>
            </w:r>
            <w:r>
              <w:rPr>
                <w:rFonts w:hint="eastAsia" w:ascii="Times New Roman" w:hAnsi="Times New Roman" w:eastAsia="宋体" w:cs="Times New Roman"/>
                <w:color w:val="000000"/>
                <w:sz w:val="20"/>
                <w:szCs w:val="20"/>
                <w:lang w:val="en-US" w:bidi="ar"/>
              </w:rPr>
              <w:t xml:space="preserve"> 2nd</w:t>
            </w:r>
          </w:p>
        </w:tc>
        <w:tc>
          <w:tcPr>
            <w:tcW w:w="918" w:type="dxa"/>
            <w:tcBorders>
              <w:top w:val="nil"/>
              <w:left w:val="nil"/>
              <w:bottom w:val="single" w:color="auto" w:sz="8" w:space="0"/>
              <w:right w:val="nil"/>
            </w:tcBorders>
            <w:shd w:val="clear" w:color="auto" w:fill="auto"/>
            <w:vAlign w:val="center"/>
          </w:tcPr>
          <w:p w14:paraId="2E891137">
            <w:pPr>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50.70%</w:t>
            </w:r>
          </w:p>
        </w:tc>
        <w:tc>
          <w:tcPr>
            <w:tcW w:w="918" w:type="dxa"/>
            <w:tcBorders>
              <w:top w:val="nil"/>
              <w:left w:val="nil"/>
              <w:bottom w:val="single" w:color="auto" w:sz="8" w:space="0"/>
              <w:right w:val="nil"/>
            </w:tcBorders>
            <w:shd w:val="clear" w:color="auto" w:fill="auto"/>
            <w:vAlign w:val="center"/>
          </w:tcPr>
          <w:p w14:paraId="2E891138">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0.362</w:t>
            </w:r>
          </w:p>
        </w:tc>
        <w:tc>
          <w:tcPr>
            <w:tcW w:w="918" w:type="dxa"/>
            <w:tcBorders>
              <w:top w:val="nil"/>
              <w:left w:val="nil"/>
              <w:bottom w:val="single" w:color="auto" w:sz="8" w:space="0"/>
              <w:right w:val="nil"/>
            </w:tcBorders>
            <w:shd w:val="clear" w:color="auto" w:fill="auto"/>
            <w:vAlign w:val="center"/>
          </w:tcPr>
          <w:p w14:paraId="2E891139">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0.491</w:t>
            </w:r>
          </w:p>
        </w:tc>
        <w:tc>
          <w:tcPr>
            <w:tcW w:w="728" w:type="dxa"/>
            <w:tcBorders>
              <w:top w:val="nil"/>
              <w:left w:val="nil"/>
              <w:bottom w:val="single" w:color="auto" w:sz="8" w:space="0"/>
              <w:right w:val="nil"/>
            </w:tcBorders>
            <w:shd w:val="clear" w:color="auto" w:fill="auto"/>
            <w:vAlign w:val="center"/>
          </w:tcPr>
          <w:p w14:paraId="2E89113A">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16</w:t>
            </w:r>
          </w:p>
        </w:tc>
        <w:tc>
          <w:tcPr>
            <w:tcW w:w="837" w:type="dxa"/>
            <w:tcBorders>
              <w:top w:val="nil"/>
              <w:left w:val="nil"/>
              <w:bottom w:val="single" w:color="auto" w:sz="8" w:space="0"/>
              <w:right w:val="nil"/>
            </w:tcBorders>
            <w:shd w:val="clear" w:color="auto" w:fill="auto"/>
            <w:vAlign w:val="center"/>
          </w:tcPr>
          <w:p w14:paraId="2E89113B">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0.63</w:t>
            </w:r>
          </w:p>
        </w:tc>
        <w:tc>
          <w:tcPr>
            <w:tcW w:w="1004" w:type="dxa"/>
            <w:tcBorders>
              <w:top w:val="nil"/>
              <w:left w:val="nil"/>
              <w:bottom w:val="single" w:color="auto" w:sz="8" w:space="0"/>
              <w:right w:val="nil"/>
            </w:tcBorders>
            <w:shd w:val="clear" w:color="auto" w:fill="auto"/>
            <w:vAlign w:val="center"/>
          </w:tcPr>
          <w:p w14:paraId="2E89113C">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-0.0244</w:t>
            </w:r>
          </w:p>
        </w:tc>
        <w:tc>
          <w:tcPr>
            <w:tcW w:w="943" w:type="dxa"/>
            <w:tcBorders>
              <w:top w:val="nil"/>
              <w:left w:val="nil"/>
              <w:bottom w:val="single" w:color="auto" w:sz="8" w:space="0"/>
              <w:right w:val="nil"/>
            </w:tcBorders>
            <w:shd w:val="clear" w:color="auto" w:fill="auto"/>
            <w:vAlign w:val="center"/>
          </w:tcPr>
          <w:p w14:paraId="2E89113D">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0.0391</w:t>
            </w:r>
          </w:p>
        </w:tc>
        <w:tc>
          <w:tcPr>
            <w:tcW w:w="1079" w:type="dxa"/>
            <w:tcBorders>
              <w:top w:val="nil"/>
              <w:left w:val="nil"/>
              <w:bottom w:val="single" w:color="auto" w:sz="8" w:space="0"/>
              <w:right w:val="nil"/>
            </w:tcBorders>
            <w:shd w:val="clear" w:color="auto" w:fill="auto"/>
            <w:vAlign w:val="center"/>
          </w:tcPr>
          <w:p w14:paraId="2E89113E">
            <w:pPr>
              <w:jc w:val="right"/>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lang w:val="en-US" w:bidi="ar"/>
              </w:rPr>
              <w:t>0.119</w:t>
            </w:r>
          </w:p>
        </w:tc>
      </w:tr>
      <w:bookmarkEnd w:id="8"/>
    </w:tbl>
    <w:p w14:paraId="2E891140">
      <w:pPr>
        <w:spacing w:line="360" w:lineRule="auto"/>
        <w:rPr>
          <w:rFonts w:ascii="Times New Roman" w:hAnsi="Times New Roman" w:cs="Times New Roman"/>
          <w:lang w:val="en-US"/>
        </w:rPr>
      </w:pPr>
      <w:r>
        <w:rPr>
          <w:rFonts w:hint="eastAsia" w:ascii="Times New Roman" w:hAnsi="Times New Roman" w:cs="Times New Roman"/>
          <w:vertAlign w:val="superscript"/>
          <w:lang w:val="en-US"/>
        </w:rPr>
        <w:t>*</w:t>
      </w:r>
      <w:r>
        <w:rPr>
          <w:rFonts w:hint="eastAsia" w:ascii="Times New Roman" w:hAnsi="Times New Roman" w:cs="Times New Roman"/>
          <w:lang w:val="en-US"/>
        </w:rPr>
        <w:t>In Experiment 1, all participants completed the forced-choice awareness check, with accuracy rates that did not significantly differ from chance level (50%). In Experiment 2, 20 of the 22 participants completed the first awareness check prior to the main experiment, and 17 completed the second check after the main experiment. The accuracy rates from both tests were also not significantly different from chance.</w:t>
      </w:r>
    </w:p>
    <w:p w14:paraId="2E891141">
      <w:pPr>
        <w:spacing w:line="360" w:lineRule="auto"/>
        <w:rPr>
          <w:rFonts w:ascii="Times New Roman" w:hAnsi="Times New Roman" w:cs="Times New Roman"/>
          <w:vertAlign w:val="superscript"/>
          <w:lang w:val="en-US"/>
        </w:rPr>
      </w:pPr>
      <w:r>
        <w:rPr>
          <w:rFonts w:hint="eastAsia" w:ascii="Times New Roman" w:hAnsi="Times New Roman" w:cs="Times New Roman"/>
          <w:lang w:val="en-US"/>
        </w:rPr>
        <w:t>Two participants who did not complete the objective awareness check subjectively reported being unable to perceive the invisible cues. Notably, excluding these participants from the analysis did not result in significant alterations to the behavioral and EEG outcomes reported in the main article (see Fig. S6).</w:t>
      </w:r>
    </w:p>
    <w:p w14:paraId="2E891142">
      <w:pPr>
        <w:pStyle w:val="13"/>
        <w:spacing w:beforeAutospacing="0" w:afterAutospacing="0" w:line="360" w:lineRule="auto"/>
        <w:rPr>
          <w:rFonts w:ascii="Times New Roman" w:hAnsi="Times New Roman"/>
        </w:rPr>
      </w:pPr>
    </w:p>
    <w:p w14:paraId="2E891143">
      <w:pPr>
        <w:spacing w:line="360" w:lineRule="auto"/>
        <w:rPr>
          <w:rFonts w:ascii="Cambria" w:hAnsi="Cambria" w:cs="Calibri"/>
          <w:b/>
          <w:bCs/>
          <w:lang w:val="en-US"/>
        </w:rPr>
      </w:pPr>
    </w:p>
    <w:p w14:paraId="2E891144">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91151">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89115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E89115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4EAAA"/>
    <w:multiLevelType w:val="multilevel"/>
    <w:tmpl w:val="2EC4EAAA"/>
    <w:lvl w:ilvl="0" w:tentative="0">
      <w:start w:val="1"/>
      <w:numFmt w:val="decimal"/>
      <w:pStyle w:val="2"/>
      <w:suff w:val="space"/>
      <w:lvlText w:val="%1"/>
      <w:lvlJc w:val="left"/>
      <w:pPr>
        <w:tabs>
          <w:tab w:val="left" w:pos="420"/>
        </w:tabs>
        <w:ind w:left="0" w:firstLine="0"/>
      </w:pPr>
      <w:rPr>
        <w:rFonts w:hint="default" w:ascii="宋体" w:hAnsi="宋体" w:eastAsia="宋体" w:cs="宋体"/>
      </w:rPr>
    </w:lvl>
    <w:lvl w:ilvl="1" w:tentative="0">
      <w:start w:val="1"/>
      <w:numFmt w:val="decimal"/>
      <w:pStyle w:val="3"/>
      <w:suff w:val="space"/>
      <w:lvlText w:val="%1.%2"/>
      <w:lvlJc w:val="left"/>
      <w:pPr>
        <w:tabs>
          <w:tab w:val="left" w:pos="420"/>
        </w:tabs>
        <w:ind w:left="0" w:firstLine="0"/>
      </w:pPr>
      <w:rPr>
        <w:rFonts w:hint="default" w:ascii="宋体" w:hAnsi="宋体" w:eastAsia="宋体" w:cs="宋体"/>
      </w:rPr>
    </w:lvl>
    <w:lvl w:ilvl="2" w:tentative="0">
      <w:start w:val="1"/>
      <w:numFmt w:val="decimal"/>
      <w:pStyle w:val="4"/>
      <w:suff w:val="space"/>
      <w:lvlText w:val="%1.%2.%3"/>
      <w:lvlJc w:val="left"/>
      <w:pPr>
        <w:tabs>
          <w:tab w:val="left" w:pos="0"/>
        </w:tabs>
        <w:ind w:left="0" w:firstLine="0"/>
      </w:pPr>
      <w:rPr>
        <w:rFonts w:hint="default" w:ascii="宋体" w:hAnsi="宋体" w:eastAsia="宋体" w:cs="宋体"/>
      </w:rPr>
    </w:lvl>
    <w:lvl w:ilvl="3" w:tentative="0">
      <w:start w:val="1"/>
      <w:numFmt w:val="decimal"/>
      <w:pStyle w:val="5"/>
      <w:suff w:val="space"/>
      <w:lvlText w:val="%1.%2.%3.%4"/>
      <w:lvlJc w:val="left"/>
      <w:pPr>
        <w:tabs>
          <w:tab w:val="left" w:pos="0"/>
        </w:tabs>
        <w:ind w:left="0" w:firstLine="0"/>
      </w:pPr>
      <w:rPr>
        <w:rFonts w:hint="default" w:ascii="宋体" w:hAnsi="宋体" w:eastAsia="宋体" w:cs="宋体"/>
      </w:rPr>
    </w:lvl>
    <w:lvl w:ilvl="4" w:tentative="0">
      <w:start w:val="1"/>
      <w:numFmt w:val="decimal"/>
      <w:pStyle w:val="6"/>
      <w:suff w:val="space"/>
      <w:lvlText w:val="%1.%2.%3.%4.%5"/>
      <w:lvlJc w:val="left"/>
      <w:pPr>
        <w:tabs>
          <w:tab w:val="left" w:pos="420"/>
        </w:tabs>
        <w:ind w:left="0" w:firstLine="0"/>
      </w:pPr>
      <w:rPr>
        <w:rFonts w:hint="default" w:ascii="宋体" w:hAnsi="宋体" w:eastAsia="宋体" w:cs="宋体"/>
      </w:rPr>
    </w:lvl>
    <w:lvl w:ilvl="5" w:tentative="0">
      <w:start w:val="1"/>
      <w:numFmt w:val="decimal"/>
      <w:pStyle w:val="7"/>
      <w:suff w:val="space"/>
      <w:lvlText w:val="%1.%2.%3.%4.%5.%6"/>
      <w:lvlJc w:val="left"/>
      <w:pPr>
        <w:tabs>
          <w:tab w:val="left" w:pos="420"/>
        </w:tabs>
        <w:ind w:left="0" w:firstLine="0"/>
      </w:pPr>
      <w:rPr>
        <w:rFonts w:hint="default" w:ascii="宋体" w:hAnsi="宋体" w:eastAsia="宋体" w:cs="宋体"/>
      </w:rPr>
    </w:lvl>
    <w:lvl w:ilvl="6" w:tentative="0">
      <w:start w:val="1"/>
      <w:numFmt w:val="decimal"/>
      <w:pStyle w:val="8"/>
      <w:suff w:val="space"/>
      <w:lvlText w:val="%1.%2.%3.%4.%5.%6.%7"/>
      <w:lvlJc w:val="left"/>
      <w:pPr>
        <w:tabs>
          <w:tab w:val="left" w:pos="420"/>
        </w:tabs>
        <w:ind w:left="0" w:firstLine="0"/>
      </w:pPr>
      <w:rPr>
        <w:rFonts w:hint="default" w:ascii="宋体" w:hAnsi="宋体" w:eastAsia="宋体" w:cs="宋体"/>
      </w:rPr>
    </w:lvl>
    <w:lvl w:ilvl="7" w:tentative="0">
      <w:start w:val="1"/>
      <w:numFmt w:val="decimal"/>
      <w:pStyle w:val="9"/>
      <w:suff w:val="space"/>
      <w:lvlText w:val="%1.%2.%3.%4.%5.%6.%7.%8"/>
      <w:lvlJc w:val="left"/>
      <w:pPr>
        <w:tabs>
          <w:tab w:val="left" w:pos="420"/>
        </w:tabs>
        <w:ind w:left="0" w:firstLine="0"/>
      </w:pPr>
      <w:rPr>
        <w:rFonts w:hint="default" w:ascii="宋体" w:hAnsi="宋体" w:eastAsia="宋体" w:cs="宋体"/>
      </w:rPr>
    </w:lvl>
    <w:lvl w:ilvl="8" w:tentative="0">
      <w:start w:val="1"/>
      <w:numFmt w:val="decimal"/>
      <w:pStyle w:val="10"/>
      <w:suff w:val="space"/>
      <w:lvlText w:val="%1.%2.%3.%4.%5.%6.%7.%8.%9"/>
      <w:lvlJc w:val="left"/>
      <w:pPr>
        <w:tabs>
          <w:tab w:val="left" w:pos="420"/>
        </w:tabs>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MzMxZGE5NmIxYjViMjVhMTQ2NjAwMTBkZjMxZjQifQ=="/>
  </w:docVars>
  <w:rsids>
    <w:rsidRoot w:val="7FBA4C04"/>
    <w:rsid w:val="00166828"/>
    <w:rsid w:val="001A5ED2"/>
    <w:rsid w:val="00477488"/>
    <w:rsid w:val="007E74CF"/>
    <w:rsid w:val="00BC6F3D"/>
    <w:rsid w:val="00F64215"/>
    <w:rsid w:val="01B6221C"/>
    <w:rsid w:val="0B440899"/>
    <w:rsid w:val="0FC457C3"/>
    <w:rsid w:val="131471F4"/>
    <w:rsid w:val="15EE09F8"/>
    <w:rsid w:val="2BDE22FD"/>
    <w:rsid w:val="2BF93A31"/>
    <w:rsid w:val="2C5D5807"/>
    <w:rsid w:val="2F041F69"/>
    <w:rsid w:val="2FCE42D5"/>
    <w:rsid w:val="33D26ADA"/>
    <w:rsid w:val="36407D2B"/>
    <w:rsid w:val="37B162A1"/>
    <w:rsid w:val="3A7844F4"/>
    <w:rsid w:val="469D3E5B"/>
    <w:rsid w:val="4BE87E41"/>
    <w:rsid w:val="4CCC06DD"/>
    <w:rsid w:val="4E787E62"/>
    <w:rsid w:val="501C06B9"/>
    <w:rsid w:val="50847B58"/>
    <w:rsid w:val="50A81B3E"/>
    <w:rsid w:val="56CD6F61"/>
    <w:rsid w:val="576D42A0"/>
    <w:rsid w:val="615C0620"/>
    <w:rsid w:val="654A1EE4"/>
    <w:rsid w:val="6656415A"/>
    <w:rsid w:val="687A309F"/>
    <w:rsid w:val="696637F1"/>
    <w:rsid w:val="6B0B12D1"/>
    <w:rsid w:val="6BE005E2"/>
    <w:rsid w:val="6C4A147F"/>
    <w:rsid w:val="6CCF2613"/>
    <w:rsid w:val="71D14B30"/>
    <w:rsid w:val="73E234D7"/>
    <w:rsid w:val="7DE4340E"/>
    <w:rsid w:val="7DF64C65"/>
    <w:rsid w:val="7FBA4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zh-CN" w:eastAsia="zh-CN" w:bidi="ar-SA"/>
    </w:rPr>
  </w:style>
  <w:style w:type="paragraph" w:styleId="2">
    <w:name w:val="heading 1"/>
    <w:basedOn w:val="1"/>
    <w:next w:val="1"/>
    <w:link w:val="17"/>
    <w:qFormat/>
    <w:uiPriority w:val="0"/>
    <w:pPr>
      <w:keepNext/>
      <w:keepLines/>
      <w:numPr>
        <w:ilvl w:val="0"/>
        <w:numId w:val="1"/>
      </w:numPr>
      <w:tabs>
        <w:tab w:val="left" w:pos="0"/>
      </w:tabs>
      <w:outlineLvl w:val="0"/>
    </w:pPr>
    <w:rPr>
      <w:rFonts w:ascii="Times New Roman" w:hAnsi="Times New Roman" w:eastAsia="黑体"/>
      <w:bCs/>
      <w:kern w:val="44"/>
      <w:sz w:val="28"/>
      <w:szCs w:val="44"/>
    </w:rPr>
  </w:style>
  <w:style w:type="paragraph" w:styleId="3">
    <w:name w:val="heading 2"/>
    <w:basedOn w:val="1"/>
    <w:next w:val="1"/>
    <w:link w:val="18"/>
    <w:semiHidden/>
    <w:unhideWhenUsed/>
    <w:qFormat/>
    <w:uiPriority w:val="0"/>
    <w:pPr>
      <w:keepNext/>
      <w:keepLines/>
      <w:numPr>
        <w:ilvl w:val="1"/>
        <w:numId w:val="1"/>
      </w:numPr>
      <w:outlineLvl w:val="1"/>
    </w:pPr>
    <w:rPr>
      <w:rFonts w:ascii="Arial" w:hAnsi="Arial" w:eastAsia="黑体"/>
      <w:sz w:val="28"/>
      <w:szCs w:val="20"/>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0"/>
    <w:pPr>
      <w:spacing w:beforeAutospacing="1" w:afterAutospacing="1"/>
    </w:pPr>
    <w:rPr>
      <w:rFonts w:cs="Times New Roman"/>
      <w:lang w:val="en-US"/>
    </w:rPr>
  </w:style>
  <w:style w:type="character" w:styleId="16">
    <w:name w:val="Strong"/>
    <w:basedOn w:val="15"/>
    <w:qFormat/>
    <w:uiPriority w:val="0"/>
    <w:rPr>
      <w:b/>
    </w:rPr>
  </w:style>
  <w:style w:type="character" w:customStyle="1" w:styleId="17">
    <w:name w:val="Heading 1 Char"/>
    <w:link w:val="2"/>
    <w:qFormat/>
    <w:uiPriority w:val="0"/>
    <w:rPr>
      <w:rFonts w:ascii="Times New Roman" w:hAnsi="Times New Roman" w:eastAsia="黑体"/>
      <w:bCs/>
      <w:kern w:val="44"/>
      <w:sz w:val="28"/>
      <w:szCs w:val="44"/>
    </w:rPr>
  </w:style>
  <w:style w:type="character" w:customStyle="1" w:styleId="18">
    <w:name w:val="Heading 2 Char"/>
    <w:link w:val="3"/>
    <w:qFormat/>
    <w:uiPriority w:val="0"/>
    <w:rPr>
      <w:rFonts w:ascii="Arial" w:hAnsi="Arial" w:eastAsia="黑体"/>
      <w:kern w:val="2"/>
      <w:sz w:val="28"/>
    </w:rPr>
  </w:style>
  <w:style w:type="paragraph" w:customStyle="1" w:styleId="19">
    <w:name w:val="Revision"/>
    <w:hidden/>
    <w:unhideWhenUsed/>
    <w:qFormat/>
    <w:uiPriority w:val="99"/>
    <w:rPr>
      <w:rFonts w:asciiTheme="minorHAnsi" w:hAnsiTheme="minorHAnsi" w:eastAsiaTheme="minorEastAsia" w:cstheme="minorBidi"/>
      <w:sz w:val="24"/>
      <w:szCs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1470</Words>
  <Characters>8386</Characters>
  <Lines>70</Lines>
  <Paragraphs>19</Paragraphs>
  <TotalTime>83</TotalTime>
  <ScaleCrop>false</ScaleCrop>
  <LinksUpToDate>false</LinksUpToDate>
  <CharactersWithSpaces>9802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2024-09-09T08:50:00Z</dcterms:created>
  <dc:creator>芳</dc:creator>
  <cp:lastModifiedBy>芳</cp:lastModifiedBy>
  <dcterms:modified xsi:type="dcterms:W3CDTF">2024-11-06T09:38:26Z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08E8481A31E34625A2F76D008F2BBE8E_13</vt:lpwstr>
  </property>
</Properties>
</file>