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14" w:type="dxa"/>
        <w:tblInd w:w="-318" w:type="dxa"/>
        <w:tblBorders>
          <w:top w:val="single" w:sz="48" w:space="0" w:color="D5DCE4" w:themeColor="text2" w:themeTint="33"/>
          <w:left w:val="single" w:sz="48" w:space="0" w:color="D5DCE4" w:themeColor="text2" w:themeTint="33"/>
          <w:bottom w:val="single" w:sz="48" w:space="0" w:color="D5DCE4" w:themeColor="text2" w:themeTint="33"/>
          <w:right w:val="single" w:sz="48" w:space="0" w:color="D5DCE4" w:themeColor="text2" w:themeTint="33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850"/>
        <w:gridCol w:w="4368"/>
        <w:gridCol w:w="1418"/>
      </w:tblGrid>
      <w:tr w:rsidR="009E2991" w:rsidRPr="005E0CA0" w:rsidTr="009E2991">
        <w:trPr>
          <w:cantSplit/>
          <w:trHeight w:val="300"/>
          <w:tblHeader/>
        </w:trPr>
        <w:tc>
          <w:tcPr>
            <w:tcW w:w="2978" w:type="dxa"/>
            <w:shd w:val="clear" w:color="auto" w:fill="D5DCE4" w:themeFill="text2" w:themeFillTint="33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color w:val="000000"/>
                <w:lang w:val="en-US" w:eastAsia="en-GB"/>
              </w:rPr>
              <w:t>Section/Item</w:t>
            </w:r>
          </w:p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 w:eastAsia="en-GB"/>
              </w:rPr>
            </w:pPr>
          </w:p>
        </w:tc>
        <w:tc>
          <w:tcPr>
            <w:tcW w:w="850" w:type="dxa"/>
            <w:shd w:val="clear" w:color="auto" w:fill="D5DCE4" w:themeFill="text2" w:themeFillTint="33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color w:val="000000"/>
                <w:lang w:val="en-US" w:eastAsia="en-GB"/>
              </w:rPr>
              <w:t>Index</w:t>
            </w:r>
          </w:p>
        </w:tc>
        <w:tc>
          <w:tcPr>
            <w:tcW w:w="4368" w:type="dxa"/>
            <w:shd w:val="clear" w:color="auto" w:fill="D5DCE4" w:themeFill="text2" w:themeFillTint="33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color w:val="000000"/>
                <w:lang w:val="en-US" w:eastAsia="en-GB"/>
              </w:rPr>
              <w:t>Description</w:t>
            </w:r>
          </w:p>
        </w:tc>
        <w:tc>
          <w:tcPr>
            <w:tcW w:w="1418" w:type="dxa"/>
            <w:shd w:val="clear" w:color="auto" w:fill="D5DCE4" w:themeFill="text2" w:themeFillTint="33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b/>
                <w:color w:val="000000"/>
                <w:lang w:val="en-US" w:eastAsia="en-GB"/>
              </w:rPr>
              <w:t>Page</w:t>
            </w:r>
          </w:p>
        </w:tc>
      </w:tr>
      <w:tr w:rsidR="009E2991" w:rsidRPr="005E0CA0" w:rsidTr="009E2991">
        <w:trPr>
          <w:cantSplit/>
          <w:trHeight w:val="360"/>
        </w:trPr>
        <w:tc>
          <w:tcPr>
            <w:tcW w:w="3828" w:type="dxa"/>
            <w:gridSpan w:val="2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>Section 1: Administrative Information</w:t>
            </w:r>
          </w:p>
        </w:tc>
        <w:tc>
          <w:tcPr>
            <w:tcW w:w="4368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> </w:t>
            </w:r>
          </w:p>
        </w:tc>
        <w:tc>
          <w:tcPr>
            <w:tcW w:w="1418" w:type="dxa"/>
            <w:shd w:val="clear" w:color="000000" w:fill="C5D9F1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Title and Trial registration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1a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ascii="Calibri" w:eastAsia="Times New Roman" w:hAnsi="Calibri" w:cs="Times New Roman"/>
                <w:lang w:val="en-US" w:eastAsia="en-GB"/>
              </w:rPr>
              <w:t xml:space="preserve">Descriptive title that matches the protocol, with </w:t>
            </w:r>
            <w:r w:rsidRPr="005E0CA0">
              <w:rPr>
                <w:lang w:val="en-US"/>
              </w:rPr>
              <w:t>‘Statistical analysis plan’ either as a fore runner or sub title</w:t>
            </w:r>
            <w:r w:rsidRPr="005E0CA0">
              <w:rPr>
                <w:rFonts w:ascii="Calibri" w:eastAsia="Times New Roman" w:hAnsi="Calibri" w:cs="Times New Roman"/>
                <w:lang w:val="en-US" w:eastAsia="en-GB"/>
              </w:rPr>
              <w:t>, and trial acronym (</w:t>
            </w: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 if applicable)</w:t>
            </w:r>
          </w:p>
        </w:tc>
        <w:tc>
          <w:tcPr>
            <w:tcW w:w="1418" w:type="dxa"/>
          </w:tcPr>
          <w:p w:rsidR="009E2991" w:rsidRPr="005E0CA0" w:rsidRDefault="00944C40" w:rsidP="007F30C3">
            <w:pPr>
              <w:spacing w:after="0" w:line="240" w:lineRule="auto"/>
              <w:rPr>
                <w:rFonts w:ascii="Calibri" w:eastAsia="Times New Roman" w:hAnsi="Calibri" w:cs="Times New Roman"/>
                <w:lang w:val="en-US" w:eastAsia="en-GB"/>
              </w:rPr>
            </w:pPr>
            <w:r>
              <w:rPr>
                <w:rFonts w:ascii="Calibri" w:eastAsia="Times New Roman" w:hAnsi="Calibri" w:cs="Times New Roman"/>
                <w:lang w:val="en-US" w:eastAsia="en-GB"/>
              </w:rPr>
              <w:t>1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1b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Trial registration number</w:t>
            </w:r>
          </w:p>
        </w:tc>
        <w:tc>
          <w:tcPr>
            <w:tcW w:w="1418" w:type="dxa"/>
          </w:tcPr>
          <w:p w:rsidR="009E2991" w:rsidRPr="005E0CA0" w:rsidRDefault="00944C40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3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SAP Version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SAP version number with dates</w:t>
            </w:r>
          </w:p>
        </w:tc>
        <w:tc>
          <w:tcPr>
            <w:tcW w:w="1418" w:type="dxa"/>
          </w:tcPr>
          <w:p w:rsidR="009E2991" w:rsidRPr="005E0CA0" w:rsidRDefault="00944C40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21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Protocol Version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3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Reference to version of Protocol being used</w:t>
            </w:r>
          </w:p>
        </w:tc>
        <w:tc>
          <w:tcPr>
            <w:tcW w:w="1418" w:type="dxa"/>
          </w:tcPr>
          <w:p w:rsidR="009E2991" w:rsidRPr="005E0CA0" w:rsidRDefault="00944C40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21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SAP Revisions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4a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SAP revision history</w:t>
            </w:r>
          </w:p>
        </w:tc>
        <w:tc>
          <w:tcPr>
            <w:tcW w:w="1418" w:type="dxa"/>
          </w:tcPr>
          <w:p w:rsidR="009E2991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 xml:space="preserve">See attached file </w:t>
            </w:r>
            <w:r w:rsidRPr="00C80C0B">
              <w:rPr>
                <w:rFonts w:eastAsia="Times New Roman" w:cs="Times New Roman"/>
                <w:color w:val="000000"/>
                <w:sz w:val="20"/>
                <w:lang w:val="en-US" w:eastAsia="en-GB"/>
              </w:rPr>
              <w:t>SAP V1.6_2018-09-18_signed.pdf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4b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Justification for each SAP revision</w:t>
            </w:r>
          </w:p>
        </w:tc>
        <w:tc>
          <w:tcPr>
            <w:tcW w:w="1418" w:type="dxa"/>
          </w:tcPr>
          <w:p w:rsidR="009E2991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 xml:space="preserve">See attached file </w:t>
            </w:r>
            <w:r w:rsidRPr="00C80C0B">
              <w:rPr>
                <w:rFonts w:eastAsia="Times New Roman" w:cs="Times New Roman"/>
                <w:color w:val="000000"/>
                <w:sz w:val="20"/>
                <w:lang w:val="en-US" w:eastAsia="en-GB"/>
              </w:rPr>
              <w:t>SAP V1.6_2018-09-18_signed.pdf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4c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Timing of SAP revisions in relation to interim analyses etc.</w:t>
            </w:r>
          </w:p>
        </w:tc>
        <w:tc>
          <w:tcPr>
            <w:tcW w:w="1418" w:type="dxa"/>
          </w:tcPr>
          <w:p w:rsidR="009E2991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 xml:space="preserve">See attached file </w:t>
            </w:r>
            <w:r w:rsidRPr="00C80C0B">
              <w:rPr>
                <w:rFonts w:eastAsia="Times New Roman" w:cs="Times New Roman"/>
                <w:color w:val="000000"/>
                <w:sz w:val="20"/>
                <w:lang w:val="en-US" w:eastAsia="en-GB"/>
              </w:rPr>
              <w:t>SAP V1.6_2018-09-18_signed.pdf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Roles and Responsibility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5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Names, affiliations, and roles of SAP contributors</w:t>
            </w:r>
          </w:p>
        </w:tc>
        <w:tc>
          <w:tcPr>
            <w:tcW w:w="1418" w:type="dxa"/>
          </w:tcPr>
          <w:p w:rsidR="009E2991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1, 22-23</w:t>
            </w:r>
          </w:p>
        </w:tc>
      </w:tr>
      <w:tr w:rsidR="00C80C0B" w:rsidRPr="005E0CA0" w:rsidTr="009E2991">
        <w:trPr>
          <w:cantSplit/>
          <w:trHeight w:val="275"/>
        </w:trPr>
        <w:tc>
          <w:tcPr>
            <w:tcW w:w="2978" w:type="dxa"/>
            <w:shd w:val="clear" w:color="auto" w:fill="auto"/>
            <w:hideMark/>
          </w:tcPr>
          <w:p w:rsidR="00C80C0B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  <w:r w:rsidRPr="005E0CA0">
              <w:rPr>
                <w:rFonts w:eastAsia="Times New Roman" w:cs="Times New Roman"/>
                <w:bCs/>
                <w:color w:val="000000"/>
                <w:lang w:val="en-US" w:eastAsia="en-GB"/>
              </w:rPr>
              <w:t>Signatures of</w:t>
            </w: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: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50" w:type="dxa"/>
            <w:shd w:val="clear" w:color="auto" w:fill="auto"/>
            <w:hideMark/>
          </w:tcPr>
          <w:p w:rsidR="00C80C0B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6a</w:t>
            </w:r>
          </w:p>
        </w:tc>
        <w:tc>
          <w:tcPr>
            <w:tcW w:w="4368" w:type="dxa"/>
            <w:shd w:val="clear" w:color="auto" w:fill="auto"/>
            <w:hideMark/>
          </w:tcPr>
          <w:p w:rsidR="00C80C0B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- Person writing the SAP</w:t>
            </w:r>
          </w:p>
        </w:tc>
        <w:tc>
          <w:tcPr>
            <w:tcW w:w="1418" w:type="dxa"/>
            <w:vMerge w:val="restart"/>
          </w:tcPr>
          <w:p w:rsidR="00C80C0B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 xml:space="preserve">See attached file </w:t>
            </w:r>
            <w:r w:rsidRPr="00C80C0B">
              <w:rPr>
                <w:rFonts w:eastAsia="Times New Roman" w:cs="Times New Roman"/>
                <w:color w:val="000000"/>
                <w:sz w:val="20"/>
                <w:lang w:val="en-US" w:eastAsia="en-GB"/>
              </w:rPr>
              <w:t>SAP V1.6_2018-09-18_signed.pdf</w:t>
            </w:r>
          </w:p>
        </w:tc>
      </w:tr>
      <w:tr w:rsidR="00C80C0B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C80C0B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C80C0B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6b</w:t>
            </w:r>
          </w:p>
        </w:tc>
        <w:tc>
          <w:tcPr>
            <w:tcW w:w="4368" w:type="dxa"/>
            <w:shd w:val="clear" w:color="auto" w:fill="auto"/>
            <w:hideMark/>
          </w:tcPr>
          <w:p w:rsidR="00C80C0B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- Senior statistician responsible </w:t>
            </w:r>
          </w:p>
        </w:tc>
        <w:tc>
          <w:tcPr>
            <w:tcW w:w="1418" w:type="dxa"/>
            <w:vMerge/>
          </w:tcPr>
          <w:p w:rsidR="00C80C0B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</w:p>
        </w:tc>
      </w:tr>
      <w:tr w:rsidR="00C80C0B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C80C0B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C80C0B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6c</w:t>
            </w:r>
          </w:p>
        </w:tc>
        <w:tc>
          <w:tcPr>
            <w:tcW w:w="4368" w:type="dxa"/>
            <w:shd w:val="clear" w:color="auto" w:fill="auto"/>
            <w:hideMark/>
          </w:tcPr>
          <w:p w:rsidR="00C80C0B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- Chief investigator/clinical lead</w:t>
            </w:r>
          </w:p>
        </w:tc>
        <w:tc>
          <w:tcPr>
            <w:tcW w:w="1418" w:type="dxa"/>
            <w:vMerge/>
          </w:tcPr>
          <w:p w:rsidR="00C80C0B" w:rsidRPr="005E0CA0" w:rsidRDefault="00C80C0B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>Section 2: Introduction</w:t>
            </w:r>
          </w:p>
        </w:tc>
        <w:tc>
          <w:tcPr>
            <w:tcW w:w="850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> </w:t>
            </w:r>
          </w:p>
        </w:tc>
        <w:tc>
          <w:tcPr>
            <w:tcW w:w="4368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> </w:t>
            </w:r>
          </w:p>
        </w:tc>
        <w:tc>
          <w:tcPr>
            <w:tcW w:w="1418" w:type="dxa"/>
            <w:shd w:val="clear" w:color="000000" w:fill="C5D9F1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</w:p>
        </w:tc>
      </w:tr>
      <w:tr w:rsidR="009E2991" w:rsidRPr="005E0CA0" w:rsidTr="009E2991">
        <w:trPr>
          <w:cantSplit/>
          <w:trHeight w:val="48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Background and rationale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7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Synopsis of trial background and rationale including a brief description of research question and brief justification for undertaking the trial</w:t>
            </w:r>
          </w:p>
        </w:tc>
        <w:tc>
          <w:tcPr>
            <w:tcW w:w="1418" w:type="dxa"/>
          </w:tcPr>
          <w:p w:rsidR="009E2991" w:rsidRPr="005E0CA0" w:rsidRDefault="00851D66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5-6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Objectives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8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Description of specific objectives or hypotheses </w:t>
            </w:r>
          </w:p>
        </w:tc>
        <w:tc>
          <w:tcPr>
            <w:tcW w:w="1418" w:type="dxa"/>
          </w:tcPr>
          <w:p w:rsidR="009E2991" w:rsidRPr="005E0CA0" w:rsidRDefault="00851D66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6-7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>Section 3: Study Methods</w:t>
            </w:r>
          </w:p>
        </w:tc>
        <w:tc>
          <w:tcPr>
            <w:tcW w:w="850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4368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1418" w:type="dxa"/>
            <w:shd w:val="clear" w:color="000000" w:fill="C5D9F1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</w:p>
        </w:tc>
      </w:tr>
      <w:tr w:rsidR="009E2991" w:rsidRPr="005E0CA0" w:rsidTr="009E2991">
        <w:trPr>
          <w:cantSplit/>
          <w:trHeight w:val="48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Trial design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9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Brief description of trial design including type of trial (e.g. parallel group, multiarm, crossover, factorial) and allocation ratio and may include brief description of interventions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6-7</w:t>
            </w:r>
          </w:p>
        </w:tc>
      </w:tr>
      <w:tr w:rsidR="009E2991" w:rsidRPr="005E0CA0" w:rsidTr="009E2991">
        <w:trPr>
          <w:cantSplit/>
          <w:trHeight w:val="48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Randomization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10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Randomization details e.g. whether any minimization or stratification occurred (including stratifying factors used or the location of that information if it is not held within the SAP)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6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Sample size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11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Full sample size calculation or reference to sample size calculation in protocol (instead of replication in SAP)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6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lastRenderedPageBreak/>
              <w:t> Framework</w:t>
            </w:r>
          </w:p>
        </w:tc>
        <w:tc>
          <w:tcPr>
            <w:tcW w:w="850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12</w:t>
            </w:r>
          </w:p>
        </w:tc>
        <w:tc>
          <w:tcPr>
            <w:tcW w:w="436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Superiority, equivalence or non-inferiority hypothesis testing framework, including which comparisons will be presented on this basis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6</w:t>
            </w:r>
          </w:p>
        </w:tc>
      </w:tr>
      <w:tr w:rsidR="009E2991" w:rsidRPr="005E0CA0" w:rsidTr="009E2991">
        <w:trPr>
          <w:cantSplit/>
          <w:trHeight w:val="588"/>
        </w:trPr>
        <w:tc>
          <w:tcPr>
            <w:tcW w:w="297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Statistical Interim analyses and stopping guidance</w:t>
            </w:r>
          </w:p>
        </w:tc>
        <w:tc>
          <w:tcPr>
            <w:tcW w:w="850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13a</w:t>
            </w:r>
          </w:p>
        </w:tc>
        <w:tc>
          <w:tcPr>
            <w:tcW w:w="436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Information on interim analyses specifying what interim analyses will be carried out and listing of time points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7</w:t>
            </w:r>
          </w:p>
        </w:tc>
      </w:tr>
      <w:tr w:rsidR="009E2991" w:rsidRPr="005E0CA0" w:rsidTr="009E2991">
        <w:trPr>
          <w:cantSplit/>
          <w:trHeight w:val="415"/>
        </w:trPr>
        <w:tc>
          <w:tcPr>
            <w:tcW w:w="297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13b</w:t>
            </w:r>
          </w:p>
        </w:tc>
        <w:tc>
          <w:tcPr>
            <w:tcW w:w="436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Any planned adjustment of the significance level due to interim analysis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7</w:t>
            </w:r>
          </w:p>
        </w:tc>
      </w:tr>
      <w:tr w:rsidR="009E2991" w:rsidRPr="005E0CA0" w:rsidTr="009E2991">
        <w:trPr>
          <w:cantSplit/>
          <w:trHeight w:val="270"/>
        </w:trPr>
        <w:tc>
          <w:tcPr>
            <w:tcW w:w="297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</w:p>
        </w:tc>
        <w:tc>
          <w:tcPr>
            <w:tcW w:w="850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13c</w:t>
            </w:r>
          </w:p>
        </w:tc>
        <w:tc>
          <w:tcPr>
            <w:tcW w:w="436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Details of guidelines for stopping the trial early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7</w:t>
            </w:r>
          </w:p>
        </w:tc>
      </w:tr>
      <w:tr w:rsidR="009E2991" w:rsidRPr="005E0CA0" w:rsidTr="009E2991">
        <w:trPr>
          <w:cantSplit/>
          <w:trHeight w:val="574"/>
        </w:trPr>
        <w:tc>
          <w:tcPr>
            <w:tcW w:w="297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Timing of final analysis</w:t>
            </w:r>
          </w:p>
        </w:tc>
        <w:tc>
          <w:tcPr>
            <w:tcW w:w="850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14</w:t>
            </w:r>
          </w:p>
        </w:tc>
        <w:tc>
          <w:tcPr>
            <w:tcW w:w="436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Timing of final analysis e.g. all outcomes analyzed collectively or timing stratified by planned length of follow-up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16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Timing of outcome assessments</w:t>
            </w:r>
          </w:p>
        </w:tc>
        <w:tc>
          <w:tcPr>
            <w:tcW w:w="850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15</w:t>
            </w:r>
          </w:p>
        </w:tc>
        <w:tc>
          <w:tcPr>
            <w:tcW w:w="436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ascii="Calibri" w:eastAsia="Times New Roman" w:hAnsi="Calibri" w:cs="Times New Roman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Time points at which the outcomes are measured </w:t>
            </w:r>
            <w:r w:rsidRPr="005E0CA0">
              <w:rPr>
                <w:rFonts w:ascii="Calibri" w:eastAsia="Times New Roman" w:hAnsi="Calibri" w:cs="Times New Roman"/>
                <w:lang w:val="en-US" w:eastAsia="en-GB"/>
              </w:rPr>
              <w:t>including visit ‘windows’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8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8196" w:type="dxa"/>
            <w:gridSpan w:val="3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>Section 4: Statistical Principles</w:t>
            </w:r>
          </w:p>
        </w:tc>
        <w:tc>
          <w:tcPr>
            <w:tcW w:w="1418" w:type="dxa"/>
            <w:shd w:val="clear" w:color="000000" w:fill="C5D9F1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Confidence intervals and p-values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16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Level of statistical significance 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18</w:t>
            </w:r>
          </w:p>
        </w:tc>
      </w:tr>
      <w:tr w:rsidR="009E2991" w:rsidRPr="005E0CA0" w:rsidTr="009E2991">
        <w:trPr>
          <w:cantSplit/>
          <w:trHeight w:val="48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17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Description and rationale for any adjustment for multiplicity, and if so, detailing how the type 1 error is to be controlled 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N/A</w:t>
            </w:r>
          </w:p>
        </w:tc>
      </w:tr>
      <w:tr w:rsidR="009E2991" w:rsidRPr="005E0CA0" w:rsidTr="009E2991">
        <w:trPr>
          <w:cantSplit/>
          <w:trHeight w:val="336"/>
        </w:trPr>
        <w:tc>
          <w:tcPr>
            <w:tcW w:w="297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</w:p>
        </w:tc>
        <w:tc>
          <w:tcPr>
            <w:tcW w:w="850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18</w:t>
            </w:r>
          </w:p>
        </w:tc>
        <w:tc>
          <w:tcPr>
            <w:tcW w:w="436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Confidence intervals (CI) to be reported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18</w:t>
            </w:r>
          </w:p>
        </w:tc>
      </w:tr>
      <w:tr w:rsidR="009E2991" w:rsidRPr="005E0CA0" w:rsidTr="009E2991">
        <w:trPr>
          <w:cantSplit/>
          <w:trHeight w:val="568"/>
        </w:trPr>
        <w:tc>
          <w:tcPr>
            <w:tcW w:w="2978" w:type="dxa"/>
            <w:vMerge w:val="restart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Adherence and Protocol Deviations</w:t>
            </w:r>
          </w:p>
        </w:tc>
        <w:tc>
          <w:tcPr>
            <w:tcW w:w="850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19a</w:t>
            </w:r>
          </w:p>
        </w:tc>
        <w:tc>
          <w:tcPr>
            <w:tcW w:w="4368" w:type="dxa"/>
            <w:shd w:val="clear" w:color="auto" w:fill="auto"/>
          </w:tcPr>
          <w:p w:rsidR="009E2991" w:rsidRPr="005E0CA0" w:rsidRDefault="009E2991" w:rsidP="007F30C3">
            <w:pPr>
              <w:tabs>
                <w:tab w:val="left" w:pos="1590"/>
              </w:tabs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ascii="Calibri" w:eastAsia="Times New Roman" w:hAnsi="Calibri" w:cs="Times New Roman"/>
                <w:lang w:val="en-US" w:eastAsia="en-GB"/>
              </w:rPr>
              <w:t>Definition of adherence to the intervention and how this is assessed including extent of exposure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tabs>
                <w:tab w:val="left" w:pos="1590"/>
              </w:tabs>
              <w:spacing w:after="0" w:line="240" w:lineRule="auto"/>
              <w:rPr>
                <w:rFonts w:ascii="Calibri" w:eastAsia="Times New Roman" w:hAnsi="Calibri" w:cs="Times New Roman"/>
                <w:lang w:val="en-US" w:eastAsia="en-GB"/>
              </w:rPr>
            </w:pPr>
            <w:r>
              <w:rPr>
                <w:rFonts w:ascii="Calibri" w:eastAsia="Times New Roman" w:hAnsi="Calibri" w:cs="Times New Roman"/>
                <w:lang w:val="en-US" w:eastAsia="en-GB"/>
              </w:rPr>
              <w:t>15</w:t>
            </w:r>
          </w:p>
        </w:tc>
      </w:tr>
      <w:tr w:rsidR="009E2991" w:rsidRPr="005E0CA0" w:rsidTr="009E2991">
        <w:trPr>
          <w:cantSplit/>
          <w:trHeight w:val="277"/>
        </w:trPr>
        <w:tc>
          <w:tcPr>
            <w:tcW w:w="2978" w:type="dxa"/>
            <w:vMerge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19b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Description of how adherence to the intervention will be presented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15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19c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Definition of protocol deviations for the trial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15</w:t>
            </w:r>
          </w:p>
        </w:tc>
      </w:tr>
      <w:tr w:rsidR="009E2991" w:rsidRPr="005E0CA0" w:rsidTr="009E2991">
        <w:trPr>
          <w:cantSplit/>
          <w:trHeight w:val="257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19d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Description of which protocol deviations will be summarized 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15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Analysis populations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20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Definition of analysis populations e.g. Intention to treat, Per protocol, complete case, safety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8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>Section 5:Trial Population</w:t>
            </w:r>
          </w:p>
        </w:tc>
        <w:tc>
          <w:tcPr>
            <w:tcW w:w="850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> </w:t>
            </w:r>
          </w:p>
        </w:tc>
        <w:tc>
          <w:tcPr>
            <w:tcW w:w="4368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> </w:t>
            </w:r>
          </w:p>
        </w:tc>
        <w:tc>
          <w:tcPr>
            <w:tcW w:w="1418" w:type="dxa"/>
            <w:shd w:val="clear" w:color="000000" w:fill="C5D9F1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Screening data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21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Reporting of screening data (if collected) to describe representativeness of trial sample 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7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Eligibility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22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Summary of eligibility criteria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8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Recruitment</w:t>
            </w:r>
          </w:p>
        </w:tc>
        <w:tc>
          <w:tcPr>
            <w:tcW w:w="850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23</w:t>
            </w:r>
          </w:p>
        </w:tc>
        <w:tc>
          <w:tcPr>
            <w:tcW w:w="436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Information to be included in the CONSORT flow diagram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7-8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Withdrawal/Follow up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24a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Level of withdrawal e.g. from intervention and/or from follow-up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8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24b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Timing of withdrawal/lost to follow up data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16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</w:p>
        </w:tc>
        <w:tc>
          <w:tcPr>
            <w:tcW w:w="850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24c</w:t>
            </w:r>
          </w:p>
        </w:tc>
        <w:tc>
          <w:tcPr>
            <w:tcW w:w="436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Reasons and details of how withdrawal/lost to follow up data will be presented</w:t>
            </w:r>
          </w:p>
        </w:tc>
        <w:tc>
          <w:tcPr>
            <w:tcW w:w="1418" w:type="dxa"/>
          </w:tcPr>
          <w:p w:rsidR="009E2991" w:rsidRPr="005E0CA0" w:rsidRDefault="003738FE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8</w:t>
            </w:r>
          </w:p>
        </w:tc>
      </w:tr>
      <w:tr w:rsidR="009E2991" w:rsidRPr="005E0CA0" w:rsidTr="009E2991">
        <w:trPr>
          <w:cantSplit/>
          <w:trHeight w:val="433"/>
        </w:trPr>
        <w:tc>
          <w:tcPr>
            <w:tcW w:w="2978" w:type="dxa"/>
            <w:vMerge w:val="restart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Baseline patient characteristics</w:t>
            </w:r>
          </w:p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25a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List of baseline characteristics to be summarized </w:t>
            </w:r>
          </w:p>
        </w:tc>
        <w:tc>
          <w:tcPr>
            <w:tcW w:w="1418" w:type="dxa"/>
          </w:tcPr>
          <w:p w:rsidR="009E2991" w:rsidRPr="005E0CA0" w:rsidRDefault="00E960A8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9-11</w:t>
            </w:r>
          </w:p>
        </w:tc>
      </w:tr>
      <w:tr w:rsidR="009E2991" w:rsidRPr="005E0CA0" w:rsidTr="009E2991">
        <w:trPr>
          <w:cantSplit/>
          <w:trHeight w:val="720"/>
        </w:trPr>
        <w:tc>
          <w:tcPr>
            <w:tcW w:w="2978" w:type="dxa"/>
            <w:vMerge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25b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Details of how baseline characteristics will be descriptively summarized </w:t>
            </w:r>
          </w:p>
        </w:tc>
        <w:tc>
          <w:tcPr>
            <w:tcW w:w="1418" w:type="dxa"/>
          </w:tcPr>
          <w:p w:rsidR="009E2991" w:rsidRPr="005E0CA0" w:rsidRDefault="00E960A8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16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 xml:space="preserve"> Section 6: Analysis</w:t>
            </w:r>
          </w:p>
        </w:tc>
        <w:tc>
          <w:tcPr>
            <w:tcW w:w="850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> </w:t>
            </w:r>
          </w:p>
        </w:tc>
        <w:tc>
          <w:tcPr>
            <w:tcW w:w="4368" w:type="dxa"/>
            <w:shd w:val="clear" w:color="000000" w:fill="C5D9F1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  <w:t> </w:t>
            </w:r>
          </w:p>
        </w:tc>
        <w:tc>
          <w:tcPr>
            <w:tcW w:w="1418" w:type="dxa"/>
            <w:shd w:val="clear" w:color="000000" w:fill="C5D9F1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en-US" w:eastAsia="en-GB"/>
              </w:rPr>
            </w:pP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Outcome definitions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0C139F" w:rsidRDefault="009E2991" w:rsidP="007F30C3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val="en-US" w:eastAsia="en-GB"/>
              </w:rPr>
            </w:pPr>
            <w:r w:rsidRPr="000C139F">
              <w:rPr>
                <w:rFonts w:eastAsia="Times New Roman" w:cs="Times New Roman"/>
                <w:bCs/>
                <w:color w:val="000000"/>
                <w:lang w:val="en-US" w:eastAsia="en-GB"/>
              </w:rPr>
              <w:t>List and describe each primary and secondary outcome including details of:</w:t>
            </w:r>
            <w:r w:rsidRPr="000C139F">
              <w:rPr>
                <w:rFonts w:eastAsia="Times New Roman" w:cs="Times New Roman"/>
                <w:color w:val="000000"/>
                <w:lang w:val="en-US" w:eastAsia="en-GB"/>
              </w:rPr>
              <w:t xml:space="preserve">                       </w:t>
            </w:r>
          </w:p>
        </w:tc>
        <w:tc>
          <w:tcPr>
            <w:tcW w:w="1418" w:type="dxa"/>
          </w:tcPr>
          <w:p w:rsidR="009E2991" w:rsidRPr="000C139F" w:rsidRDefault="000C139F" w:rsidP="007F30C3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val="en-US" w:eastAsia="en-GB"/>
              </w:rPr>
            </w:pPr>
            <w:r w:rsidRPr="000C139F">
              <w:rPr>
                <w:rFonts w:eastAsia="Times New Roman" w:cs="Times New Roman"/>
                <w:bCs/>
                <w:color w:val="000000"/>
                <w:lang w:val="en-US" w:eastAsia="en-GB"/>
              </w:rPr>
              <w:t>11-14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26a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-  specification of outcomes and timings. If applicable include </w:t>
            </w:r>
            <w:r w:rsidRPr="005E0CA0">
              <w:rPr>
                <w:lang w:val="en-US"/>
              </w:rPr>
              <w:t>the order of importance of primary or key secondary endpoints (e.g. order in which they will be tested)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14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26b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-  specific measurement and units (e.g. glucose control hbA1c (mmol/mol or %))       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N/A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26c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 - any calculation or transformation used to derive the outcome (e.g. change from baseline, QoL score, time to event, logarithm etc) 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N/A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Analysis methods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27a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-  what analysis method will be used, and how the treatment effects will be presented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16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27b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-  any adjustment for covariates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16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27c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-  methods used for assumptions to be checked for statistical methods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18-19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27d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ind w:firstLineChars="100" w:firstLine="220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-   details of alternative methods to be used if distributional assumptions do not hold e.g. normality, proportional hazards etc</w:t>
            </w:r>
          </w:p>
        </w:tc>
        <w:tc>
          <w:tcPr>
            <w:tcW w:w="1418" w:type="dxa"/>
          </w:tcPr>
          <w:p w:rsidR="009E2991" w:rsidRPr="005E0CA0" w:rsidRDefault="000C139F" w:rsidP="000C139F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18-19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27e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-  any planned sensitivity analyses for each outcome where applicable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16-17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27f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-  any planned subgroup analyses for each outcome including how subgroups are defined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17-18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Missing data</w:t>
            </w:r>
          </w:p>
        </w:tc>
        <w:tc>
          <w:tcPr>
            <w:tcW w:w="850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28</w:t>
            </w:r>
          </w:p>
        </w:tc>
        <w:tc>
          <w:tcPr>
            <w:tcW w:w="4368" w:type="dxa"/>
            <w:shd w:val="clear" w:color="auto" w:fill="auto"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Reporting and assumptions/statistical methods to handle missing data (e.g. multiple imputation)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18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Additional analyses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29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Details of any additional statistical analyses required e.g. Complier-average causal effect (CACE</w:t>
            </w:r>
            <w:r>
              <w:rPr>
                <w:rFonts w:eastAsia="Times New Roman" w:cs="Times New Roman"/>
                <w:color w:val="000000"/>
                <w:lang w:val="en-US" w:eastAsia="en-GB"/>
              </w:rPr>
              <w:fldChar w:fldCharType="begin"/>
            </w:r>
            <w:r>
              <w:rPr>
                <w:rFonts w:eastAsia="Times New Roman" w:cs="Times New Roman"/>
                <w:color w:val="000000"/>
                <w:lang w:val="en-US" w:eastAsia="en-GB"/>
              </w:rPr>
              <w:instrText xml:space="preserve"> ADDIN EN.CITE &lt;EndNote&gt;&lt;Cite&gt;&lt;Author&gt;Dunn&lt;/Author&gt;&lt;Year&gt;2005&lt;/Year&gt;&lt;RecNum&gt;91&lt;/RecNum&gt;&lt;DisplayText&gt;&lt;style face="superscript"&gt;23&lt;/style&gt;&lt;/DisplayText&gt;&lt;record&gt;&lt;rec-number&gt;91&lt;/rec-number&gt;&lt;foreign-keys&gt;&lt;key app="EN" db-id="ze9fa5f2dzzvdyextfz5ws0hadt0dzxw9dt5" timestamp="1507906792"&gt;91&lt;/key&gt;&lt;/foreign-keys&gt;&lt;ref-type name="Journal Article"&gt;17&lt;/ref-type&gt;&lt;contributors&gt;&lt;authors&gt;&lt;author&gt;Dunn, Graham&lt;/author&gt;&lt;author&gt;Maracy, Mohammad&lt;/author&gt;&lt;author&gt;Tomenson, Barbara&lt;/author&gt;&lt;/authors&gt;&lt;/contributors&gt;&lt;titles&gt;&lt;title&gt;Estimating treatment effects from randomized clinical trials with noncompliance and loss to follow-up: the role of instrumental variable methods&lt;/title&gt;&lt;secondary-title&gt;Statistical Methods in Medical Research&lt;/secondary-title&gt;&lt;/titles&gt;&lt;periodical&gt;&lt;full-title&gt;Statistical Methods in Medical Research&lt;/full-title&gt;&lt;/periodical&gt;&lt;pages&gt;369-395&lt;/pages&gt;&lt;volume&gt;14&lt;/volume&gt;&lt;number&gt;4&lt;/number&gt;&lt;dates&gt;&lt;year&gt;2005&lt;/year&gt;&lt;/dates&gt;&lt;isbn&gt;0962-2802&lt;/isbn&gt;&lt;urls&gt;&lt;/urls&gt;&lt;/record&gt;&lt;/Cite&gt;&lt;/EndNote&gt;</w:instrText>
            </w:r>
            <w:r>
              <w:rPr>
                <w:rFonts w:eastAsia="Times New Roman" w:cs="Times New Roman"/>
                <w:color w:val="000000"/>
                <w:lang w:val="en-US" w:eastAsia="en-GB"/>
              </w:rPr>
              <w:fldChar w:fldCharType="separate"/>
            </w:r>
            <w:r w:rsidRPr="001664AC">
              <w:rPr>
                <w:rFonts w:eastAsia="Times New Roman" w:cs="Times New Roman"/>
                <w:noProof/>
                <w:color w:val="000000"/>
                <w:vertAlign w:val="superscript"/>
                <w:lang w:val="en-US" w:eastAsia="en-GB"/>
              </w:rPr>
              <w:t>23</w:t>
            </w:r>
            <w:r>
              <w:rPr>
                <w:rFonts w:eastAsia="Times New Roman" w:cs="Times New Roman"/>
                <w:color w:val="000000"/>
                <w:lang w:val="en-US" w:eastAsia="en-GB"/>
              </w:rPr>
              <w:fldChar w:fldCharType="end"/>
            </w: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) analysis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N/A</w:t>
            </w:r>
          </w:p>
        </w:tc>
      </w:tr>
      <w:tr w:rsidR="009E2991" w:rsidRPr="005E0CA0" w:rsidTr="009E2991">
        <w:trPr>
          <w:cantSplit/>
          <w:trHeight w:val="945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Harms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30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 xml:space="preserve">Sufficient detail on summarizing safety data e.g. information on severity, expectedness and causality; details of how adverse events (AE's) are coded or categorized; how AE data will be analyzed, i.e.  grade 3/4 only, incidence case analysis, intervention emergent analysis 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15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Statistical Software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31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Details of statistical packages to be used to carry out analyses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19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References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32a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References to be provided for non-standard statistical methods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N/A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32b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Reference to Data Management Plan</w:t>
            </w:r>
          </w:p>
        </w:tc>
        <w:tc>
          <w:tcPr>
            <w:tcW w:w="1418" w:type="dxa"/>
          </w:tcPr>
          <w:p w:rsidR="009E2991" w:rsidRPr="005E0CA0" w:rsidRDefault="000C139F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20</w:t>
            </w:r>
          </w:p>
        </w:tc>
      </w:tr>
      <w:tr w:rsidR="009E2991" w:rsidRPr="005E0CA0" w:rsidTr="009E2991">
        <w:trPr>
          <w:cantSplit/>
          <w:trHeight w:val="300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32c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Reference to the Trial Master File and Statistical Master File</w:t>
            </w:r>
          </w:p>
        </w:tc>
        <w:tc>
          <w:tcPr>
            <w:tcW w:w="1418" w:type="dxa"/>
          </w:tcPr>
          <w:p w:rsidR="009E2991" w:rsidRPr="005E0CA0" w:rsidRDefault="00D566D6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20</w:t>
            </w:r>
          </w:p>
        </w:tc>
      </w:tr>
      <w:tr w:rsidR="009E2991" w:rsidRPr="005E0CA0" w:rsidTr="009E2991">
        <w:trPr>
          <w:cantSplit/>
          <w:trHeight w:val="315"/>
        </w:trPr>
        <w:tc>
          <w:tcPr>
            <w:tcW w:w="297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32d</w:t>
            </w:r>
          </w:p>
        </w:tc>
        <w:tc>
          <w:tcPr>
            <w:tcW w:w="4368" w:type="dxa"/>
            <w:shd w:val="clear" w:color="auto" w:fill="auto"/>
            <w:hideMark/>
          </w:tcPr>
          <w:p w:rsidR="009E2991" w:rsidRPr="005E0CA0" w:rsidRDefault="009E2991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 w:rsidRPr="005E0CA0">
              <w:rPr>
                <w:rFonts w:eastAsia="Times New Roman" w:cs="Times New Roman"/>
                <w:color w:val="000000"/>
                <w:lang w:val="en-US" w:eastAsia="en-GB"/>
              </w:rPr>
              <w:t>Reference to other standard operating procedures ( SOPs) or documents to be adhered to.</w:t>
            </w:r>
          </w:p>
        </w:tc>
        <w:tc>
          <w:tcPr>
            <w:tcW w:w="1418" w:type="dxa"/>
          </w:tcPr>
          <w:p w:rsidR="009E2991" w:rsidRPr="005E0CA0" w:rsidRDefault="00D566D6" w:rsidP="007F30C3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en-GB"/>
              </w:rPr>
            </w:pPr>
            <w:r>
              <w:rPr>
                <w:rFonts w:eastAsia="Times New Roman" w:cs="Times New Roman"/>
                <w:color w:val="000000"/>
                <w:lang w:val="en-US" w:eastAsia="en-GB"/>
              </w:rPr>
              <w:t>20</w:t>
            </w:r>
            <w:bookmarkStart w:id="0" w:name="_GoBack"/>
            <w:bookmarkEnd w:id="0"/>
          </w:p>
        </w:tc>
      </w:tr>
    </w:tbl>
    <w:p w:rsidR="00351329" w:rsidRDefault="00782E17"/>
    <w:sectPr w:rsidR="00351329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E17" w:rsidRDefault="00782E17" w:rsidP="00944C40">
      <w:pPr>
        <w:spacing w:after="0" w:line="240" w:lineRule="auto"/>
      </w:pPr>
      <w:r>
        <w:separator/>
      </w:r>
    </w:p>
  </w:endnote>
  <w:endnote w:type="continuationSeparator" w:id="0">
    <w:p w:rsidR="00782E17" w:rsidRDefault="00782E17" w:rsidP="00944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C40" w:rsidRDefault="00944C40">
    <w:pPr>
      <w:pStyle w:val="Footer"/>
    </w:pPr>
    <w:r>
      <w:tab/>
    </w:r>
    <w:r>
      <w:tab/>
    </w:r>
    <w:r>
      <w:rPr>
        <w:color w:val="7F7F7F" w:themeColor="background1" w:themeShade="7F"/>
        <w:spacing w:val="60"/>
      </w:rPr>
      <w:t>Page</w:t>
    </w:r>
    <w:r>
      <w:t xml:space="preserve"> | </w:t>
    </w:r>
    <w:r>
      <w:fldChar w:fldCharType="begin"/>
    </w:r>
    <w:r>
      <w:instrText xml:space="preserve"> PAGE   \* MERGEFORMAT </w:instrText>
    </w:r>
    <w:r>
      <w:fldChar w:fldCharType="separate"/>
    </w:r>
    <w:r w:rsidR="00782E17" w:rsidRPr="00782E17">
      <w:rPr>
        <w:b/>
        <w:bCs/>
        <w:noProof/>
      </w:rPr>
      <w:t>1</w:t>
    </w:r>
    <w:r>
      <w:rPr>
        <w:b/>
        <w:bCs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E17" w:rsidRDefault="00782E17" w:rsidP="00944C40">
      <w:pPr>
        <w:spacing w:after="0" w:line="240" w:lineRule="auto"/>
      </w:pPr>
      <w:r>
        <w:separator/>
      </w:r>
    </w:p>
  </w:footnote>
  <w:footnote w:type="continuationSeparator" w:id="0">
    <w:p w:rsidR="00782E17" w:rsidRDefault="00782E17" w:rsidP="00944C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C40" w:rsidRDefault="00944C40">
    <w:pPr>
      <w:pStyle w:val="Header"/>
    </w:pPr>
    <w:r w:rsidRPr="00944C40">
      <w:t xml:space="preserve">Reporting checklist: recommended items to address in a clinical trial Statistical Analysis Plan (Gamble C, Krishan A, Stocken D, et al. Guidelines for the Content of Statistical Analysis Plans in Clinical Trials. </w:t>
    </w:r>
    <w:r w:rsidRPr="00944C40">
      <w:rPr>
        <w:i/>
      </w:rPr>
      <w:t>JAMA</w:t>
    </w:r>
    <w:r w:rsidRPr="00944C40">
      <w:t xml:space="preserve"> 2017;318(23):2337–2343. doi:10.1001/jama.2017.18556)</w:t>
    </w:r>
  </w:p>
  <w:p w:rsidR="00944C40" w:rsidRDefault="00944C4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953"/>
    <w:rsid w:val="000C139F"/>
    <w:rsid w:val="0011635F"/>
    <w:rsid w:val="00192262"/>
    <w:rsid w:val="003738FE"/>
    <w:rsid w:val="00404409"/>
    <w:rsid w:val="00782E17"/>
    <w:rsid w:val="00795953"/>
    <w:rsid w:val="007D3E9C"/>
    <w:rsid w:val="00851D66"/>
    <w:rsid w:val="00944C40"/>
    <w:rsid w:val="009E2991"/>
    <w:rsid w:val="00B440FE"/>
    <w:rsid w:val="00C05617"/>
    <w:rsid w:val="00C80C0B"/>
    <w:rsid w:val="00D566D6"/>
    <w:rsid w:val="00E9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3B1063-9C19-4FE1-8357-FC4230941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595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95953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795953"/>
  </w:style>
  <w:style w:type="paragraph" w:styleId="Header">
    <w:name w:val="header"/>
    <w:basedOn w:val="Normal"/>
    <w:link w:val="HeaderChar"/>
    <w:uiPriority w:val="99"/>
    <w:unhideWhenUsed/>
    <w:rsid w:val="00944C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C40"/>
  </w:style>
  <w:style w:type="paragraph" w:styleId="Footer">
    <w:name w:val="footer"/>
    <w:basedOn w:val="Normal"/>
    <w:link w:val="FooterChar"/>
    <w:uiPriority w:val="99"/>
    <w:unhideWhenUsed/>
    <w:rsid w:val="00944C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4C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1083</Words>
  <Characters>6175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7244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Gamble, Carrol</dc:creator>
  <cp:keywords/>
  <dc:description/>
  <cp:lastModifiedBy>Rustam Al-Shahi Salman</cp:lastModifiedBy>
  <cp:revision>6</cp:revision>
  <dcterms:created xsi:type="dcterms:W3CDTF">2018-11-20T11:21:00Z</dcterms:created>
  <dcterms:modified xsi:type="dcterms:W3CDTF">2018-11-27T15:41:00Z</dcterms:modified>
</cp:coreProperties>
</file>