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965699" w14:textId="77777777" w:rsidR="00C81F76" w:rsidRDefault="00C81F76" w:rsidP="00C81F76">
      <w:pPr>
        <w:rPr>
          <w:rFonts w:ascii="Arial" w:eastAsia="Microsoft YaHei UI" w:hAnsi="Arial" w:cs="Arial"/>
          <w:sz w:val="24"/>
          <w:szCs w:val="24"/>
        </w:rPr>
      </w:pPr>
      <w:r w:rsidRPr="00FC2111">
        <w:rPr>
          <w:rFonts w:ascii="Arial" w:eastAsia="Microsoft YaHei UI" w:hAnsi="Arial" w:cs="Arial" w:hint="eastAsia"/>
          <w:noProof/>
          <w:sz w:val="24"/>
          <w:szCs w:val="24"/>
        </w:rPr>
        <w:drawing>
          <wp:inline distT="0" distB="0" distL="0" distR="0" wp14:anchorId="532D8287" wp14:editId="13F56344">
            <wp:extent cx="5274310" cy="2967990"/>
            <wp:effectExtent l="0" t="0" r="2540" b="3810"/>
            <wp:docPr id="636962611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50426" w14:textId="77777777" w:rsidR="00C81F76" w:rsidRDefault="00C81F76" w:rsidP="00C81F76">
      <w:pPr>
        <w:rPr>
          <w:rFonts w:ascii="Arial" w:eastAsia="Microsoft YaHei UI" w:hAnsi="Arial" w:cs="Arial"/>
          <w:sz w:val="24"/>
          <w:szCs w:val="24"/>
        </w:rPr>
      </w:pPr>
      <w:r w:rsidRPr="00BF4F47">
        <w:rPr>
          <w:rFonts w:ascii="Arial" w:eastAsia="Microsoft YaHei UI" w:hAnsi="Arial" w:cs="Arial"/>
          <w:sz w:val="24"/>
          <w:szCs w:val="24"/>
        </w:rPr>
        <w:t xml:space="preserve">Figure </w:t>
      </w:r>
      <w:r>
        <w:rPr>
          <w:rFonts w:ascii="Arial" w:eastAsia="Microsoft YaHei UI" w:hAnsi="Arial" w:cs="Arial" w:hint="eastAsia"/>
          <w:sz w:val="24"/>
          <w:szCs w:val="24"/>
        </w:rPr>
        <w:t xml:space="preserve">S1 </w:t>
      </w:r>
      <w:r w:rsidRPr="008E30A5">
        <w:rPr>
          <w:rFonts w:ascii="Arial" w:eastAsia="Microsoft YaHei UI" w:hAnsi="Arial" w:cs="Arial" w:hint="eastAsia"/>
          <w:sz w:val="24"/>
          <w:szCs w:val="24"/>
        </w:rPr>
        <w:t>The decision curve analysis of the nomogram in the</w:t>
      </w:r>
      <w:r>
        <w:rPr>
          <w:rFonts w:ascii="Arial" w:eastAsia="Microsoft YaHei UI" w:hAnsi="Arial" w:cs="Arial" w:hint="eastAsia"/>
          <w:sz w:val="24"/>
          <w:szCs w:val="24"/>
        </w:rPr>
        <w:t xml:space="preserve"> two groups.</w:t>
      </w:r>
    </w:p>
    <w:p w14:paraId="10FCF41C" w14:textId="77777777" w:rsidR="00C81F76" w:rsidRPr="00BF4F47" w:rsidRDefault="00C81F76" w:rsidP="00C81F76">
      <w:pPr>
        <w:rPr>
          <w:rFonts w:ascii="Arial" w:eastAsia="Microsoft YaHei UI" w:hAnsi="Arial" w:cs="Arial"/>
          <w:sz w:val="24"/>
          <w:szCs w:val="24"/>
        </w:rPr>
      </w:pPr>
      <w:r>
        <w:rPr>
          <w:rFonts w:ascii="Arial" w:eastAsia="Microsoft YaHei UI" w:hAnsi="Arial" w:cs="Arial" w:hint="eastAsia"/>
          <w:sz w:val="24"/>
          <w:szCs w:val="24"/>
        </w:rPr>
        <w:t>(A)</w:t>
      </w:r>
      <w:r>
        <w:rPr>
          <w:rFonts w:ascii="Arial" w:hAnsi="Arial" w:cs="Arial" w:hint="eastAsia"/>
          <w:sz w:val="24"/>
          <w:szCs w:val="24"/>
        </w:rPr>
        <w:t>I</w:t>
      </w:r>
      <w:r w:rsidRPr="00960DC1">
        <w:rPr>
          <w:rFonts w:ascii="Arial" w:hAnsi="Arial" w:cs="Arial" w:hint="eastAsia"/>
          <w:sz w:val="24"/>
          <w:szCs w:val="24"/>
        </w:rPr>
        <w:t>ntertrochanteric fracture</w:t>
      </w:r>
      <w:r>
        <w:rPr>
          <w:rFonts w:ascii="Arial" w:hAnsi="Arial" w:cs="Arial" w:hint="eastAsia"/>
          <w:sz w:val="24"/>
          <w:szCs w:val="24"/>
        </w:rPr>
        <w:t>;</w:t>
      </w:r>
      <w:r w:rsidRPr="00AA7646">
        <w:rPr>
          <w:rFonts w:ascii="Arial" w:hAnsi="Arial" w:cs="Arial" w:hint="eastAsia"/>
          <w:sz w:val="24"/>
          <w:szCs w:val="24"/>
        </w:rPr>
        <w:t xml:space="preserve"> </w:t>
      </w:r>
      <w:r>
        <w:rPr>
          <w:rFonts w:ascii="Arial" w:eastAsia="Microsoft YaHei UI" w:hAnsi="Arial" w:cs="Arial" w:hint="eastAsia"/>
          <w:sz w:val="24"/>
          <w:szCs w:val="24"/>
        </w:rPr>
        <w:t>(B)</w:t>
      </w:r>
      <w:r>
        <w:rPr>
          <w:rFonts w:ascii="Arial" w:hAnsi="Arial" w:cs="Arial" w:hint="eastAsia"/>
          <w:sz w:val="24"/>
          <w:szCs w:val="24"/>
        </w:rPr>
        <w:t>F</w:t>
      </w:r>
      <w:r w:rsidRPr="00EA4BC4">
        <w:rPr>
          <w:rFonts w:ascii="Arial" w:hAnsi="Arial" w:cs="Arial" w:hint="eastAsia"/>
          <w:sz w:val="24"/>
          <w:szCs w:val="24"/>
        </w:rPr>
        <w:t>emoral neck fracture</w:t>
      </w:r>
    </w:p>
    <w:p w14:paraId="39136A0E" w14:textId="77777777" w:rsidR="00DE6AE2" w:rsidRDefault="00DE6AE2"/>
    <w:p w14:paraId="0C1AD895" w14:textId="77777777" w:rsidR="00C81F76" w:rsidRDefault="00C81F76"/>
    <w:p w14:paraId="267B7793" w14:textId="77777777" w:rsidR="00C81F76" w:rsidRDefault="00C81F76"/>
    <w:sectPr w:rsidR="00C81F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F76"/>
    <w:rsid w:val="006258E2"/>
    <w:rsid w:val="00A3738C"/>
    <w:rsid w:val="00C81F76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A5FAA"/>
  <w15:chartTrackingRefBased/>
  <w15:docId w15:val="{463BA455-1060-4694-B84A-72330D9F8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F76"/>
    <w:pPr>
      <w:widowControl w:val="0"/>
      <w:spacing w:after="0" w:line="240" w:lineRule="auto"/>
      <w:jc w:val="both"/>
    </w:pPr>
    <w:rPr>
      <w:rFonts w:eastAsiaTheme="minorEastAsia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1F76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1F76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1F76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1F76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1F76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1F76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1F76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1F76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1F76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1F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1F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F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F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F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F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F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F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F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1F7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81F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1F76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81F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1F76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81F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1F76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C81F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1F7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1F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1F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Springer Nature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2024-12-17T09:08:00Z</dcterms:created>
  <dcterms:modified xsi:type="dcterms:W3CDTF">2024-12-17T09:08:00Z</dcterms:modified>
</cp:coreProperties>
</file>