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3B37DB" w14:textId="4C454D3D" w:rsidR="0037315C" w:rsidRPr="0037315C" w:rsidRDefault="0037315C" w:rsidP="0037315C">
      <w:pPr>
        <w:tabs>
          <w:tab w:val="num" w:pos="720"/>
        </w:tabs>
        <w:spacing w:before="120" w:after="120"/>
        <w:ind w:left="720" w:hanging="360"/>
        <w:rPr>
          <w:rFonts w:asciiTheme="majorBidi" w:hAnsiTheme="majorBidi" w:cstheme="majorBidi"/>
          <w:b/>
          <w:bCs/>
        </w:rPr>
      </w:pPr>
      <w:r w:rsidRPr="0037315C">
        <w:rPr>
          <w:rFonts w:asciiTheme="majorBidi" w:hAnsiTheme="majorBidi" w:cstheme="majorBidi"/>
          <w:b/>
          <w:bCs/>
        </w:rPr>
        <w:t xml:space="preserve">CARE checklist: </w:t>
      </w:r>
    </w:p>
    <w:p w14:paraId="68638618" w14:textId="77777777" w:rsidR="0037315C" w:rsidRDefault="0037315C" w:rsidP="0037315C">
      <w:pPr>
        <w:tabs>
          <w:tab w:val="num" w:pos="720"/>
        </w:tabs>
        <w:spacing w:before="120" w:after="120"/>
        <w:ind w:left="720" w:hanging="360"/>
      </w:pPr>
    </w:p>
    <w:p w14:paraId="0CA6F1E7" w14:textId="52DAA233" w:rsidR="0037315C" w:rsidRPr="0037315C" w:rsidRDefault="0037315C" w:rsidP="0037315C">
      <w:pPr>
        <w:numPr>
          <w:ilvl w:val="0"/>
          <w:numId w:val="1"/>
        </w:numPr>
        <w:spacing w:before="120" w:after="120"/>
        <w:rPr>
          <w:rFonts w:asciiTheme="majorBidi" w:eastAsia="Times New Roman" w:hAnsiTheme="majorBidi" w:cstheme="majorBidi"/>
          <w:color w:val="000000"/>
          <w:sz w:val="20"/>
          <w:szCs w:val="20"/>
        </w:rPr>
      </w:pPr>
      <w:r w:rsidRPr="0037315C">
        <w:rPr>
          <w:rFonts w:asciiTheme="majorBidi" w:eastAsia="Times New Roman" w:hAnsiTheme="majorBidi" w:cstheme="majorBidi"/>
          <w:b/>
          <w:bCs/>
          <w:color w:val="000000"/>
          <w:sz w:val="20"/>
          <w:szCs w:val="20"/>
        </w:rPr>
        <w:t>Title</w:t>
      </w:r>
      <w:r w:rsidRPr="0037315C">
        <w:rPr>
          <w:rFonts w:asciiTheme="majorBidi" w:eastAsia="Times New Roman" w:hAnsiTheme="majorBidi" w:cstheme="majorBidi"/>
          <w:color w:val="000000"/>
          <w:sz w:val="20"/>
          <w:szCs w:val="20"/>
        </w:rPr>
        <w:t xml:space="preserve"> – </w:t>
      </w:r>
      <w:r w:rsidRPr="0037315C">
        <w:rPr>
          <w:rFonts w:asciiTheme="majorBidi" w:eastAsia="Times New Roman" w:hAnsiTheme="majorBidi" w:cstheme="majorBidi"/>
          <w:color w:val="000000"/>
          <w:sz w:val="20"/>
          <w:szCs w:val="20"/>
        </w:rPr>
        <w:t xml:space="preserve">Sever Vancomycin-Induced IgA Bullous Dermatosis Case Report </w:t>
      </w:r>
    </w:p>
    <w:p w14:paraId="7B9AD3C0" w14:textId="0ED7B1C1" w:rsidR="0037315C" w:rsidRPr="0037315C" w:rsidRDefault="0037315C" w:rsidP="0037315C">
      <w:pPr>
        <w:numPr>
          <w:ilvl w:val="0"/>
          <w:numId w:val="1"/>
        </w:numPr>
        <w:spacing w:before="120" w:after="120"/>
        <w:rPr>
          <w:rFonts w:asciiTheme="majorBidi" w:eastAsia="Times New Roman" w:hAnsiTheme="majorBidi" w:cstheme="majorBidi"/>
          <w:color w:val="000000"/>
          <w:sz w:val="20"/>
          <w:szCs w:val="20"/>
        </w:rPr>
      </w:pPr>
      <w:r w:rsidRPr="0037315C">
        <w:rPr>
          <w:rFonts w:asciiTheme="majorBidi" w:eastAsia="Times New Roman" w:hAnsiTheme="majorBidi" w:cstheme="majorBidi"/>
          <w:b/>
          <w:bCs/>
          <w:color w:val="000000"/>
          <w:sz w:val="20"/>
          <w:szCs w:val="20"/>
        </w:rPr>
        <w:t xml:space="preserve">Key Words </w:t>
      </w:r>
      <w:r w:rsidRPr="0037315C">
        <w:rPr>
          <w:rFonts w:asciiTheme="majorBidi" w:eastAsia="Times New Roman" w:hAnsiTheme="majorBidi" w:cstheme="majorBidi"/>
          <w:color w:val="000000"/>
          <w:sz w:val="20"/>
          <w:szCs w:val="20"/>
        </w:rPr>
        <w:t xml:space="preserve">– </w:t>
      </w:r>
      <w:r w:rsidRPr="4A11BF27">
        <w:rPr>
          <w:rFonts w:ascii="Times New Roman" w:eastAsia="Times New Roman" w:hAnsi="Times New Roman" w:cs="Times New Roman"/>
          <w:color w:val="000000" w:themeColor="text1"/>
          <w:sz w:val="19"/>
          <w:szCs w:val="19"/>
        </w:rPr>
        <w:t>Linear IgA Bullous Dermatosis (LABD),</w:t>
      </w:r>
      <w:r w:rsidRPr="4A11BF27">
        <w:rPr>
          <w:rFonts w:ascii="Times New Roman" w:eastAsia="Times New Roman" w:hAnsi="Times New Roman" w:cs="Times New Roman"/>
          <w:b/>
          <w:bCs/>
          <w:color w:val="000000" w:themeColor="text1"/>
          <w:sz w:val="20"/>
          <w:szCs w:val="20"/>
        </w:rPr>
        <w:t xml:space="preserve"> </w:t>
      </w:r>
      <w:r w:rsidRPr="4A11BF27">
        <w:rPr>
          <w:rFonts w:ascii="Times New Roman" w:eastAsia="Times New Roman" w:hAnsi="Times New Roman" w:cs="Times New Roman"/>
          <w:color w:val="000000" w:themeColor="text1"/>
          <w:sz w:val="20"/>
          <w:szCs w:val="20"/>
        </w:rPr>
        <w:t xml:space="preserve">Drug-induced LAB, </w:t>
      </w:r>
      <w:r w:rsidRPr="4A11BF27">
        <w:rPr>
          <w:rFonts w:ascii="Times New Roman" w:eastAsia="Times New Roman" w:hAnsi="Times New Roman" w:cs="Times New Roman"/>
          <w:color w:val="000000" w:themeColor="text1"/>
          <w:sz w:val="19"/>
          <w:szCs w:val="19"/>
        </w:rPr>
        <w:t>Vancomycin, Vesiculobullous disorder</w:t>
      </w:r>
    </w:p>
    <w:p w14:paraId="1A4431A2" w14:textId="2DCF02C6" w:rsidR="0037315C" w:rsidRDefault="0037315C" w:rsidP="0037315C">
      <w:pPr>
        <w:numPr>
          <w:ilvl w:val="0"/>
          <w:numId w:val="1"/>
        </w:numPr>
        <w:spacing w:before="120" w:after="120"/>
        <w:rPr>
          <w:rFonts w:asciiTheme="majorBidi" w:eastAsia="Times New Roman" w:hAnsiTheme="majorBidi" w:cstheme="majorBidi"/>
          <w:color w:val="000000"/>
          <w:sz w:val="20"/>
          <w:szCs w:val="20"/>
        </w:rPr>
      </w:pPr>
      <w:r w:rsidRPr="0037315C">
        <w:rPr>
          <w:rFonts w:asciiTheme="majorBidi" w:eastAsia="Times New Roman" w:hAnsiTheme="majorBidi" w:cstheme="majorBidi"/>
          <w:b/>
          <w:bCs/>
          <w:color w:val="000000"/>
          <w:sz w:val="20"/>
          <w:szCs w:val="20"/>
        </w:rPr>
        <w:t>Abstract</w:t>
      </w:r>
    </w:p>
    <w:p w14:paraId="13ADB69F" w14:textId="77777777" w:rsidR="0037315C" w:rsidRPr="0037315C" w:rsidRDefault="0037315C" w:rsidP="0037315C">
      <w:pPr>
        <w:pStyle w:val="ListParagraph"/>
        <w:spacing w:after="120"/>
        <w:rPr>
          <w:rFonts w:ascii="Times New Roman" w:eastAsia="Times New Roman" w:hAnsi="Times New Roman" w:cs="Times New Roman"/>
          <w:color w:val="000000" w:themeColor="text1"/>
          <w:sz w:val="20"/>
          <w:szCs w:val="20"/>
        </w:rPr>
      </w:pPr>
      <w:r w:rsidRPr="0037315C">
        <w:rPr>
          <w:rFonts w:ascii="Times New Roman" w:eastAsia="Times New Roman" w:hAnsi="Times New Roman" w:cs="Times New Roman"/>
          <w:color w:val="000000" w:themeColor="text1"/>
          <w:sz w:val="20"/>
          <w:szCs w:val="20"/>
        </w:rPr>
        <w:t xml:space="preserve">Linear IgA Bullous Dermatosis is a rare autoimmune blistering disease with an incidence of about 0.5 to 2.3 cases per million individuals per year. Although multiple reports have documented drug exposure as a precipitating factor, formal studies validating the existence of drug-induced LABD are lacking. A 49-year-old man with history of intravenous drug use presented with left hip pain of three weeks duration after sustaining a fall. On presentation he was hemodynamically stable and physical examination was notable for poor dentition, gingivitis, stigmata of IV drug use with associated cellulitis on right antecubital fossa and proximal left thigh tenderness with stiffness and limited range of movement. Laboratory diagnostics were remarkable for elevated inflammatory markers, with no evidence of leukocytosis. CT scan without contrast of the left lower extremity that demonstrated severe left hip osteoarthritis without fracture or dislocation. Blood Cultures were collected and empirically started on Vancomycin and Piperacillin/Tazobactam for right elbow cellulitis. The patient continued to experience severe pain, prompting incision and drainage of the left hip along with </w:t>
      </w:r>
      <w:proofErr w:type="spellStart"/>
      <w:r w:rsidRPr="0037315C">
        <w:rPr>
          <w:rFonts w:ascii="Times New Roman" w:eastAsia="Times New Roman" w:hAnsi="Times New Roman" w:cs="Times New Roman"/>
          <w:color w:val="000000" w:themeColor="text1"/>
          <w:sz w:val="20"/>
          <w:szCs w:val="20"/>
        </w:rPr>
        <w:t>acetabuloplasty</w:t>
      </w:r>
      <w:proofErr w:type="spellEnd"/>
      <w:r w:rsidRPr="0037315C">
        <w:rPr>
          <w:rFonts w:ascii="Times New Roman" w:eastAsia="Times New Roman" w:hAnsi="Times New Roman" w:cs="Times New Roman"/>
          <w:color w:val="000000" w:themeColor="text1"/>
          <w:sz w:val="20"/>
          <w:szCs w:val="20"/>
        </w:rPr>
        <w:t>, removal of the femoral head, and Stage I hip replacement with placement of prophylactic prosthetic cement spacer with Vancomycin and Tobramycin. Within twenty-four hours of surgery, he developed multiple distinct maculopapular/bullous lesions of his torso and medial thigh that rapidly progressed, involving the oral mucosa, scrotum, glans, hands, and feet with associated periorbital edema. Punch biopsy was performed and due to involvement of ~20% body surface area and transferred to a tertiary center. H&amp;E and immunostaining of the histological sample demonstrated IgA bullous disease. The patient’s bullous lesions improved two weeks after discontinuation of Vancomycin and initiation of therapy. This case demonstrates the importance of early recognition of the rare adverse effects of commonly used medications. Vancomycin is currently used more frequently given the recent rise in the prevalence of methicillin-resistant Staphylococcus aureus infection. Further studies are needed to understand the pathophysiology, genetic predisposition, and disease penetrance.</w:t>
      </w:r>
    </w:p>
    <w:p w14:paraId="79AA41DD" w14:textId="77777777" w:rsidR="0037315C" w:rsidRPr="0037315C" w:rsidRDefault="0037315C" w:rsidP="0037315C">
      <w:pPr>
        <w:spacing w:before="120" w:after="120"/>
        <w:ind w:left="720"/>
        <w:rPr>
          <w:rFonts w:asciiTheme="majorBidi" w:eastAsia="Times New Roman" w:hAnsiTheme="majorBidi" w:cstheme="majorBidi"/>
          <w:color w:val="000000"/>
          <w:sz w:val="20"/>
          <w:szCs w:val="20"/>
        </w:rPr>
      </w:pPr>
    </w:p>
    <w:p w14:paraId="53F859B4" w14:textId="2064E92C" w:rsidR="0037315C" w:rsidRDefault="0037315C" w:rsidP="004B1C6A">
      <w:pPr>
        <w:numPr>
          <w:ilvl w:val="0"/>
          <w:numId w:val="1"/>
        </w:numPr>
        <w:spacing w:before="120" w:after="120"/>
        <w:rPr>
          <w:rFonts w:asciiTheme="majorBidi" w:eastAsia="Times New Roman" w:hAnsiTheme="majorBidi" w:cstheme="majorBidi"/>
          <w:b/>
          <w:bCs/>
          <w:color w:val="000000"/>
          <w:sz w:val="20"/>
          <w:szCs w:val="20"/>
        </w:rPr>
      </w:pPr>
      <w:r w:rsidRPr="0037315C">
        <w:rPr>
          <w:rFonts w:asciiTheme="majorBidi" w:eastAsia="Times New Roman" w:hAnsiTheme="majorBidi" w:cstheme="majorBidi"/>
          <w:b/>
          <w:bCs/>
          <w:color w:val="000000"/>
          <w:sz w:val="20"/>
          <w:szCs w:val="20"/>
        </w:rPr>
        <w:t xml:space="preserve">Introduction </w:t>
      </w:r>
    </w:p>
    <w:p w14:paraId="34C795A9" w14:textId="05224F0E" w:rsidR="0037315C" w:rsidRPr="0037315C" w:rsidRDefault="0037315C" w:rsidP="0037315C">
      <w:pPr>
        <w:pStyle w:val="ListParagraph"/>
        <w:rPr>
          <w:rFonts w:ascii="Times New Roman" w:eastAsia="Times New Roman" w:hAnsi="Times New Roman" w:cs="Times New Roman"/>
          <w:color w:val="000000" w:themeColor="text1"/>
          <w:sz w:val="20"/>
          <w:szCs w:val="20"/>
        </w:rPr>
      </w:pPr>
      <w:r w:rsidRPr="0037315C">
        <w:rPr>
          <w:rFonts w:ascii="Times New Roman" w:eastAsia="Times New Roman" w:hAnsi="Times New Roman" w:cs="Times New Roman"/>
          <w:color w:val="000000" w:themeColor="text1"/>
          <w:sz w:val="20"/>
          <w:szCs w:val="20"/>
        </w:rPr>
        <w:t>Linear IgA Bullous Dermatosis (LABD) is a rare autoimmune blistering disease with an incidence of about 0.5 to 2.3 cases per million individuals per annum [1,2]. It is characterized by linear deposition of IgA at the dermo-epidermal junction. The etiology is primarily idiopathic, drug-related, or infection-related. Although multiple reports have documented drug exposure as a precipitating factor, formal studies validating the existence of drug-induced LABD are lacking. Vancomycin has been reported as a potential inciting drug in most reports [3,4]. Here, we report a case of a 49-year-old man who developed a severe, circular, maculopapular rash and bullous lesions during his hospital course while receiving Vancomycin. The rash involved approximately 20% of the total body surface area including the back, groin, palms, soles, eyes, oral mucosa and glans. The diagnosis of Linear IgA Bullous Dermatosis was confirmed hi</w:t>
      </w:r>
      <w:r>
        <w:rPr>
          <w:rFonts w:ascii="Times New Roman" w:eastAsia="Times New Roman" w:hAnsi="Times New Roman" w:cs="Times New Roman"/>
          <w:color w:val="000000" w:themeColor="text1"/>
          <w:sz w:val="20"/>
          <w:szCs w:val="20"/>
        </w:rPr>
        <w:t>st</w:t>
      </w:r>
      <w:r w:rsidRPr="0037315C">
        <w:rPr>
          <w:rFonts w:ascii="Times New Roman" w:eastAsia="Times New Roman" w:hAnsi="Times New Roman" w:cs="Times New Roman"/>
          <w:color w:val="000000" w:themeColor="text1"/>
          <w:sz w:val="20"/>
          <w:szCs w:val="20"/>
        </w:rPr>
        <w:t>ologically.</w:t>
      </w:r>
    </w:p>
    <w:p w14:paraId="5F876C7C" w14:textId="7D20231E" w:rsidR="0037315C" w:rsidRDefault="0037315C" w:rsidP="00433D43">
      <w:pPr>
        <w:numPr>
          <w:ilvl w:val="0"/>
          <w:numId w:val="1"/>
        </w:numPr>
        <w:spacing w:before="120" w:after="120"/>
        <w:rPr>
          <w:rFonts w:asciiTheme="majorBidi" w:eastAsia="Times New Roman" w:hAnsiTheme="majorBidi" w:cstheme="majorBidi"/>
          <w:b/>
          <w:bCs/>
          <w:color w:val="000000"/>
          <w:sz w:val="20"/>
          <w:szCs w:val="20"/>
        </w:rPr>
      </w:pPr>
      <w:r w:rsidRPr="0037315C">
        <w:rPr>
          <w:rFonts w:asciiTheme="majorBidi" w:eastAsia="Times New Roman" w:hAnsiTheme="majorBidi" w:cstheme="majorBidi"/>
          <w:b/>
          <w:bCs/>
          <w:color w:val="000000"/>
          <w:sz w:val="20"/>
          <w:szCs w:val="20"/>
        </w:rPr>
        <w:t>Patient Information</w:t>
      </w:r>
    </w:p>
    <w:p w14:paraId="54F03A72" w14:textId="1EFF0DB2" w:rsidR="0037315C" w:rsidRDefault="0037315C" w:rsidP="0037315C">
      <w:pPr>
        <w:spacing w:before="120" w:after="120"/>
        <w:ind w:left="720"/>
        <w:rPr>
          <w:rFonts w:asciiTheme="majorBidi" w:eastAsia="Times New Roman" w:hAnsiTheme="majorBidi" w:cstheme="majorBidi"/>
          <w:b/>
          <w:bCs/>
          <w:color w:val="000000"/>
          <w:sz w:val="20"/>
          <w:szCs w:val="20"/>
        </w:rPr>
      </w:pPr>
      <w:r w:rsidRPr="63C61E6C">
        <w:rPr>
          <w:rFonts w:ascii="Times New Roman" w:eastAsia="Times New Roman" w:hAnsi="Times New Roman" w:cs="Times New Roman"/>
          <w:color w:val="000000" w:themeColor="text1"/>
          <w:sz w:val="20"/>
          <w:szCs w:val="20"/>
        </w:rPr>
        <w:t>A 49-year-old man with history of intravenous (IV) drug use and diverticulitis presented with left hip pain of three weeks duration that developed after sustaining a fall while running. His symptoms were initially mild, characterized as a mild limp with generally preserved range of motion and ambulation. During this time, he continued to use IV drugs and suffered an episode of transient overdose that rendered him unconscious approximately twenty-four hours prior to presentation. Upon awakening the following morning, he reported anesthesia of the left hip and refractory pain that left him bedbound. He denied fevers, chills, new rash, or open wounds.</w:t>
      </w:r>
    </w:p>
    <w:p w14:paraId="68BE4D9E" w14:textId="5954A330" w:rsidR="0037315C" w:rsidRPr="0037315C" w:rsidRDefault="0037315C" w:rsidP="0037315C">
      <w:pPr>
        <w:rPr>
          <w:rFonts w:asciiTheme="majorBidi" w:eastAsia="Times New Roman" w:hAnsiTheme="majorBidi" w:cstheme="majorBidi"/>
          <w:b/>
          <w:bCs/>
          <w:color w:val="000000"/>
          <w:sz w:val="20"/>
          <w:szCs w:val="20"/>
        </w:rPr>
      </w:pPr>
    </w:p>
    <w:p w14:paraId="450B19DC" w14:textId="7129E36F" w:rsidR="0037315C" w:rsidRDefault="0037315C" w:rsidP="0037315C">
      <w:pPr>
        <w:numPr>
          <w:ilvl w:val="0"/>
          <w:numId w:val="1"/>
        </w:numPr>
        <w:spacing w:before="120" w:after="120"/>
        <w:rPr>
          <w:rFonts w:asciiTheme="majorBidi" w:eastAsia="Times New Roman" w:hAnsiTheme="majorBidi" w:cstheme="majorBidi"/>
          <w:color w:val="000000"/>
          <w:sz w:val="20"/>
          <w:szCs w:val="20"/>
        </w:rPr>
      </w:pPr>
      <w:r w:rsidRPr="0037315C">
        <w:rPr>
          <w:rFonts w:asciiTheme="majorBidi" w:eastAsia="Times New Roman" w:hAnsiTheme="majorBidi" w:cstheme="majorBidi"/>
          <w:b/>
          <w:bCs/>
          <w:color w:val="000000"/>
          <w:sz w:val="20"/>
          <w:szCs w:val="20"/>
        </w:rPr>
        <w:lastRenderedPageBreak/>
        <w:t xml:space="preserve">Clinical Findings </w:t>
      </w:r>
    </w:p>
    <w:p w14:paraId="6F070525" w14:textId="7B5D44F7" w:rsidR="0037315C" w:rsidRPr="0037315C" w:rsidRDefault="0037315C" w:rsidP="0037315C">
      <w:pPr>
        <w:spacing w:before="120" w:after="120"/>
        <w:ind w:left="720"/>
        <w:rPr>
          <w:rFonts w:asciiTheme="majorBidi" w:eastAsia="Times New Roman" w:hAnsiTheme="majorBidi" w:cstheme="majorBidi"/>
          <w:color w:val="000000"/>
          <w:sz w:val="20"/>
          <w:szCs w:val="20"/>
        </w:rPr>
      </w:pPr>
      <w:r w:rsidRPr="63C61E6C">
        <w:rPr>
          <w:rFonts w:ascii="Times New Roman" w:eastAsia="Times New Roman" w:hAnsi="Times New Roman" w:cs="Times New Roman"/>
          <w:color w:val="000000" w:themeColor="text1"/>
          <w:sz w:val="20"/>
          <w:szCs w:val="20"/>
        </w:rPr>
        <w:t>On presentation he was noted to be hemodynamically stable and physical examination was notable for poor dentition, gingivitis, proximal left thigh tenderness and stiffness with limited range of movement</w:t>
      </w:r>
      <w:r>
        <w:rPr>
          <w:rFonts w:ascii="Times New Roman" w:eastAsia="Times New Roman" w:hAnsi="Times New Roman" w:cs="Times New Roman"/>
          <w:color w:val="000000" w:themeColor="text1"/>
          <w:sz w:val="20"/>
          <w:szCs w:val="20"/>
        </w:rPr>
        <w:t>,</w:t>
      </w:r>
      <w:r w:rsidRPr="63C61E6C">
        <w:rPr>
          <w:rFonts w:ascii="Times New Roman" w:eastAsia="Times New Roman" w:hAnsi="Times New Roman" w:cs="Times New Roman"/>
          <w:color w:val="000000" w:themeColor="text1"/>
          <w:sz w:val="20"/>
          <w:szCs w:val="20"/>
        </w:rPr>
        <w:t xml:space="preserve"> but no erythema </w:t>
      </w:r>
      <w:r>
        <w:rPr>
          <w:rFonts w:ascii="Times New Roman" w:eastAsia="Times New Roman" w:hAnsi="Times New Roman" w:cs="Times New Roman"/>
          <w:color w:val="000000" w:themeColor="text1"/>
          <w:sz w:val="20"/>
          <w:szCs w:val="20"/>
        </w:rPr>
        <w:t>n</w:t>
      </w:r>
      <w:r w:rsidRPr="63C61E6C">
        <w:rPr>
          <w:rFonts w:ascii="Times New Roman" w:eastAsia="Times New Roman" w:hAnsi="Times New Roman" w:cs="Times New Roman"/>
          <w:color w:val="000000" w:themeColor="text1"/>
          <w:sz w:val="20"/>
          <w:szCs w:val="20"/>
        </w:rPr>
        <w:t>or effusion was noted. The stigmata of IV drug use with an</w:t>
      </w:r>
      <w:r>
        <w:rPr>
          <w:rFonts w:ascii="Times New Roman" w:eastAsia="Times New Roman" w:hAnsi="Times New Roman" w:cs="Times New Roman"/>
          <w:color w:val="000000" w:themeColor="text1"/>
          <w:sz w:val="20"/>
          <w:szCs w:val="20"/>
        </w:rPr>
        <w:t xml:space="preserve"> </w:t>
      </w:r>
      <w:r w:rsidRPr="63C61E6C">
        <w:rPr>
          <w:rFonts w:ascii="Times New Roman" w:eastAsia="Times New Roman" w:hAnsi="Times New Roman" w:cs="Times New Roman"/>
          <w:color w:val="000000" w:themeColor="text1"/>
          <w:sz w:val="20"/>
          <w:szCs w:val="20"/>
        </w:rPr>
        <w:t>associated cellulitis o</w:t>
      </w:r>
      <w:r>
        <w:rPr>
          <w:rFonts w:ascii="Times New Roman" w:eastAsia="Times New Roman" w:hAnsi="Times New Roman" w:cs="Times New Roman"/>
          <w:color w:val="000000" w:themeColor="text1"/>
          <w:sz w:val="20"/>
          <w:szCs w:val="20"/>
        </w:rPr>
        <w:t>f the</w:t>
      </w:r>
      <w:r w:rsidRPr="63C61E6C">
        <w:rPr>
          <w:rFonts w:ascii="Times New Roman" w:eastAsia="Times New Roman" w:hAnsi="Times New Roman" w:cs="Times New Roman"/>
          <w:color w:val="000000" w:themeColor="text1"/>
          <w:sz w:val="20"/>
          <w:szCs w:val="20"/>
        </w:rPr>
        <w:t xml:space="preserve"> right antecubital fossa</w:t>
      </w:r>
      <w:r>
        <w:rPr>
          <w:rFonts w:ascii="Times New Roman" w:eastAsia="Times New Roman" w:hAnsi="Times New Roman" w:cs="Times New Roman"/>
          <w:color w:val="000000" w:themeColor="text1"/>
          <w:sz w:val="20"/>
          <w:szCs w:val="20"/>
        </w:rPr>
        <w:t xml:space="preserve"> were appreciated</w:t>
      </w:r>
    </w:p>
    <w:p w14:paraId="55EBF525" w14:textId="638D8DD0" w:rsidR="0037315C" w:rsidRDefault="0037315C" w:rsidP="0037315C">
      <w:pPr>
        <w:numPr>
          <w:ilvl w:val="0"/>
          <w:numId w:val="1"/>
        </w:numPr>
        <w:spacing w:before="120" w:after="120"/>
        <w:rPr>
          <w:rFonts w:asciiTheme="majorBidi" w:eastAsia="Times New Roman" w:hAnsiTheme="majorBidi" w:cstheme="majorBidi"/>
          <w:color w:val="000000"/>
          <w:sz w:val="20"/>
          <w:szCs w:val="20"/>
        </w:rPr>
      </w:pPr>
      <w:r w:rsidRPr="0037315C">
        <w:rPr>
          <w:rFonts w:asciiTheme="majorBidi" w:eastAsia="Times New Roman" w:hAnsiTheme="majorBidi" w:cstheme="majorBidi"/>
          <w:b/>
          <w:bCs/>
          <w:color w:val="000000"/>
          <w:sz w:val="20"/>
          <w:szCs w:val="20"/>
        </w:rPr>
        <w:t xml:space="preserve">Timeline </w:t>
      </w:r>
    </w:p>
    <w:p w14:paraId="63F1C61C" w14:textId="77777777" w:rsidR="0037315C" w:rsidRPr="0037315C" w:rsidRDefault="0037315C" w:rsidP="0037315C">
      <w:pPr>
        <w:pStyle w:val="ListParagraph"/>
        <w:rPr>
          <w:rFonts w:ascii="Times New Roman" w:eastAsia="Times New Roman" w:hAnsi="Times New Roman" w:cs="Times New Roman"/>
          <w:color w:val="000000" w:themeColor="text1"/>
          <w:sz w:val="20"/>
          <w:szCs w:val="20"/>
        </w:rPr>
      </w:pPr>
      <w:r w:rsidRPr="0037315C">
        <w:rPr>
          <w:rFonts w:ascii="Times New Roman" w:eastAsia="Times New Roman" w:hAnsi="Times New Roman" w:cs="Times New Roman"/>
          <w:color w:val="000000" w:themeColor="text1"/>
          <w:sz w:val="20"/>
          <w:szCs w:val="20"/>
        </w:rPr>
        <w:t>Laboratory diagnostics were only remarkable for severe iron deficiency anemia (Hemoglobin 5.4 gm/dL, Ferritin 21.2 ng/mL and Iron Saturation 6%) and elevated inflammatory markers (ESR 110 mm/</w:t>
      </w:r>
      <w:proofErr w:type="spellStart"/>
      <w:r w:rsidRPr="0037315C">
        <w:rPr>
          <w:rFonts w:ascii="Times New Roman" w:eastAsia="Times New Roman" w:hAnsi="Times New Roman" w:cs="Times New Roman"/>
          <w:color w:val="000000" w:themeColor="text1"/>
          <w:sz w:val="20"/>
          <w:szCs w:val="20"/>
        </w:rPr>
        <w:t>hr</w:t>
      </w:r>
      <w:proofErr w:type="spellEnd"/>
      <w:r w:rsidRPr="0037315C">
        <w:rPr>
          <w:rFonts w:ascii="Times New Roman" w:eastAsia="Times New Roman" w:hAnsi="Times New Roman" w:cs="Times New Roman"/>
          <w:color w:val="000000" w:themeColor="text1"/>
          <w:sz w:val="20"/>
          <w:szCs w:val="20"/>
        </w:rPr>
        <w:t xml:space="preserve"> and CRP 75.80 mg/L), with no evidence of leukocytosis. Diagnostic imaging included a Computed Tomography (CT) scan without contrast of the left lower extremity that demonstrated severe left hip osteoarthritis without fracture or dislocation. Blood cultures were collected, the patient was transfused a single unit of packed red blood cells, and empirically started on Vancomycin and Piperacillin/Tazobactam for right elbow cellulitis, that was later narrowed to Vancomycin monotherapy within twenty-four hours.</w:t>
      </w:r>
    </w:p>
    <w:p w14:paraId="7ACD2DD8" w14:textId="77777777" w:rsidR="004F227A" w:rsidRDefault="004F227A" w:rsidP="0037315C">
      <w:pPr>
        <w:pStyle w:val="ListParagraph"/>
        <w:rPr>
          <w:rFonts w:ascii="Times New Roman" w:eastAsia="Times New Roman" w:hAnsi="Times New Roman" w:cs="Times New Roman"/>
          <w:color w:val="000000" w:themeColor="text1"/>
          <w:sz w:val="20"/>
          <w:szCs w:val="20"/>
        </w:rPr>
      </w:pPr>
    </w:p>
    <w:p w14:paraId="4D4A10DD" w14:textId="2C64ACE2" w:rsidR="0037315C" w:rsidRDefault="0037315C" w:rsidP="0037315C">
      <w:pPr>
        <w:pStyle w:val="ListParagraph"/>
        <w:rPr>
          <w:rFonts w:ascii="Times New Roman" w:eastAsia="Times New Roman" w:hAnsi="Times New Roman" w:cs="Times New Roman"/>
          <w:color w:val="000000" w:themeColor="text1"/>
          <w:sz w:val="20"/>
          <w:szCs w:val="20"/>
        </w:rPr>
      </w:pPr>
      <w:r w:rsidRPr="0037315C">
        <w:rPr>
          <w:rFonts w:ascii="Times New Roman" w:eastAsia="Times New Roman" w:hAnsi="Times New Roman" w:cs="Times New Roman"/>
          <w:color w:val="000000" w:themeColor="text1"/>
          <w:sz w:val="20"/>
          <w:szCs w:val="20"/>
        </w:rPr>
        <w:t xml:space="preserve">Unfortunately, during the patient’s hospital course his left hip pain failed to improve with conservative management and Magnetic Resonance Imaging (MRI) was performed. MRI demonstrated findings consistent with septic arthritis and osteomyelitis of acetabular roof and femoral head. Intervention Radiology joint aspiration was attempted but was unsuccessful and Orthopedics was consulted for incision and drainage. A scant amount of purulent material was expressed that was sent for culture and a drain was placed. The patient continued to experience severe pain that was accompanied by decreased range of motion, prompting repeat incision and drainage of the left hip along with </w:t>
      </w:r>
      <w:proofErr w:type="spellStart"/>
      <w:r w:rsidRPr="0037315C">
        <w:rPr>
          <w:rFonts w:ascii="Times New Roman" w:eastAsia="Times New Roman" w:hAnsi="Times New Roman" w:cs="Times New Roman"/>
          <w:color w:val="000000" w:themeColor="text1"/>
          <w:sz w:val="20"/>
          <w:szCs w:val="20"/>
        </w:rPr>
        <w:t>acetabuloplasty</w:t>
      </w:r>
      <w:proofErr w:type="spellEnd"/>
      <w:r w:rsidRPr="0037315C">
        <w:rPr>
          <w:rFonts w:ascii="Times New Roman" w:eastAsia="Times New Roman" w:hAnsi="Times New Roman" w:cs="Times New Roman"/>
          <w:color w:val="000000" w:themeColor="text1"/>
          <w:sz w:val="20"/>
          <w:szCs w:val="20"/>
        </w:rPr>
        <w:t>, removal of the femoral head, and Stage I hip replacement with placement of prophylactic prosthetic cement spacer containing Vancomycin and Tobramycin. He was not a candidate for placement of permanent articulating hip implant due to active IV drug use and poor dentition.</w:t>
      </w:r>
    </w:p>
    <w:p w14:paraId="2D4925DB" w14:textId="77777777" w:rsidR="004F227A" w:rsidRPr="0037315C" w:rsidRDefault="004F227A" w:rsidP="0037315C">
      <w:pPr>
        <w:pStyle w:val="ListParagraph"/>
        <w:rPr>
          <w:rFonts w:ascii="Times New Roman" w:eastAsia="Times New Roman" w:hAnsi="Times New Roman" w:cs="Times New Roman"/>
          <w:color w:val="000000" w:themeColor="text1"/>
          <w:sz w:val="20"/>
          <w:szCs w:val="20"/>
        </w:rPr>
      </w:pPr>
    </w:p>
    <w:p w14:paraId="2D75CF52" w14:textId="728C780F" w:rsidR="0037315C" w:rsidRDefault="0037315C" w:rsidP="0037315C">
      <w:pPr>
        <w:pStyle w:val="ListParagraph"/>
        <w:rPr>
          <w:rFonts w:ascii="Times New Roman" w:eastAsia="Times New Roman" w:hAnsi="Times New Roman" w:cs="Times New Roman"/>
          <w:color w:val="000000" w:themeColor="text1"/>
          <w:sz w:val="20"/>
          <w:szCs w:val="20"/>
        </w:rPr>
      </w:pPr>
      <w:r w:rsidRPr="0037315C">
        <w:rPr>
          <w:rFonts w:ascii="Times New Roman" w:eastAsia="Times New Roman" w:hAnsi="Times New Roman" w:cs="Times New Roman"/>
          <w:color w:val="000000" w:themeColor="text1"/>
          <w:sz w:val="20"/>
          <w:szCs w:val="20"/>
        </w:rPr>
        <w:t>Within twenty-four hours of surgery (eight days since admission), he developed multiple distinct maculopapular/bullous lesions of his torso and medial thigh that rapidly progressed, involving the oral mucosa, scrotum, glans, hands, and feet with associated periorbital edema. Vancomycin was thought to be the inciting factor and it was discontinued with transition to IV Cefazolin as cultures from the purulent aspirate grew methicillin-sensitive Staphylococcus aureus (MSSA). Blood cultures from admission continued to be negative. Stevens-Johnson Syndrome (SJS) was suspected and he was immediately started on cyclosporine therapy (150 mg IV x 1 and 150 mg P.O. BID). Punch biopsy was performed and due to involvement of 15-20% body surface area, he was transferred to a burn unit at a tertiary center.</w:t>
      </w:r>
    </w:p>
    <w:p w14:paraId="69C07EA6" w14:textId="77777777" w:rsidR="004F227A" w:rsidRPr="0037315C" w:rsidRDefault="004F227A" w:rsidP="0037315C">
      <w:pPr>
        <w:pStyle w:val="ListParagraph"/>
        <w:rPr>
          <w:rFonts w:ascii="Times New Roman" w:eastAsia="Times New Roman" w:hAnsi="Times New Roman" w:cs="Times New Roman"/>
          <w:color w:val="000000" w:themeColor="text1"/>
          <w:sz w:val="20"/>
          <w:szCs w:val="20"/>
        </w:rPr>
      </w:pPr>
    </w:p>
    <w:p w14:paraId="1B9F38E2" w14:textId="164A7067" w:rsidR="0037315C" w:rsidRPr="0037315C" w:rsidRDefault="0037315C" w:rsidP="0037315C">
      <w:pPr>
        <w:pStyle w:val="ListParagraph"/>
        <w:rPr>
          <w:rFonts w:ascii="Times New Roman" w:eastAsia="Times New Roman" w:hAnsi="Times New Roman" w:cs="Times New Roman"/>
          <w:color w:val="000000" w:themeColor="text1"/>
          <w:sz w:val="20"/>
          <w:szCs w:val="20"/>
        </w:rPr>
      </w:pPr>
      <w:r w:rsidRPr="0037315C">
        <w:rPr>
          <w:rFonts w:ascii="Times New Roman" w:eastAsia="Times New Roman" w:hAnsi="Times New Roman" w:cs="Times New Roman"/>
          <w:color w:val="000000" w:themeColor="text1"/>
          <w:sz w:val="20"/>
          <w:szCs w:val="20"/>
        </w:rPr>
        <w:t>At the tertiary center, Cefazolin was discontinued given its association with SJS and he was initiated on Linezolid. Repeat skin biopsy was obtained and Prednisone therapy was added to cyclosporine for management of SJS. H&amp;E and immunostaining of the histological sample demonstrated IgA bullous disease</w:t>
      </w:r>
      <w:r w:rsidRPr="0037315C">
        <w:rPr>
          <w:rFonts w:ascii="Times New Roman" w:eastAsia="Times New Roman" w:hAnsi="Times New Roman" w:cs="Times New Roman"/>
          <w:b/>
          <w:bCs/>
          <w:color w:val="000000" w:themeColor="text1"/>
          <w:sz w:val="20"/>
          <w:szCs w:val="20"/>
        </w:rPr>
        <w:t>.</w:t>
      </w:r>
      <w:r w:rsidRPr="0037315C">
        <w:rPr>
          <w:rFonts w:ascii="Times New Roman" w:eastAsia="Times New Roman" w:hAnsi="Times New Roman" w:cs="Times New Roman"/>
          <w:color w:val="000000" w:themeColor="text1"/>
          <w:sz w:val="20"/>
          <w:szCs w:val="20"/>
        </w:rPr>
        <w:t xml:space="preserve"> Dapsone, a medication considered to be a first line therapy for LABD, was deferred in the setting of the patient’s baseline anemia. He was continued on Prednisone which was gradually tapered and Doxycycline therapy (100mg BID) was added for anti-inflammatory effects. The </w:t>
      </w:r>
      <w:r w:rsidRPr="0037315C">
        <w:rPr>
          <w:rFonts w:ascii="Times New Roman" w:eastAsia="Times New Roman" w:hAnsi="Times New Roman" w:cs="Times New Roman"/>
          <w:color w:val="000000" w:themeColor="text1"/>
          <w:sz w:val="19"/>
          <w:szCs w:val="19"/>
        </w:rPr>
        <w:t>prophylactic prosthetic cement spacer with Vancomycin and Tobramycin</w:t>
      </w:r>
      <w:r w:rsidRPr="0037315C">
        <w:rPr>
          <w:rFonts w:ascii="Times New Roman" w:eastAsia="Times New Roman" w:hAnsi="Times New Roman" w:cs="Times New Roman"/>
          <w:color w:val="000000" w:themeColor="text1"/>
          <w:sz w:val="20"/>
          <w:szCs w:val="20"/>
        </w:rPr>
        <w:t xml:space="preserve"> remained </w:t>
      </w:r>
      <w:r w:rsidRPr="0037315C">
        <w:rPr>
          <w:rFonts w:ascii="Times New Roman" w:eastAsia="Times New Roman" w:hAnsi="Times New Roman" w:cs="Times New Roman"/>
          <w:i/>
          <w:iCs/>
          <w:color w:val="000000" w:themeColor="text1"/>
          <w:sz w:val="20"/>
          <w:szCs w:val="20"/>
        </w:rPr>
        <w:t>in situ</w:t>
      </w:r>
      <w:r w:rsidRPr="0037315C">
        <w:rPr>
          <w:rFonts w:ascii="Times New Roman" w:eastAsia="Times New Roman" w:hAnsi="Times New Roman" w:cs="Times New Roman"/>
          <w:color w:val="000000" w:themeColor="text1"/>
          <w:sz w:val="20"/>
          <w:szCs w:val="20"/>
        </w:rPr>
        <w:t>. The patient’s bullous lesions improved two weeks after discontinuation of Vancomycin and initiation of therapy. He subsequently transitioned from Linezolid to Daptomycin due to risk of marrow suppression with prolonged Linezolid use. The patient completed a four-week course of Daptomycin and was subsequently discharged on a tapering dose of Prednisone, Doxycycline, and Nicotinamide for pain management with recommendation to follow up in the dermatology clinic.</w:t>
      </w:r>
    </w:p>
    <w:p w14:paraId="48865182" w14:textId="77777777" w:rsidR="0037315C" w:rsidRPr="0037315C" w:rsidRDefault="0037315C" w:rsidP="0037315C">
      <w:pPr>
        <w:spacing w:before="120" w:after="120"/>
        <w:ind w:left="720"/>
        <w:rPr>
          <w:rFonts w:asciiTheme="majorBidi" w:eastAsia="Times New Roman" w:hAnsiTheme="majorBidi" w:cstheme="majorBidi"/>
          <w:color w:val="000000"/>
          <w:sz w:val="20"/>
          <w:szCs w:val="20"/>
        </w:rPr>
      </w:pPr>
    </w:p>
    <w:p w14:paraId="58287FAE" w14:textId="7732864E" w:rsidR="0037315C" w:rsidRPr="004F227A" w:rsidRDefault="0037315C" w:rsidP="0037315C">
      <w:pPr>
        <w:numPr>
          <w:ilvl w:val="0"/>
          <w:numId w:val="1"/>
        </w:numPr>
        <w:spacing w:before="120" w:after="120"/>
        <w:rPr>
          <w:rFonts w:asciiTheme="majorBidi" w:eastAsia="Times New Roman" w:hAnsiTheme="majorBidi" w:cstheme="majorBidi"/>
          <w:color w:val="000000"/>
          <w:sz w:val="20"/>
          <w:szCs w:val="20"/>
        </w:rPr>
      </w:pPr>
      <w:r w:rsidRPr="0037315C">
        <w:rPr>
          <w:rFonts w:asciiTheme="majorBidi" w:eastAsia="Times New Roman" w:hAnsiTheme="majorBidi" w:cstheme="majorBidi"/>
          <w:b/>
          <w:bCs/>
          <w:color w:val="000000"/>
          <w:sz w:val="20"/>
          <w:szCs w:val="20"/>
        </w:rPr>
        <w:t>Diagnostic Assessment</w:t>
      </w:r>
    </w:p>
    <w:p w14:paraId="4D7C5461" w14:textId="77777777" w:rsidR="004F227A" w:rsidRDefault="004F227A" w:rsidP="004F227A">
      <w:pPr>
        <w:spacing w:before="120" w:after="120"/>
        <w:ind w:left="720"/>
        <w:rPr>
          <w:rFonts w:asciiTheme="majorBidi" w:eastAsia="Times New Roman" w:hAnsiTheme="majorBidi" w:cstheme="majorBidi"/>
          <w:b/>
          <w:bCs/>
          <w:color w:val="000000"/>
          <w:sz w:val="20"/>
          <w:szCs w:val="20"/>
        </w:rPr>
      </w:pPr>
      <w:r w:rsidRPr="004F227A">
        <w:rPr>
          <w:rFonts w:asciiTheme="majorBidi" w:eastAsia="Times New Roman" w:hAnsiTheme="majorBidi" w:cstheme="majorBidi"/>
          <w:color w:val="000000"/>
          <w:sz w:val="20"/>
          <w:szCs w:val="20"/>
          <w:u w:val="single"/>
        </w:rPr>
        <w:t>Diagnostic Methods:</w:t>
      </w:r>
      <w:r>
        <w:rPr>
          <w:rFonts w:asciiTheme="majorBidi" w:eastAsia="Times New Roman" w:hAnsiTheme="majorBidi" w:cstheme="majorBidi"/>
          <w:b/>
          <w:bCs/>
          <w:color w:val="000000"/>
          <w:sz w:val="20"/>
          <w:szCs w:val="20"/>
        </w:rPr>
        <w:t xml:space="preserve"> </w:t>
      </w:r>
    </w:p>
    <w:p w14:paraId="3BC17DA7" w14:textId="77777777" w:rsidR="004F227A" w:rsidRDefault="004F227A" w:rsidP="004F227A">
      <w:pPr>
        <w:spacing w:before="120" w:after="120"/>
        <w:ind w:left="720"/>
        <w:rPr>
          <w:rFonts w:ascii="Times New Roman" w:eastAsia="Times New Roman" w:hAnsi="Times New Roman" w:cs="Times New Roman"/>
          <w:color w:val="000000" w:themeColor="text1"/>
          <w:sz w:val="20"/>
          <w:szCs w:val="20"/>
        </w:rPr>
      </w:pPr>
      <w:r w:rsidRPr="0037315C">
        <w:rPr>
          <w:rFonts w:ascii="Times New Roman" w:eastAsia="Times New Roman" w:hAnsi="Times New Roman" w:cs="Times New Roman"/>
          <w:color w:val="000000" w:themeColor="text1"/>
          <w:sz w:val="20"/>
          <w:szCs w:val="20"/>
        </w:rPr>
        <w:t>Laboratory diagnostics were only remarkable for severe iron deficiency anemia (Hemoglobin 5.4 gm/dL, Ferritin 21.2 ng/mL and Iron Saturation 6%) and elevated inflammatory markers (ESR 110 mm/</w:t>
      </w:r>
      <w:proofErr w:type="spellStart"/>
      <w:r w:rsidRPr="0037315C">
        <w:rPr>
          <w:rFonts w:ascii="Times New Roman" w:eastAsia="Times New Roman" w:hAnsi="Times New Roman" w:cs="Times New Roman"/>
          <w:color w:val="000000" w:themeColor="text1"/>
          <w:sz w:val="20"/>
          <w:szCs w:val="20"/>
        </w:rPr>
        <w:t>hr</w:t>
      </w:r>
      <w:proofErr w:type="spellEnd"/>
      <w:r w:rsidRPr="0037315C">
        <w:rPr>
          <w:rFonts w:ascii="Times New Roman" w:eastAsia="Times New Roman" w:hAnsi="Times New Roman" w:cs="Times New Roman"/>
          <w:color w:val="000000" w:themeColor="text1"/>
          <w:sz w:val="20"/>
          <w:szCs w:val="20"/>
        </w:rPr>
        <w:t xml:space="preserve"> and CRP 75.80 mg/L), with no evidence of leukocytosis. </w:t>
      </w:r>
    </w:p>
    <w:p w14:paraId="68575159" w14:textId="1B85525D" w:rsidR="004F227A" w:rsidRDefault="004F227A" w:rsidP="004F227A">
      <w:pPr>
        <w:spacing w:before="120" w:after="120"/>
        <w:ind w:left="720"/>
        <w:rPr>
          <w:rFonts w:ascii="Times New Roman" w:eastAsia="Times New Roman" w:hAnsi="Times New Roman" w:cs="Times New Roman"/>
          <w:color w:val="000000" w:themeColor="text1"/>
          <w:sz w:val="20"/>
          <w:szCs w:val="20"/>
        </w:rPr>
      </w:pPr>
      <w:r w:rsidRPr="0037315C">
        <w:rPr>
          <w:rFonts w:ascii="Times New Roman" w:eastAsia="Times New Roman" w:hAnsi="Times New Roman" w:cs="Times New Roman"/>
          <w:color w:val="000000" w:themeColor="text1"/>
          <w:sz w:val="20"/>
          <w:szCs w:val="20"/>
        </w:rPr>
        <w:lastRenderedPageBreak/>
        <w:t>Diagnostic imaging included a Computed Tomography (CT) scan without contrast of the left lower extremity that demonstrated severe left hip osteoarthritis without fracture or dislocation.</w:t>
      </w:r>
    </w:p>
    <w:p w14:paraId="64B56B63" w14:textId="690E7636" w:rsidR="004F227A" w:rsidRDefault="004F227A" w:rsidP="004F227A">
      <w:pPr>
        <w:spacing w:before="120" w:after="120"/>
        <w:ind w:left="720"/>
        <w:rPr>
          <w:rFonts w:ascii="Times New Roman" w:eastAsia="Times New Roman" w:hAnsi="Times New Roman" w:cs="Times New Roman"/>
          <w:color w:val="000000" w:themeColor="text1"/>
          <w:sz w:val="20"/>
          <w:szCs w:val="20"/>
        </w:rPr>
      </w:pPr>
      <w:r w:rsidRPr="63C61E6C">
        <w:rPr>
          <w:rFonts w:ascii="Times New Roman" w:eastAsia="Times New Roman" w:hAnsi="Times New Roman" w:cs="Times New Roman"/>
          <w:color w:val="000000" w:themeColor="text1"/>
          <w:sz w:val="20"/>
          <w:szCs w:val="20"/>
        </w:rPr>
        <w:t>MRI demonstrated findings consistent with septic arthritis and osteomyelitis of acetabular roof and femoral head.</w:t>
      </w:r>
    </w:p>
    <w:p w14:paraId="6AD9E0D6" w14:textId="43936F2C" w:rsidR="004F227A" w:rsidRDefault="004F227A" w:rsidP="004F227A">
      <w:pPr>
        <w:spacing w:before="120" w:after="120"/>
        <w:ind w:left="720"/>
        <w:rPr>
          <w:rFonts w:ascii="Times New Roman" w:eastAsia="Times New Roman" w:hAnsi="Times New Roman" w:cs="Times New Roman"/>
          <w:color w:val="000000" w:themeColor="text1"/>
          <w:sz w:val="20"/>
          <w:szCs w:val="20"/>
        </w:rPr>
      </w:pPr>
    </w:p>
    <w:p w14:paraId="0A1CC786" w14:textId="12CDA56A" w:rsidR="004F227A" w:rsidRDefault="004F227A" w:rsidP="004F227A">
      <w:pPr>
        <w:spacing w:before="120" w:after="120"/>
        <w:ind w:left="720"/>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 xml:space="preserve">Diagnostic Challenges: </w:t>
      </w:r>
    </w:p>
    <w:p w14:paraId="764F943E" w14:textId="378C38A3" w:rsidR="004F227A" w:rsidRDefault="004F227A" w:rsidP="004F227A">
      <w:pPr>
        <w:spacing w:before="120" w:after="120"/>
        <w:ind w:left="720"/>
        <w:rPr>
          <w:rFonts w:ascii="Times New Roman" w:eastAsia="Times New Roman" w:hAnsi="Times New Roman" w:cs="Times New Roman"/>
          <w:color w:val="000000" w:themeColor="text1"/>
          <w:sz w:val="20"/>
          <w:szCs w:val="20"/>
        </w:rPr>
      </w:pPr>
      <w:r w:rsidRPr="63C61E6C">
        <w:rPr>
          <w:rFonts w:ascii="Times New Roman" w:eastAsia="Times New Roman" w:hAnsi="Times New Roman" w:cs="Times New Roman"/>
          <w:color w:val="000000" w:themeColor="text1"/>
          <w:sz w:val="20"/>
          <w:szCs w:val="20"/>
        </w:rPr>
        <w:t>Intervention Radiology joint aspiration was attempted but was unsuccessful and Orthopedics was consulted for incision and drainage.</w:t>
      </w:r>
    </w:p>
    <w:p w14:paraId="19658EF2" w14:textId="6829A990" w:rsidR="004F227A" w:rsidRDefault="004F227A" w:rsidP="004F227A">
      <w:pPr>
        <w:spacing w:before="120" w:after="120"/>
        <w:ind w:left="720"/>
        <w:rPr>
          <w:rFonts w:ascii="Times New Roman" w:eastAsia="Times New Roman" w:hAnsi="Times New Roman" w:cs="Times New Roman"/>
          <w:color w:val="000000" w:themeColor="text1"/>
          <w:sz w:val="20"/>
          <w:szCs w:val="20"/>
        </w:rPr>
      </w:pPr>
    </w:p>
    <w:p w14:paraId="215AD660" w14:textId="566A35A1" w:rsidR="004F227A" w:rsidRDefault="004F227A" w:rsidP="004F227A">
      <w:pPr>
        <w:spacing w:before="120" w:after="120"/>
        <w:ind w:left="720"/>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Diagnosis:</w:t>
      </w:r>
    </w:p>
    <w:p w14:paraId="43984571" w14:textId="29FA4F9E" w:rsidR="004F227A" w:rsidRDefault="004F227A" w:rsidP="004F227A">
      <w:pPr>
        <w:spacing w:before="120" w:after="120"/>
        <w:ind w:left="720"/>
        <w:rPr>
          <w:rFonts w:ascii="Times New Roman" w:eastAsia="Times New Roman" w:hAnsi="Times New Roman" w:cs="Times New Roman"/>
          <w:color w:val="000000" w:themeColor="text1"/>
          <w:sz w:val="20"/>
          <w:szCs w:val="20"/>
        </w:rPr>
      </w:pPr>
      <w:r w:rsidRPr="43E01D21">
        <w:rPr>
          <w:rFonts w:ascii="Times New Roman" w:eastAsia="Times New Roman" w:hAnsi="Times New Roman" w:cs="Times New Roman"/>
          <w:color w:val="000000" w:themeColor="text1"/>
          <w:sz w:val="20"/>
          <w:szCs w:val="20"/>
        </w:rPr>
        <w:t>Stevens-Johnson Syndrome (SJS) was suspected</w:t>
      </w:r>
      <w:r>
        <w:rPr>
          <w:rFonts w:ascii="Times New Roman" w:eastAsia="Times New Roman" w:hAnsi="Times New Roman" w:cs="Times New Roman"/>
          <w:color w:val="000000" w:themeColor="text1"/>
          <w:sz w:val="20"/>
          <w:szCs w:val="20"/>
        </w:rPr>
        <w:t>.</w:t>
      </w:r>
    </w:p>
    <w:p w14:paraId="08159365" w14:textId="427D87A5" w:rsidR="001D1430" w:rsidRDefault="004F227A" w:rsidP="004F227A">
      <w:pPr>
        <w:spacing w:before="120" w:after="120"/>
        <w:ind w:left="720"/>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Prognostic Characteristic:</w:t>
      </w:r>
    </w:p>
    <w:p w14:paraId="02CD1D18" w14:textId="5A3F8F7F" w:rsidR="004F227A" w:rsidRDefault="001D1430" w:rsidP="001D1430">
      <w:pPr>
        <w:ind w:left="720"/>
        <w:rPr>
          <w:rFonts w:ascii="Times New Roman" w:eastAsia="Times New Roman" w:hAnsi="Times New Roman" w:cs="Times New Roman"/>
          <w:color w:val="000000" w:themeColor="text1"/>
          <w:sz w:val="20"/>
          <w:szCs w:val="20"/>
        </w:rPr>
      </w:pPr>
      <w:r w:rsidRPr="43E01D21">
        <w:rPr>
          <w:rFonts w:ascii="Times New Roman" w:eastAsia="Times New Roman" w:hAnsi="Times New Roman" w:cs="Times New Roman"/>
          <w:color w:val="000000" w:themeColor="text1"/>
          <w:sz w:val="20"/>
          <w:szCs w:val="20"/>
        </w:rPr>
        <w:t>Punch biopsy was performed and due to involvement of 15-20% body surface area, he was transferred to a burn unit at a tertiary center.</w:t>
      </w:r>
    </w:p>
    <w:p w14:paraId="5370D0DB" w14:textId="77777777" w:rsidR="001D1430" w:rsidRDefault="001D1430" w:rsidP="001D1430">
      <w:pPr>
        <w:ind w:left="720"/>
        <w:rPr>
          <w:rFonts w:ascii="Times New Roman" w:eastAsia="Times New Roman" w:hAnsi="Times New Roman" w:cs="Times New Roman"/>
          <w:color w:val="000000" w:themeColor="text1"/>
          <w:sz w:val="20"/>
          <w:szCs w:val="20"/>
        </w:rPr>
      </w:pPr>
    </w:p>
    <w:p w14:paraId="523A1EF2" w14:textId="1AE12401" w:rsidR="0037315C" w:rsidRPr="001D1430" w:rsidRDefault="0037315C" w:rsidP="0037315C">
      <w:pPr>
        <w:numPr>
          <w:ilvl w:val="0"/>
          <w:numId w:val="1"/>
        </w:numPr>
        <w:spacing w:before="120" w:after="120"/>
        <w:rPr>
          <w:rFonts w:asciiTheme="majorBidi" w:eastAsia="Times New Roman" w:hAnsiTheme="majorBidi" w:cstheme="majorBidi"/>
          <w:color w:val="000000"/>
          <w:sz w:val="20"/>
          <w:szCs w:val="20"/>
        </w:rPr>
      </w:pPr>
      <w:r w:rsidRPr="0037315C">
        <w:rPr>
          <w:rFonts w:asciiTheme="majorBidi" w:eastAsia="Times New Roman" w:hAnsiTheme="majorBidi" w:cstheme="majorBidi"/>
          <w:b/>
          <w:bCs/>
          <w:color w:val="000000"/>
          <w:sz w:val="20"/>
          <w:szCs w:val="20"/>
        </w:rPr>
        <w:t>Therapeutic Intervention</w:t>
      </w:r>
    </w:p>
    <w:p w14:paraId="07F0C58E" w14:textId="77777777" w:rsidR="001D1430" w:rsidRPr="001D1430" w:rsidRDefault="001D1430" w:rsidP="001D1430">
      <w:pPr>
        <w:pStyle w:val="ListParagraph"/>
        <w:rPr>
          <w:rFonts w:ascii="Times New Roman" w:eastAsia="Times New Roman" w:hAnsi="Times New Roman" w:cs="Times New Roman"/>
          <w:color w:val="000000" w:themeColor="text1"/>
          <w:sz w:val="20"/>
          <w:szCs w:val="20"/>
        </w:rPr>
      </w:pPr>
      <w:r w:rsidRPr="001D1430">
        <w:rPr>
          <w:rFonts w:ascii="Times New Roman" w:eastAsia="Times New Roman" w:hAnsi="Times New Roman" w:cs="Times New Roman"/>
          <w:color w:val="000000" w:themeColor="text1"/>
          <w:sz w:val="20"/>
          <w:szCs w:val="20"/>
        </w:rPr>
        <w:t>Vancomycin was thought to be the inciting factor and it was discontinued with transition to IV Cefazolin as cultures from the purulent aspirate grew methicillin-sensitive Staphylococcus aureus (MSSA). Blood cultures from admission continued to be negative. Stevens-Johnson Syndrome (SJS) was suspected and he was immediately started on cyclosporine therapy (150 mg IV x 1 and 150 mg P.O. BID). Punch biopsy was performed and due to involvement of 15-20% body surface area, he was transferred to a burn unit at a tertiary center.</w:t>
      </w:r>
    </w:p>
    <w:p w14:paraId="3AD780F9" w14:textId="77777777" w:rsidR="001D1430" w:rsidRDefault="001D1430" w:rsidP="001D1430">
      <w:pPr>
        <w:pStyle w:val="ListParagraph"/>
        <w:rPr>
          <w:rFonts w:ascii="Times New Roman" w:eastAsia="Times New Roman" w:hAnsi="Times New Roman" w:cs="Times New Roman"/>
          <w:color w:val="000000" w:themeColor="text1"/>
          <w:sz w:val="20"/>
          <w:szCs w:val="20"/>
        </w:rPr>
      </w:pPr>
    </w:p>
    <w:p w14:paraId="4A2EFEC6" w14:textId="19D999AD" w:rsidR="001D1430" w:rsidRPr="001D1430" w:rsidRDefault="001D1430" w:rsidP="001D1430">
      <w:pPr>
        <w:pStyle w:val="ListParagraph"/>
        <w:spacing w:before="120" w:after="120"/>
        <w:rPr>
          <w:rFonts w:asciiTheme="majorBidi" w:eastAsia="Times New Roman" w:hAnsiTheme="majorBidi" w:cstheme="majorBidi"/>
          <w:color w:val="000000"/>
          <w:sz w:val="20"/>
          <w:szCs w:val="20"/>
        </w:rPr>
      </w:pPr>
      <w:r w:rsidRPr="001D1430">
        <w:rPr>
          <w:rFonts w:ascii="Times New Roman" w:eastAsia="Times New Roman" w:hAnsi="Times New Roman" w:cs="Times New Roman"/>
          <w:color w:val="000000" w:themeColor="text1"/>
          <w:sz w:val="20"/>
          <w:szCs w:val="20"/>
        </w:rPr>
        <w:t>At the tertiary center, Cefazolin was discontinued given its association with SJS and he was initiated on Linezolid. Repeat skin biopsy was obtained and Prednisone therapy was added to cyclosporine for management of SJS. H&amp;E and immunostaining of the histological sample demonstrated IgA bullous disease</w:t>
      </w:r>
      <w:r w:rsidRPr="001D1430">
        <w:rPr>
          <w:rFonts w:ascii="Times New Roman" w:eastAsia="Times New Roman" w:hAnsi="Times New Roman" w:cs="Times New Roman"/>
          <w:b/>
          <w:bCs/>
          <w:color w:val="000000" w:themeColor="text1"/>
          <w:sz w:val="20"/>
          <w:szCs w:val="20"/>
        </w:rPr>
        <w:t>.</w:t>
      </w:r>
      <w:r w:rsidRPr="001D1430">
        <w:rPr>
          <w:rFonts w:ascii="Times New Roman" w:eastAsia="Times New Roman" w:hAnsi="Times New Roman" w:cs="Times New Roman"/>
          <w:color w:val="000000" w:themeColor="text1"/>
          <w:sz w:val="20"/>
          <w:szCs w:val="20"/>
        </w:rPr>
        <w:t xml:space="preserve"> Dapsone, a medication considered to be a first line therapy for LABD, was deferred in the setting of the patient’s baseline anemia. He was continued on Prednisone which was gradually tapered and Doxycycline therapy (100mg BID) was added for anti-inflammatory effects. </w:t>
      </w:r>
    </w:p>
    <w:p w14:paraId="55BACAFF" w14:textId="2C221753" w:rsidR="0037315C" w:rsidRPr="001D1430" w:rsidRDefault="0037315C" w:rsidP="0037315C">
      <w:pPr>
        <w:numPr>
          <w:ilvl w:val="0"/>
          <w:numId w:val="1"/>
        </w:numPr>
        <w:spacing w:before="120" w:after="120"/>
        <w:rPr>
          <w:rFonts w:asciiTheme="majorBidi" w:eastAsia="Times New Roman" w:hAnsiTheme="majorBidi" w:cstheme="majorBidi"/>
          <w:color w:val="000000"/>
          <w:sz w:val="20"/>
          <w:szCs w:val="20"/>
        </w:rPr>
      </w:pPr>
      <w:r w:rsidRPr="0037315C">
        <w:rPr>
          <w:rFonts w:asciiTheme="majorBidi" w:eastAsia="Times New Roman" w:hAnsiTheme="majorBidi" w:cstheme="majorBidi"/>
          <w:b/>
          <w:bCs/>
          <w:color w:val="000000"/>
          <w:sz w:val="20"/>
          <w:szCs w:val="20"/>
        </w:rPr>
        <w:t>Follow-up and Outcomes</w:t>
      </w:r>
    </w:p>
    <w:p w14:paraId="6B4FAC2A" w14:textId="4BE94F79" w:rsidR="001D1430" w:rsidRDefault="001D1430" w:rsidP="001D1430">
      <w:pPr>
        <w:pStyle w:val="ListParagraph"/>
        <w:rPr>
          <w:rFonts w:ascii="Times New Roman" w:eastAsia="Times New Roman" w:hAnsi="Times New Roman" w:cs="Times New Roman"/>
          <w:color w:val="000000" w:themeColor="text1"/>
          <w:sz w:val="20"/>
          <w:szCs w:val="20"/>
        </w:rPr>
      </w:pPr>
      <w:r w:rsidRPr="001D1430">
        <w:rPr>
          <w:rFonts w:ascii="Times New Roman" w:eastAsia="Times New Roman" w:hAnsi="Times New Roman" w:cs="Times New Roman"/>
          <w:color w:val="000000" w:themeColor="text1"/>
          <w:sz w:val="20"/>
          <w:szCs w:val="20"/>
        </w:rPr>
        <w:t>The patient’s bullous lesions improved two weeks after discontinuation of Vancomycin and initiation of therapy. He subsequently transitioned from Linezolid to Daptomycin due to risk of marrow suppression with prolonged Linezolid use. The patient completed a four-week course of Daptomycin and was subsequently discharged on a tapering dose of Prednisone, Doxycycline, and Nicotinamide for pain management with recommendation to follow up in the dermatology clinic.</w:t>
      </w:r>
    </w:p>
    <w:p w14:paraId="509AB5B0" w14:textId="5A390DE2" w:rsidR="001D1430" w:rsidRDefault="001D1430" w:rsidP="001D1430">
      <w:pPr>
        <w:pStyle w:val="ListParagraph"/>
        <w:rPr>
          <w:rFonts w:ascii="Times New Roman" w:eastAsia="Times New Roman" w:hAnsi="Times New Roman" w:cs="Times New Roman"/>
          <w:color w:val="000000" w:themeColor="text1"/>
          <w:sz w:val="20"/>
          <w:szCs w:val="20"/>
        </w:rPr>
      </w:pPr>
    </w:p>
    <w:p w14:paraId="59D674FC" w14:textId="1352D83E" w:rsidR="001D1430" w:rsidRPr="001D1430" w:rsidRDefault="001D1430" w:rsidP="001D1430">
      <w:pPr>
        <w:pStyle w:val="ListParagraph"/>
        <w:rPr>
          <w:rFonts w:ascii="Times New Roman" w:eastAsia="Times New Roman" w:hAnsi="Times New Roman" w:cs="Times New Roman"/>
          <w:color w:val="000000" w:themeColor="text1"/>
          <w:sz w:val="20"/>
          <w:szCs w:val="20"/>
        </w:rPr>
      </w:pPr>
      <w:r w:rsidRPr="001D1430">
        <w:rPr>
          <w:rFonts w:ascii="Times New Roman" w:eastAsia="Times New Roman" w:hAnsi="Times New Roman" w:cs="Times New Roman"/>
          <w:color w:val="000000" w:themeColor="text1"/>
          <w:sz w:val="20"/>
          <w:szCs w:val="20"/>
        </w:rPr>
        <w:t xml:space="preserve">The </w:t>
      </w:r>
      <w:r w:rsidRPr="001D1430">
        <w:rPr>
          <w:rFonts w:ascii="Times New Roman" w:eastAsia="Times New Roman" w:hAnsi="Times New Roman" w:cs="Times New Roman"/>
          <w:color w:val="000000" w:themeColor="text1"/>
          <w:sz w:val="19"/>
          <w:szCs w:val="19"/>
        </w:rPr>
        <w:t>prophylactic prosthetic cement spacer with Vancomycin and Tobramycin</w:t>
      </w:r>
      <w:r w:rsidRPr="001D1430">
        <w:rPr>
          <w:rFonts w:ascii="Times New Roman" w:eastAsia="Times New Roman" w:hAnsi="Times New Roman" w:cs="Times New Roman"/>
          <w:color w:val="000000" w:themeColor="text1"/>
          <w:sz w:val="20"/>
          <w:szCs w:val="20"/>
        </w:rPr>
        <w:t xml:space="preserve"> remained </w:t>
      </w:r>
      <w:r w:rsidRPr="001D1430">
        <w:rPr>
          <w:rFonts w:ascii="Times New Roman" w:eastAsia="Times New Roman" w:hAnsi="Times New Roman" w:cs="Times New Roman"/>
          <w:i/>
          <w:iCs/>
          <w:color w:val="000000" w:themeColor="text1"/>
          <w:sz w:val="20"/>
          <w:szCs w:val="20"/>
        </w:rPr>
        <w:t>in situ</w:t>
      </w:r>
      <w:r w:rsidRPr="001D1430">
        <w:rPr>
          <w:rFonts w:ascii="Times New Roman" w:eastAsia="Times New Roman" w:hAnsi="Times New Roman" w:cs="Times New Roman"/>
          <w:color w:val="000000" w:themeColor="text1"/>
          <w:sz w:val="20"/>
          <w:szCs w:val="20"/>
        </w:rPr>
        <w:t>.</w:t>
      </w:r>
    </w:p>
    <w:p w14:paraId="44D47F81" w14:textId="77777777" w:rsidR="001D1430" w:rsidRPr="0037315C" w:rsidRDefault="001D1430" w:rsidP="001D1430">
      <w:pPr>
        <w:spacing w:before="120" w:after="120"/>
        <w:ind w:left="720"/>
        <w:rPr>
          <w:rFonts w:asciiTheme="majorBidi" w:eastAsia="Times New Roman" w:hAnsiTheme="majorBidi" w:cstheme="majorBidi"/>
          <w:color w:val="000000"/>
          <w:sz w:val="20"/>
          <w:szCs w:val="20"/>
        </w:rPr>
      </w:pPr>
    </w:p>
    <w:p w14:paraId="4FF98156" w14:textId="616053F3" w:rsidR="0037315C" w:rsidRPr="001D1430" w:rsidRDefault="0037315C" w:rsidP="0037315C">
      <w:pPr>
        <w:numPr>
          <w:ilvl w:val="0"/>
          <w:numId w:val="1"/>
        </w:numPr>
        <w:spacing w:before="120" w:after="120"/>
        <w:rPr>
          <w:rFonts w:asciiTheme="majorBidi" w:eastAsia="Times New Roman" w:hAnsiTheme="majorBidi" w:cstheme="majorBidi"/>
          <w:color w:val="000000"/>
          <w:sz w:val="20"/>
          <w:szCs w:val="20"/>
        </w:rPr>
      </w:pPr>
      <w:r w:rsidRPr="0037315C">
        <w:rPr>
          <w:rFonts w:asciiTheme="majorBidi" w:eastAsia="Times New Roman" w:hAnsiTheme="majorBidi" w:cstheme="majorBidi"/>
          <w:b/>
          <w:bCs/>
          <w:color w:val="000000"/>
          <w:sz w:val="20"/>
          <w:szCs w:val="20"/>
        </w:rPr>
        <w:t>Discussion</w:t>
      </w:r>
    </w:p>
    <w:p w14:paraId="6EF6AD3C" w14:textId="77777777" w:rsidR="001D1430" w:rsidRPr="001D1430" w:rsidRDefault="001D1430" w:rsidP="001D1430">
      <w:pPr>
        <w:pStyle w:val="ListParagraph"/>
        <w:rPr>
          <w:rFonts w:ascii="Times New Roman" w:eastAsia="Times New Roman" w:hAnsi="Times New Roman" w:cs="Times New Roman"/>
          <w:color w:val="000000" w:themeColor="text1"/>
          <w:sz w:val="20"/>
          <w:szCs w:val="20"/>
        </w:rPr>
      </w:pPr>
      <w:r w:rsidRPr="001D1430">
        <w:rPr>
          <w:rFonts w:ascii="Times New Roman" w:eastAsia="Times New Roman" w:hAnsi="Times New Roman" w:cs="Times New Roman"/>
          <w:color w:val="000000" w:themeColor="text1"/>
          <w:sz w:val="20"/>
          <w:szCs w:val="20"/>
        </w:rPr>
        <w:t xml:space="preserve">Linear IgA Bullous Dermatosis (LABD) is a rare, sub-epidermal, vesicular bullous disease with an incidence of about 0.5 to 2.2 cases per million individuals per year [1, 2]. LABD occurs in bimodal age distribution, with a drug-induced etiology as a frequent underlying cause [1]. Adult patients typically experience an abrupt onset of skin lesions with a diverse spectrum of clinical presentations including tense bullous lesions, erythematous plaques, string of pearl-like configurations, and target or target-like lesions [5] that generally involve the trunk, extremities, palms, soles, and rarely mucosal areas manifesting within 1 to 15 days of drug initiation [6]. Mucosal lesions usually present as erosions or ulcers with the oral mucosa and peri-orbital area most commonly affected. Atypical features such as large erosions mimicking Toxic Epidermal Necrolysis (as seen in our patient) and positive </w:t>
      </w:r>
      <w:proofErr w:type="spellStart"/>
      <w:r w:rsidRPr="001D1430">
        <w:rPr>
          <w:rFonts w:ascii="Times New Roman" w:eastAsia="Times New Roman" w:hAnsi="Times New Roman" w:cs="Times New Roman"/>
          <w:color w:val="000000" w:themeColor="text1"/>
          <w:sz w:val="20"/>
          <w:szCs w:val="20"/>
        </w:rPr>
        <w:t>Nikolsky’s</w:t>
      </w:r>
      <w:proofErr w:type="spellEnd"/>
      <w:r w:rsidRPr="001D1430">
        <w:rPr>
          <w:rFonts w:ascii="Times New Roman" w:eastAsia="Times New Roman" w:hAnsi="Times New Roman" w:cs="Times New Roman"/>
          <w:color w:val="000000" w:themeColor="text1"/>
          <w:sz w:val="20"/>
          <w:szCs w:val="20"/>
        </w:rPr>
        <w:t xml:space="preserve"> sign were significantly more </w:t>
      </w:r>
      <w:r w:rsidRPr="001D1430">
        <w:rPr>
          <w:rFonts w:ascii="Times New Roman" w:eastAsia="Times New Roman" w:hAnsi="Times New Roman" w:cs="Times New Roman"/>
          <w:color w:val="000000" w:themeColor="text1"/>
          <w:sz w:val="20"/>
          <w:szCs w:val="20"/>
        </w:rPr>
        <w:lastRenderedPageBreak/>
        <w:t>frequent in the drug-induced form compared to the idiopathic form of the disease [15], which should raise index of suspicion and encourage prompt discontinuation of any presumed offending agents.</w:t>
      </w:r>
    </w:p>
    <w:p w14:paraId="2AD1B041" w14:textId="77777777" w:rsidR="001D1430" w:rsidRDefault="001D1430" w:rsidP="001D1430">
      <w:pPr>
        <w:pStyle w:val="ListParagraph"/>
        <w:rPr>
          <w:rFonts w:ascii="Times New Roman" w:eastAsia="Times New Roman" w:hAnsi="Times New Roman" w:cs="Times New Roman"/>
          <w:color w:val="000000" w:themeColor="text1"/>
          <w:sz w:val="20"/>
          <w:szCs w:val="20"/>
        </w:rPr>
      </w:pPr>
    </w:p>
    <w:p w14:paraId="0860B7AF" w14:textId="29FB5AA8" w:rsidR="001D1430" w:rsidRPr="001D1430" w:rsidRDefault="001D1430" w:rsidP="001D1430">
      <w:pPr>
        <w:pStyle w:val="ListParagraph"/>
        <w:rPr>
          <w:rFonts w:ascii="Times New Roman" w:eastAsia="Times New Roman" w:hAnsi="Times New Roman" w:cs="Times New Roman"/>
          <w:color w:val="000000" w:themeColor="text1"/>
          <w:sz w:val="20"/>
          <w:szCs w:val="20"/>
        </w:rPr>
      </w:pPr>
      <w:r w:rsidRPr="001D1430">
        <w:rPr>
          <w:rFonts w:ascii="Times New Roman" w:eastAsia="Times New Roman" w:hAnsi="Times New Roman" w:cs="Times New Roman"/>
          <w:color w:val="000000" w:themeColor="text1"/>
          <w:sz w:val="20"/>
          <w:szCs w:val="20"/>
        </w:rPr>
        <w:t xml:space="preserve">Physical examination might be suggestive of LABD, however formal diagnosis relies on confirmatory physical and histological characteristics demonstrating subepidermal bullae, perivascular inflammation with predominant neutrophils, and linear IgA deposition in the basement membrane [11]. While Vancomycin is one of the most associated drugs [3,4,9], multiple classes of medications including </w:t>
      </w:r>
      <w:proofErr w:type="spellStart"/>
      <w:r w:rsidRPr="001D1430">
        <w:rPr>
          <w:rFonts w:ascii="Times New Roman" w:eastAsia="Times New Roman" w:hAnsi="Times New Roman" w:cs="Times New Roman"/>
          <w:color w:val="000000" w:themeColor="text1"/>
          <w:sz w:val="20"/>
          <w:szCs w:val="20"/>
        </w:rPr>
        <w:t>Penicillins</w:t>
      </w:r>
      <w:proofErr w:type="spellEnd"/>
      <w:r w:rsidRPr="001D1430">
        <w:rPr>
          <w:rFonts w:ascii="Times New Roman" w:eastAsia="Times New Roman" w:hAnsi="Times New Roman" w:cs="Times New Roman"/>
          <w:color w:val="000000" w:themeColor="text1"/>
          <w:sz w:val="20"/>
          <w:szCs w:val="20"/>
        </w:rPr>
        <w:t>, Cephalosporins, Sulfonamides, ACE inhibitors, NSAID's are also common culprits [2]. In the case of Vancomycin, the severity of the reaction does not appear to correlate with serum Vancomycin levels. Although multiple case reports have documented drug exposure as a precipitating factor, further research and studies that aims to understand the mechanism of drug-induced LABD are lacking.</w:t>
      </w:r>
    </w:p>
    <w:p w14:paraId="09BAC58B" w14:textId="77777777" w:rsidR="001D1430" w:rsidRDefault="001D1430" w:rsidP="001D1430">
      <w:pPr>
        <w:pStyle w:val="ListParagraph"/>
        <w:rPr>
          <w:rFonts w:ascii="Times New Roman" w:eastAsia="Times New Roman" w:hAnsi="Times New Roman" w:cs="Times New Roman"/>
          <w:color w:val="000000" w:themeColor="text1"/>
          <w:sz w:val="20"/>
          <w:szCs w:val="20"/>
        </w:rPr>
      </w:pPr>
    </w:p>
    <w:p w14:paraId="017362CF" w14:textId="4963838E" w:rsidR="001D1430" w:rsidRPr="001D1430" w:rsidRDefault="001D1430" w:rsidP="001D1430">
      <w:pPr>
        <w:pStyle w:val="ListParagraph"/>
        <w:rPr>
          <w:rFonts w:ascii="Times New Roman" w:eastAsia="Times New Roman" w:hAnsi="Times New Roman" w:cs="Times New Roman"/>
          <w:color w:val="000000" w:themeColor="text1"/>
          <w:sz w:val="20"/>
          <w:szCs w:val="20"/>
        </w:rPr>
      </w:pPr>
      <w:r w:rsidRPr="001D1430">
        <w:rPr>
          <w:rFonts w:ascii="Times New Roman" w:eastAsia="Times New Roman" w:hAnsi="Times New Roman" w:cs="Times New Roman"/>
          <w:color w:val="000000" w:themeColor="text1"/>
          <w:sz w:val="20"/>
          <w:szCs w:val="20"/>
        </w:rPr>
        <w:t xml:space="preserve">The pathophysiology of LABD is believed to be due to autoimmune production of circulating IgA anti-basement membrane zone antibodies that target 97 </w:t>
      </w:r>
      <w:proofErr w:type="spellStart"/>
      <w:r w:rsidRPr="001D1430">
        <w:rPr>
          <w:rFonts w:ascii="Times New Roman" w:eastAsia="Times New Roman" w:hAnsi="Times New Roman" w:cs="Times New Roman"/>
          <w:color w:val="000000" w:themeColor="text1"/>
          <w:sz w:val="20"/>
          <w:szCs w:val="20"/>
        </w:rPr>
        <w:t>kDa</w:t>
      </w:r>
      <w:proofErr w:type="spellEnd"/>
      <w:r w:rsidRPr="001D1430">
        <w:rPr>
          <w:rFonts w:ascii="Times New Roman" w:eastAsia="Times New Roman" w:hAnsi="Times New Roman" w:cs="Times New Roman"/>
          <w:color w:val="000000" w:themeColor="text1"/>
          <w:sz w:val="20"/>
          <w:szCs w:val="20"/>
        </w:rPr>
        <w:t xml:space="preserve"> antigen and a 120 </w:t>
      </w:r>
      <w:proofErr w:type="spellStart"/>
      <w:r w:rsidRPr="001D1430">
        <w:rPr>
          <w:rFonts w:ascii="Times New Roman" w:eastAsia="Times New Roman" w:hAnsi="Times New Roman" w:cs="Times New Roman"/>
          <w:color w:val="000000" w:themeColor="text1"/>
          <w:sz w:val="20"/>
          <w:szCs w:val="20"/>
        </w:rPr>
        <w:t>kDa</w:t>
      </w:r>
      <w:proofErr w:type="spellEnd"/>
      <w:r w:rsidRPr="001D1430">
        <w:rPr>
          <w:rFonts w:ascii="Times New Roman" w:eastAsia="Times New Roman" w:hAnsi="Times New Roman" w:cs="Times New Roman"/>
          <w:color w:val="000000" w:themeColor="text1"/>
          <w:sz w:val="20"/>
          <w:szCs w:val="20"/>
        </w:rPr>
        <w:t xml:space="preserve"> antigen. Both antigens comprise the extracellular portion of bullous pemphigoid antigen 2 [BP 180/type XVII collagen], which plays a canonical role in the epidermal-dermal adhesion [13]. The cleavage of BP180 antigen results in exposure of neoepitopes on the 15th collagenous domain that react with IgA autoantibodies [16]. In contrast, in Vancomycin-induced LABD, type VII collagen appears to be the target [17], but exact mechanism is yet to be fully understood. Genetic factors appear to play a contributory role with associations with several genetic loci - HLA B8, HLA Cw7, HLA DR3, HLA DQ2 and TNF-2, but the exact role requires further evaluation [14].</w:t>
      </w:r>
    </w:p>
    <w:p w14:paraId="700D3652" w14:textId="77777777" w:rsidR="001D1430" w:rsidRDefault="001D1430" w:rsidP="001D1430">
      <w:pPr>
        <w:pStyle w:val="ListParagraph"/>
        <w:rPr>
          <w:rFonts w:ascii="Times New Roman" w:eastAsia="Times New Roman" w:hAnsi="Times New Roman" w:cs="Times New Roman"/>
          <w:color w:val="000000" w:themeColor="text1"/>
          <w:sz w:val="20"/>
          <w:szCs w:val="20"/>
        </w:rPr>
      </w:pPr>
    </w:p>
    <w:p w14:paraId="42A25573" w14:textId="5D3908A3" w:rsidR="001D1430" w:rsidRPr="001D1430" w:rsidRDefault="001D1430" w:rsidP="001D1430">
      <w:pPr>
        <w:pStyle w:val="ListParagraph"/>
        <w:rPr>
          <w:rFonts w:ascii="Times New Roman" w:eastAsia="Times New Roman" w:hAnsi="Times New Roman" w:cs="Times New Roman"/>
          <w:color w:val="000000" w:themeColor="text1"/>
          <w:sz w:val="20"/>
          <w:szCs w:val="20"/>
        </w:rPr>
      </w:pPr>
      <w:r w:rsidRPr="001D1430">
        <w:rPr>
          <w:rFonts w:ascii="Times New Roman" w:eastAsia="Times New Roman" w:hAnsi="Times New Roman" w:cs="Times New Roman"/>
          <w:color w:val="000000" w:themeColor="text1"/>
          <w:sz w:val="20"/>
          <w:szCs w:val="20"/>
        </w:rPr>
        <w:t xml:space="preserve">The management of LABD focuses primarily on discontinuation of the offending agents with adjunctive use of Dapsone as first line therapy [12]. For severe and refractory cases, immunosuppressants like Dapsone, Sulfonamides [Sulphapyridine and </w:t>
      </w:r>
      <w:proofErr w:type="spellStart"/>
      <w:r w:rsidRPr="001D1430">
        <w:rPr>
          <w:rFonts w:ascii="Times New Roman" w:eastAsia="Times New Roman" w:hAnsi="Times New Roman" w:cs="Times New Roman"/>
          <w:color w:val="000000" w:themeColor="text1"/>
          <w:sz w:val="20"/>
          <w:szCs w:val="20"/>
        </w:rPr>
        <w:t>Sulfamethoxypyridazine</w:t>
      </w:r>
      <w:proofErr w:type="spellEnd"/>
      <w:r w:rsidRPr="001D1430">
        <w:rPr>
          <w:rFonts w:ascii="Times New Roman" w:eastAsia="Times New Roman" w:hAnsi="Times New Roman" w:cs="Times New Roman"/>
          <w:color w:val="000000" w:themeColor="text1"/>
          <w:sz w:val="20"/>
          <w:szCs w:val="20"/>
        </w:rPr>
        <w:t>], Colchicine, and topical or oral Corticosteroids should be considered [13]. The prognosis for patients with Vancomycin-induced LABD is excellent, with prompt improvement without residual skin lesions following recovery [7,8]. Upon Vancomycin re-exposure, a more severe recurrence with a shorter latency period and longer course of recovery has been reported [7].</w:t>
      </w:r>
    </w:p>
    <w:p w14:paraId="360BF456" w14:textId="77777777" w:rsidR="001D1430" w:rsidRDefault="001D1430" w:rsidP="001D1430">
      <w:pPr>
        <w:pStyle w:val="ListParagraph"/>
        <w:rPr>
          <w:rFonts w:ascii="Times New Roman" w:eastAsia="Times New Roman" w:hAnsi="Times New Roman" w:cs="Times New Roman"/>
          <w:color w:val="000000" w:themeColor="text1"/>
          <w:sz w:val="20"/>
          <w:szCs w:val="20"/>
        </w:rPr>
      </w:pPr>
    </w:p>
    <w:p w14:paraId="68B4E3BC" w14:textId="45E9D137" w:rsidR="001D1430" w:rsidRPr="001D1430" w:rsidRDefault="001D1430" w:rsidP="001D1430">
      <w:pPr>
        <w:pStyle w:val="ListParagraph"/>
        <w:rPr>
          <w:rFonts w:ascii="Times New Roman" w:eastAsia="Times New Roman" w:hAnsi="Times New Roman" w:cs="Times New Roman"/>
          <w:color w:val="000000" w:themeColor="text1"/>
          <w:sz w:val="20"/>
          <w:szCs w:val="20"/>
        </w:rPr>
      </w:pPr>
      <w:r w:rsidRPr="001D1430">
        <w:rPr>
          <w:rFonts w:ascii="Times New Roman" w:eastAsia="Times New Roman" w:hAnsi="Times New Roman" w:cs="Times New Roman"/>
          <w:color w:val="000000" w:themeColor="text1"/>
          <w:sz w:val="20"/>
          <w:szCs w:val="20"/>
        </w:rPr>
        <w:t>In this case, the patient was started on Vancomycin and Piperacillin/Tazobactam upon hospital admission, that was later narrowed to Vancomycin. He underwent Stage I hip replacement with placement of prophylactic prosthetic cement spacer containing Vancomycin and Tobramycin. One day after surgical intervention, the patient developed the noted skin findings. While it remains possible that the Vancomycin-infused spacer may have contributed to the patient’s presentation, it is more likely, specifically given the local concentrations of drugs from spacers, that the systemic Vancomycin was sufficient to stimulate an autoimmune response given the noted temporal relationship between drug administration and rash (eight days after admission and starting Vancomycin). Clinical improvement was noted to correlate with Vancomycin discontinuation and initiation of immunosuppressive therapy.</w:t>
      </w:r>
    </w:p>
    <w:p w14:paraId="47816C51" w14:textId="77777777" w:rsidR="001D1430" w:rsidRPr="0037315C" w:rsidRDefault="001D1430" w:rsidP="001D1430">
      <w:pPr>
        <w:spacing w:before="120" w:after="120"/>
        <w:ind w:left="720"/>
        <w:rPr>
          <w:rFonts w:asciiTheme="majorBidi" w:eastAsia="Times New Roman" w:hAnsiTheme="majorBidi" w:cstheme="majorBidi"/>
          <w:color w:val="000000"/>
          <w:sz w:val="20"/>
          <w:szCs w:val="20"/>
        </w:rPr>
      </w:pPr>
    </w:p>
    <w:p w14:paraId="5B089934" w14:textId="7C8C4F9B" w:rsidR="0037315C" w:rsidRPr="0037315C" w:rsidRDefault="0037315C" w:rsidP="001D1430">
      <w:pPr>
        <w:numPr>
          <w:ilvl w:val="0"/>
          <w:numId w:val="1"/>
        </w:numPr>
        <w:spacing w:before="120" w:after="120"/>
        <w:rPr>
          <w:rFonts w:asciiTheme="majorBidi" w:eastAsia="Times New Roman" w:hAnsiTheme="majorBidi" w:cstheme="majorBidi"/>
          <w:color w:val="000000"/>
          <w:sz w:val="20"/>
          <w:szCs w:val="20"/>
        </w:rPr>
      </w:pPr>
      <w:r w:rsidRPr="0037315C">
        <w:rPr>
          <w:rFonts w:asciiTheme="majorBidi" w:eastAsia="Times New Roman" w:hAnsiTheme="majorBidi" w:cstheme="majorBidi"/>
          <w:b/>
          <w:bCs/>
          <w:color w:val="000000"/>
          <w:sz w:val="20"/>
          <w:szCs w:val="20"/>
        </w:rPr>
        <w:t>Patient Perspective</w:t>
      </w:r>
      <w:r w:rsidR="001D1430">
        <w:rPr>
          <w:rFonts w:asciiTheme="majorBidi" w:eastAsia="Times New Roman" w:hAnsiTheme="majorBidi" w:cstheme="majorBidi"/>
          <w:color w:val="000000"/>
          <w:sz w:val="20"/>
          <w:szCs w:val="20"/>
        </w:rPr>
        <w:t xml:space="preserve">: The patient understood the risk and benefits of all therapeutic and diagnostic interventions and was agreeable with the plan. The patient understood his diagnosis, prognosis and the differential diagnosis.  </w:t>
      </w:r>
    </w:p>
    <w:p w14:paraId="73EA57A0" w14:textId="31E19CCC" w:rsidR="0037315C" w:rsidRPr="0037315C" w:rsidRDefault="0037315C" w:rsidP="0037315C">
      <w:pPr>
        <w:numPr>
          <w:ilvl w:val="0"/>
          <w:numId w:val="1"/>
        </w:numPr>
        <w:spacing w:before="120" w:after="120"/>
        <w:rPr>
          <w:rFonts w:asciiTheme="majorBidi" w:eastAsia="Times New Roman" w:hAnsiTheme="majorBidi" w:cstheme="majorBidi"/>
          <w:color w:val="000000"/>
          <w:sz w:val="20"/>
          <w:szCs w:val="20"/>
        </w:rPr>
      </w:pPr>
      <w:r w:rsidRPr="0037315C">
        <w:rPr>
          <w:rFonts w:asciiTheme="majorBidi" w:eastAsia="Times New Roman" w:hAnsiTheme="majorBidi" w:cstheme="majorBidi"/>
          <w:b/>
          <w:bCs/>
          <w:color w:val="000000"/>
          <w:sz w:val="20"/>
          <w:szCs w:val="20"/>
        </w:rPr>
        <w:t>Informed Consent</w:t>
      </w:r>
      <w:r w:rsidR="001D1430">
        <w:rPr>
          <w:rFonts w:asciiTheme="majorBidi" w:eastAsia="Times New Roman" w:hAnsiTheme="majorBidi" w:cstheme="majorBidi"/>
          <w:color w:val="000000"/>
          <w:sz w:val="20"/>
          <w:szCs w:val="20"/>
        </w:rPr>
        <w:t xml:space="preserve">: Verbal and written consent was obtained from the patient. </w:t>
      </w:r>
    </w:p>
    <w:p w14:paraId="59FD5B68" w14:textId="77777777" w:rsidR="0037315C" w:rsidRDefault="0037315C"/>
    <w:sectPr w:rsidR="003731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575B3E"/>
    <w:multiLevelType w:val="multilevel"/>
    <w:tmpl w:val="2BB071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15C"/>
    <w:rsid w:val="001D1430"/>
    <w:rsid w:val="0037315C"/>
    <w:rsid w:val="004F227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453C94E0"/>
  <w15:chartTrackingRefBased/>
  <w15:docId w15:val="{D6E0C961-9E57-0B43-BCA6-BA65843C7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7315C"/>
    <w:rPr>
      <w:b/>
      <w:bCs/>
    </w:rPr>
  </w:style>
  <w:style w:type="paragraph" w:styleId="ListParagraph">
    <w:name w:val="List Paragraph"/>
    <w:basedOn w:val="Normal"/>
    <w:uiPriority w:val="34"/>
    <w:qFormat/>
    <w:rsid w:val="003731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7118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2297</Words>
  <Characters>13097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Malek Bawadekji</dc:creator>
  <cp:keywords/>
  <dc:description/>
  <cp:lastModifiedBy>Malek Bawadekji</cp:lastModifiedBy>
  <cp:revision>1</cp:revision>
  <dcterms:created xsi:type="dcterms:W3CDTF">2021-10-26T14:45:00Z</dcterms:created>
  <dcterms:modified xsi:type="dcterms:W3CDTF">2021-10-26T15:19:00Z</dcterms:modified>
</cp:coreProperties>
</file>