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E1463" w:rsidRPr="007703DC" w:rsidRDefault="008E1463" w:rsidP="007703DC">
      <w:pPr>
        <w:spacing w:after="120" w:line="480" w:lineRule="auto"/>
        <w:rPr>
          <w:rFonts w:ascii="Times New Roman" w:hAnsi="Times New Roman" w:cs="Times New Roman"/>
          <w:b/>
          <w:lang w:val="en-US"/>
        </w:rPr>
      </w:pPr>
      <w:r w:rsidRPr="007703DC">
        <w:rPr>
          <w:rFonts w:ascii="Times New Roman" w:hAnsi="Times New Roman" w:cs="Times New Roman"/>
          <w:b/>
          <w:lang w:val="en-US"/>
        </w:rPr>
        <w:t>Appendix 1. Relationships between the probability of a Crown Burn and stand age</w:t>
      </w:r>
    </w:p>
    <w:p w:rsidR="008E1463" w:rsidRPr="007703DC" w:rsidRDefault="008E1463" w:rsidP="007703DC">
      <w:pPr>
        <w:spacing w:after="120" w:line="480" w:lineRule="auto"/>
        <w:rPr>
          <w:rFonts w:ascii="Times New Roman" w:hAnsi="Times New Roman" w:cs="Times New Roman"/>
        </w:rPr>
      </w:pPr>
      <w:r w:rsidRPr="007703DC">
        <w:rPr>
          <w:rFonts w:ascii="Times New Roman" w:hAnsi="Times New Roman" w:cs="Times New Roman"/>
        </w:rPr>
        <w:t>We quantified the factors affecting the severity of the 2019-2020 fires in Victoria, south-eastern Australia. We constructed logistic regression models of relationships between fire severity (as reflected by</w:t>
      </w:r>
      <w:bookmarkStart w:id="0" w:name="_GoBack"/>
      <w:bookmarkEnd w:id="0"/>
      <w:r w:rsidRPr="007703DC">
        <w:rPr>
          <w:rFonts w:ascii="Times New Roman" w:hAnsi="Times New Roman" w:cs="Times New Roman"/>
        </w:rPr>
        <w:t xml:space="preserve"> the extent of a Crown Burn at </w:t>
      </w:r>
      <w:r w:rsidRPr="007703DC">
        <w:rPr>
          <w:rFonts w:ascii="Times New Roman" w:hAnsi="Times New Roman" w:cs="Times New Roman"/>
          <w:lang w:val="en-US"/>
        </w:rPr>
        <w:t xml:space="preserve">at 33 850 grid points spaced at </w:t>
      </w:r>
      <w:r w:rsidR="006162D5" w:rsidRPr="007703DC">
        <w:rPr>
          <w:rFonts w:ascii="Times New Roman" w:hAnsi="Times New Roman" w:cs="Times New Roman"/>
          <w:lang w:val="en-US"/>
        </w:rPr>
        <w:t>500-met</w:t>
      </w:r>
      <w:r w:rsidR="006162D5">
        <w:rPr>
          <w:rFonts w:ascii="Times New Roman" w:hAnsi="Times New Roman" w:cs="Times New Roman"/>
          <w:lang w:val="en-US"/>
        </w:rPr>
        <w:t>re</w:t>
      </w:r>
      <w:r w:rsidRPr="007703DC">
        <w:rPr>
          <w:rFonts w:ascii="Times New Roman" w:hAnsi="Times New Roman" w:cs="Times New Roman"/>
          <w:lang w:val="en-US"/>
        </w:rPr>
        <w:t xml:space="preserve"> intervals across a </w:t>
      </w:r>
      <w:r w:rsidRPr="007703DC">
        <w:rPr>
          <w:rFonts w:ascii="Times New Roman" w:hAnsi="Times New Roman" w:cs="Times New Roman"/>
          <w:bCs/>
        </w:rPr>
        <w:t xml:space="preserve">988,854ha section of the footprint of the </w:t>
      </w:r>
      <w:r w:rsidRPr="007703DC">
        <w:rPr>
          <w:rFonts w:ascii="Times New Roman" w:hAnsi="Times New Roman" w:cs="Times New Roman"/>
        </w:rPr>
        <w:t xml:space="preserve">2019-2020 </w:t>
      </w:r>
      <w:r w:rsidRPr="007703DC">
        <w:rPr>
          <w:rFonts w:ascii="Times New Roman" w:hAnsi="Times New Roman" w:cs="Times New Roman"/>
          <w:bCs/>
        </w:rPr>
        <w:t>fires,</w:t>
      </w:r>
      <w:r w:rsidRPr="007703DC">
        <w:rPr>
          <w:rFonts w:ascii="Times New Roman" w:hAnsi="Times New Roman" w:cs="Times New Roman"/>
        </w:rPr>
        <w:t xml:space="preserve"> and a suite of key covariates. These included: </w:t>
      </w:r>
      <w:r w:rsidRPr="007703DC">
        <w:rPr>
          <w:rFonts w:ascii="Times New Roman" w:hAnsi="Times New Roman" w:cs="Times New Roman"/>
          <w:b/>
        </w:rPr>
        <w:t>(1)</w:t>
      </w:r>
      <w:r w:rsidRPr="007703DC">
        <w:rPr>
          <w:rFonts w:ascii="Times New Roman" w:hAnsi="Times New Roman" w:cs="Times New Roman"/>
        </w:rPr>
        <w:t xml:space="preserve"> fire weather, </w:t>
      </w:r>
      <w:r w:rsidRPr="007703DC">
        <w:rPr>
          <w:rFonts w:ascii="Times New Roman" w:hAnsi="Times New Roman" w:cs="Times New Roman"/>
          <w:b/>
        </w:rPr>
        <w:t>(2)</w:t>
      </w:r>
      <w:r w:rsidRPr="007703DC">
        <w:rPr>
          <w:rFonts w:ascii="Times New Roman" w:hAnsi="Times New Roman" w:cs="Times New Roman"/>
        </w:rPr>
        <w:t xml:space="preserve"> forest (stand) age, </w:t>
      </w:r>
      <w:r w:rsidRPr="007703DC">
        <w:rPr>
          <w:rFonts w:ascii="Times New Roman" w:hAnsi="Times New Roman" w:cs="Times New Roman"/>
          <w:b/>
        </w:rPr>
        <w:t>(3)</w:t>
      </w:r>
      <w:r w:rsidRPr="007703DC">
        <w:rPr>
          <w:rFonts w:ascii="Times New Roman" w:hAnsi="Times New Roman" w:cs="Times New Roman"/>
        </w:rPr>
        <w:t xml:space="preserve"> forest type, </w:t>
      </w:r>
      <w:r w:rsidRPr="007703DC">
        <w:rPr>
          <w:rFonts w:ascii="Times New Roman" w:hAnsi="Times New Roman" w:cs="Times New Roman"/>
          <w:b/>
        </w:rPr>
        <w:t>(4)</w:t>
      </w:r>
      <w:r w:rsidRPr="007703DC">
        <w:rPr>
          <w:rFonts w:ascii="Times New Roman" w:hAnsi="Times New Roman" w:cs="Times New Roman"/>
        </w:rPr>
        <w:t xml:space="preserve"> slope, and </w:t>
      </w:r>
      <w:r w:rsidRPr="007703DC">
        <w:rPr>
          <w:rFonts w:ascii="Times New Roman" w:hAnsi="Times New Roman" w:cs="Times New Roman"/>
          <w:b/>
        </w:rPr>
        <w:t>(5)</w:t>
      </w:r>
      <w:r w:rsidRPr="007703DC">
        <w:rPr>
          <w:rFonts w:ascii="Times New Roman" w:hAnsi="Times New Roman" w:cs="Times New Roman"/>
        </w:rPr>
        <w:t xml:space="preserve"> aspect. </w:t>
      </w:r>
    </w:p>
    <w:p w:rsidR="008E1463" w:rsidRPr="007703DC" w:rsidRDefault="008E1463" w:rsidP="007703DC">
      <w:pPr>
        <w:spacing w:after="120" w:line="480" w:lineRule="auto"/>
        <w:ind w:firstLine="720"/>
        <w:rPr>
          <w:rFonts w:ascii="Times New Roman" w:hAnsi="Times New Roman" w:cs="Times New Roman"/>
        </w:rPr>
      </w:pPr>
      <w:r w:rsidRPr="007703DC">
        <w:rPr>
          <w:rFonts w:ascii="Times New Roman" w:hAnsi="Times New Roman" w:cs="Times New Roman"/>
        </w:rPr>
        <w:t>From these statistical analyses, the best supported model (as identified using the Widely Applicable Information Criteria [WAIC]</w:t>
      </w:r>
      <w:r w:rsidR="00D94441" w:rsidRPr="007703DC">
        <w:rPr>
          <w:rFonts w:ascii="Times New Roman" w:hAnsi="Times New Roman" w:cs="Times New Roman"/>
        </w:rPr>
        <w:t xml:space="preserve">; </w:t>
      </w:r>
      <w:proofErr w:type="spellStart"/>
      <w:r w:rsidR="00D94441" w:rsidRPr="007703DC">
        <w:rPr>
          <w:rFonts w:ascii="Times New Roman" w:hAnsi="Times New Roman" w:cs="Times New Roman"/>
        </w:rPr>
        <w:t>Vehtari</w:t>
      </w:r>
      <w:proofErr w:type="spellEnd"/>
      <w:r w:rsidR="00D94441" w:rsidRPr="007703DC">
        <w:rPr>
          <w:rFonts w:ascii="Times New Roman" w:hAnsi="Times New Roman" w:cs="Times New Roman"/>
        </w:rPr>
        <w:t xml:space="preserve"> et al. 2017</w:t>
      </w:r>
      <w:r w:rsidRPr="007703DC">
        <w:rPr>
          <w:rFonts w:ascii="Times New Roman" w:hAnsi="Times New Roman" w:cs="Times New Roman"/>
        </w:rPr>
        <w:t xml:space="preserve">) for the probability of a Crown Burn was a three-way interaction between fire weather, forest type, and stand age as well as two-way interactions between: </w:t>
      </w:r>
      <w:r w:rsidRPr="007703DC">
        <w:rPr>
          <w:rFonts w:ascii="Times New Roman" w:hAnsi="Times New Roman" w:cs="Times New Roman"/>
          <w:b/>
        </w:rPr>
        <w:t>(</w:t>
      </w:r>
      <w:proofErr w:type="spellStart"/>
      <w:r w:rsidRPr="007703DC">
        <w:rPr>
          <w:rFonts w:ascii="Times New Roman" w:hAnsi="Times New Roman" w:cs="Times New Roman"/>
          <w:b/>
        </w:rPr>
        <w:t>i</w:t>
      </w:r>
      <w:proofErr w:type="spellEnd"/>
      <w:r w:rsidRPr="007703DC">
        <w:rPr>
          <w:rFonts w:ascii="Times New Roman" w:hAnsi="Times New Roman" w:cs="Times New Roman"/>
          <w:b/>
        </w:rPr>
        <w:t>)</w:t>
      </w:r>
      <w:r w:rsidRPr="007703DC">
        <w:rPr>
          <w:rFonts w:ascii="Times New Roman" w:hAnsi="Times New Roman" w:cs="Times New Roman"/>
        </w:rPr>
        <w:t xml:space="preserve"> fire weather and slope, and </w:t>
      </w:r>
      <w:r w:rsidRPr="007703DC">
        <w:rPr>
          <w:rFonts w:ascii="Times New Roman" w:hAnsi="Times New Roman" w:cs="Times New Roman"/>
          <w:b/>
        </w:rPr>
        <w:t>(ii)</w:t>
      </w:r>
      <w:r w:rsidRPr="007703DC">
        <w:rPr>
          <w:rFonts w:ascii="Times New Roman" w:hAnsi="Times New Roman" w:cs="Times New Roman"/>
        </w:rPr>
        <w:t xml:space="preserve"> fire weather and aspect. These analyses revealed an increase in the probability of Crown Burn in Wet/Damp Forest types under extreme fire weather (fire zone categories 2 and 3 which corresponded to catastrophic fire weather conditions). In addition, stand age-fire severity relationships exhibited non-linear, negative polynomial shape with a peak around 10-40 years; the probability of a Crown Burn was generally low in very old forest (see Figure 2b in the main text). </w:t>
      </w:r>
    </w:p>
    <w:p w:rsidR="008E1463" w:rsidRPr="007703DC" w:rsidRDefault="008E1463" w:rsidP="007703DC">
      <w:pPr>
        <w:spacing w:after="120" w:line="480" w:lineRule="auto"/>
        <w:ind w:firstLine="720"/>
        <w:rPr>
          <w:rFonts w:ascii="Times New Roman" w:hAnsi="Times New Roman" w:cs="Times New Roman"/>
        </w:rPr>
      </w:pPr>
      <w:r w:rsidRPr="007703DC">
        <w:rPr>
          <w:rFonts w:ascii="Times New Roman" w:hAnsi="Times New Roman" w:cs="Times New Roman"/>
        </w:rPr>
        <w:t>A key component of the analysis was an assessment of the magnitude of spatial dependence in the probability of a Crown Burn using a Gaussian Random Field approach implemented in the R-package R-INLA</w:t>
      </w:r>
      <w:r w:rsidR="00D94441" w:rsidRPr="007703DC">
        <w:rPr>
          <w:rFonts w:ascii="Times New Roman" w:hAnsi="Times New Roman" w:cs="Times New Roman"/>
        </w:rPr>
        <w:t xml:space="preserve"> (Rue et al. 2017, </w:t>
      </w:r>
      <w:proofErr w:type="spellStart"/>
      <w:r w:rsidR="00D94441" w:rsidRPr="007703DC">
        <w:rPr>
          <w:rFonts w:ascii="Times New Roman" w:hAnsi="Times New Roman" w:cs="Times New Roman"/>
        </w:rPr>
        <w:t>Bakka</w:t>
      </w:r>
      <w:proofErr w:type="spellEnd"/>
      <w:r w:rsidR="00D94441" w:rsidRPr="007703DC">
        <w:rPr>
          <w:rFonts w:ascii="Times New Roman" w:hAnsi="Times New Roman" w:cs="Times New Roman"/>
        </w:rPr>
        <w:t xml:space="preserve"> et al. 2018)</w:t>
      </w:r>
      <w:r w:rsidRPr="007703DC">
        <w:rPr>
          <w:rFonts w:ascii="Times New Roman" w:hAnsi="Times New Roman" w:cs="Times New Roman"/>
        </w:rPr>
        <w:t xml:space="preserve">. The analysis indicated a very high level of spatial correlation approaching 1 between sites located less than 200 metres apart, declining to 0.25 for sites ~ 11 km apart. </w:t>
      </w:r>
    </w:p>
    <w:p w:rsidR="00D94441" w:rsidRPr="007703DC" w:rsidRDefault="00D94441" w:rsidP="007703DC">
      <w:pPr>
        <w:spacing w:line="480" w:lineRule="auto"/>
        <w:rPr>
          <w:rFonts w:ascii="Times New Roman" w:hAnsi="Times New Roman" w:cs="Times New Roman"/>
          <w:b/>
          <w:u w:val="single"/>
          <w:lang w:val="en-US"/>
        </w:rPr>
      </w:pPr>
      <w:r w:rsidRPr="007703DC">
        <w:rPr>
          <w:rFonts w:ascii="Times New Roman" w:hAnsi="Times New Roman" w:cs="Times New Roman"/>
          <w:b/>
          <w:lang w:val="en-US"/>
        </w:rPr>
        <w:br w:type="page"/>
      </w:r>
    </w:p>
    <w:p w:rsidR="008E1463" w:rsidRPr="007703DC" w:rsidRDefault="008E1463" w:rsidP="007703DC">
      <w:pPr>
        <w:spacing w:after="120" w:line="480" w:lineRule="auto"/>
        <w:rPr>
          <w:rFonts w:ascii="Times New Roman" w:hAnsi="Times New Roman" w:cs="Times New Roman"/>
          <w:b/>
          <w:lang w:val="en-US"/>
        </w:rPr>
      </w:pPr>
      <w:r w:rsidRPr="007703DC">
        <w:rPr>
          <w:rFonts w:ascii="Times New Roman" w:hAnsi="Times New Roman" w:cs="Times New Roman"/>
          <w:b/>
          <w:lang w:val="en-US"/>
        </w:rPr>
        <w:lastRenderedPageBreak/>
        <w:t xml:space="preserve">Appendix 2. </w:t>
      </w:r>
      <w:r w:rsidRPr="007703DC">
        <w:rPr>
          <w:rFonts w:ascii="Times New Roman" w:hAnsi="Times New Roman" w:cs="Times New Roman"/>
          <w:b/>
        </w:rPr>
        <w:t>Theoretical fire interval distributions and production and conservation thresholds.</w:t>
      </w:r>
    </w:p>
    <w:p w:rsidR="008E1463" w:rsidRPr="007703DC" w:rsidRDefault="008E1463" w:rsidP="007703DC">
      <w:pPr>
        <w:spacing w:after="120" w:line="480" w:lineRule="auto"/>
        <w:rPr>
          <w:rFonts w:ascii="Times New Roman" w:hAnsi="Times New Roman" w:cs="Times New Roman"/>
        </w:rPr>
      </w:pPr>
      <w:r w:rsidRPr="007703DC">
        <w:rPr>
          <w:rFonts w:ascii="Times New Roman" w:hAnsi="Times New Roman" w:cs="Times New Roman"/>
        </w:rPr>
        <w:t>A recent study (</w:t>
      </w:r>
      <w:r w:rsidR="00D94441" w:rsidRPr="007703DC">
        <w:rPr>
          <w:rFonts w:ascii="Times New Roman" w:hAnsi="Times New Roman" w:cs="Times New Roman"/>
        </w:rPr>
        <w:t>Blanchard et al. 2021</w:t>
      </w:r>
      <w:r w:rsidRPr="007703DC">
        <w:rPr>
          <w:rFonts w:ascii="Times New Roman" w:hAnsi="Times New Roman" w:cs="Times New Roman"/>
        </w:rPr>
        <w:t xml:space="preserve">) used three mechanistically-diverse, theoretical fire interval distributions for Mountain Ash forest in the recent past and future to estimate the probability of realising: </w:t>
      </w:r>
      <w:r w:rsidRPr="007703DC">
        <w:rPr>
          <w:rFonts w:ascii="Times New Roman" w:hAnsi="Times New Roman" w:cs="Times New Roman"/>
          <w:b/>
        </w:rPr>
        <w:t>(</w:t>
      </w:r>
      <w:proofErr w:type="spellStart"/>
      <w:r w:rsidRPr="007703DC">
        <w:rPr>
          <w:rFonts w:ascii="Times New Roman" w:hAnsi="Times New Roman" w:cs="Times New Roman"/>
          <w:b/>
        </w:rPr>
        <w:t>i</w:t>
      </w:r>
      <w:proofErr w:type="spellEnd"/>
      <w:r w:rsidRPr="007703DC">
        <w:rPr>
          <w:rFonts w:ascii="Times New Roman" w:hAnsi="Times New Roman" w:cs="Times New Roman"/>
          <w:b/>
        </w:rPr>
        <w:t>)</w:t>
      </w:r>
      <w:r w:rsidRPr="007703DC">
        <w:rPr>
          <w:rFonts w:ascii="Times New Roman" w:hAnsi="Times New Roman" w:cs="Times New Roman"/>
        </w:rPr>
        <w:t xml:space="preserve"> minimum sawlog harvesting rotation time (80 years); </w:t>
      </w:r>
      <w:r w:rsidRPr="007703DC">
        <w:rPr>
          <w:rFonts w:ascii="Times New Roman" w:hAnsi="Times New Roman" w:cs="Times New Roman"/>
          <w:b/>
        </w:rPr>
        <w:t>(ii)</w:t>
      </w:r>
      <w:r w:rsidRPr="007703DC">
        <w:rPr>
          <w:rFonts w:ascii="Times New Roman" w:hAnsi="Times New Roman" w:cs="Times New Roman"/>
        </w:rPr>
        <w:t xml:space="preserve"> canopy species maturation (20 years); and </w:t>
      </w:r>
      <w:r w:rsidRPr="007703DC">
        <w:rPr>
          <w:rFonts w:ascii="Times New Roman" w:hAnsi="Times New Roman" w:cs="Times New Roman"/>
          <w:b/>
        </w:rPr>
        <w:t>(iii)</w:t>
      </w:r>
      <w:r w:rsidRPr="007703DC">
        <w:rPr>
          <w:rFonts w:ascii="Times New Roman" w:hAnsi="Times New Roman" w:cs="Times New Roman"/>
        </w:rPr>
        <w:t xml:space="preserve"> adequate habitat hollows for cavity-dependent fauna (180 years) </w:t>
      </w:r>
      <w:r w:rsidRPr="007703DC">
        <w:rPr>
          <w:rFonts w:ascii="Times New Roman" w:hAnsi="Times New Roman" w:cs="Times New Roman"/>
          <w:lang w:val="en-US"/>
        </w:rPr>
        <w:t xml:space="preserve">such as the Critically Endangered Leadbeater’s Possum </w:t>
      </w:r>
      <w:proofErr w:type="spellStart"/>
      <w:r w:rsidRPr="007703DC">
        <w:rPr>
          <w:rFonts w:ascii="Times New Roman" w:hAnsi="Times New Roman" w:cs="Times New Roman"/>
          <w:i/>
          <w:lang w:val="en-US"/>
        </w:rPr>
        <w:t>Gymnobelideus</w:t>
      </w:r>
      <w:proofErr w:type="spellEnd"/>
      <w:r w:rsidRPr="007703DC">
        <w:rPr>
          <w:rFonts w:ascii="Times New Roman" w:hAnsi="Times New Roman" w:cs="Times New Roman"/>
          <w:i/>
          <w:lang w:val="en-US"/>
        </w:rPr>
        <w:t xml:space="preserve"> </w:t>
      </w:r>
      <w:proofErr w:type="spellStart"/>
      <w:r w:rsidRPr="007703DC">
        <w:rPr>
          <w:rFonts w:ascii="Times New Roman" w:hAnsi="Times New Roman" w:cs="Times New Roman"/>
          <w:i/>
          <w:lang w:val="en-US"/>
        </w:rPr>
        <w:t>leadbeateri</w:t>
      </w:r>
      <w:proofErr w:type="spellEnd"/>
      <w:r w:rsidRPr="007703DC">
        <w:rPr>
          <w:rFonts w:ascii="Times New Roman" w:hAnsi="Times New Roman" w:cs="Times New Roman"/>
          <w:lang w:val="en-US"/>
        </w:rPr>
        <w:t xml:space="preserve"> and the vulnerable Greater Glider </w:t>
      </w:r>
      <w:proofErr w:type="spellStart"/>
      <w:r w:rsidRPr="007703DC">
        <w:rPr>
          <w:rFonts w:ascii="Times New Roman" w:hAnsi="Times New Roman" w:cs="Times New Roman"/>
          <w:i/>
          <w:lang w:val="en-US"/>
        </w:rPr>
        <w:t>Petauroides</w:t>
      </w:r>
      <w:proofErr w:type="spellEnd"/>
      <w:r w:rsidRPr="007703DC">
        <w:rPr>
          <w:rFonts w:ascii="Times New Roman" w:hAnsi="Times New Roman" w:cs="Times New Roman"/>
          <w:i/>
          <w:lang w:val="en-US"/>
        </w:rPr>
        <w:t xml:space="preserve"> </w:t>
      </w:r>
      <w:proofErr w:type="spellStart"/>
      <w:r w:rsidRPr="007703DC">
        <w:rPr>
          <w:rFonts w:ascii="Times New Roman" w:hAnsi="Times New Roman" w:cs="Times New Roman"/>
          <w:i/>
          <w:lang w:val="en-US"/>
        </w:rPr>
        <w:t>volans</w:t>
      </w:r>
      <w:proofErr w:type="spellEnd"/>
      <w:r w:rsidRPr="007703DC">
        <w:rPr>
          <w:rFonts w:ascii="Times New Roman" w:hAnsi="Times New Roman" w:cs="Times New Roman"/>
        </w:rPr>
        <w:t xml:space="preserve"> (</w:t>
      </w:r>
      <w:r w:rsidR="00D94441" w:rsidRPr="007703DC">
        <w:rPr>
          <w:rFonts w:ascii="Times New Roman" w:hAnsi="Times New Roman" w:cs="Times New Roman"/>
        </w:rPr>
        <w:t>Lindenmayer et al. 2017)</w:t>
      </w:r>
      <w:r w:rsidRPr="007703DC">
        <w:rPr>
          <w:rFonts w:ascii="Times New Roman" w:hAnsi="Times New Roman" w:cs="Times New Roman"/>
        </w:rPr>
        <w:t xml:space="preserve">. </w:t>
      </w:r>
      <w:r w:rsidRPr="007703DC">
        <w:rPr>
          <w:rFonts w:ascii="Times New Roman" w:hAnsi="Times New Roman" w:cs="Times New Roman"/>
          <w:lang w:val="en-US"/>
        </w:rPr>
        <w:t xml:space="preserve">The three fire regime distributions modeled were exponential, Olsen’s, and moisture and analyses show broadly similar patterns. These hazard functions corresponded to the probability of fire in the landscape (see </w:t>
      </w:r>
      <w:r w:rsidR="00D94441" w:rsidRPr="007703DC">
        <w:rPr>
          <w:rFonts w:ascii="Times New Roman" w:hAnsi="Times New Roman" w:cs="Times New Roman"/>
        </w:rPr>
        <w:t>Blanchard et al. 2021</w:t>
      </w:r>
      <w:r w:rsidRPr="007703DC">
        <w:rPr>
          <w:rFonts w:ascii="Times New Roman" w:hAnsi="Times New Roman" w:cs="Times New Roman"/>
          <w:lang w:val="en-US"/>
        </w:rPr>
        <w:t xml:space="preserve"> for further details).</w:t>
      </w:r>
    </w:p>
    <w:p w:rsidR="008E1463" w:rsidRPr="007703DC" w:rsidRDefault="008E1463" w:rsidP="007703DC">
      <w:pPr>
        <w:spacing w:after="120" w:line="480" w:lineRule="auto"/>
        <w:ind w:firstLine="720"/>
        <w:rPr>
          <w:rFonts w:ascii="Times New Roman" w:hAnsi="Times New Roman" w:cs="Times New Roman"/>
        </w:rPr>
      </w:pPr>
      <w:r w:rsidRPr="007703DC">
        <w:rPr>
          <w:rFonts w:ascii="Times New Roman" w:hAnsi="Times New Roman" w:cs="Times New Roman"/>
        </w:rPr>
        <w:t xml:space="preserve">The likelihood of realising key production and conservation thresholds of fire interval diminish markedly for the future fire regime compared to the recent past. For example, the analyses by </w:t>
      </w:r>
      <w:r w:rsidR="00D94441" w:rsidRPr="007703DC">
        <w:rPr>
          <w:rFonts w:ascii="Times New Roman" w:hAnsi="Times New Roman" w:cs="Times New Roman"/>
        </w:rPr>
        <w:t>(Blanchard et al. 2021)</w:t>
      </w:r>
      <w:r w:rsidRPr="007703DC">
        <w:rPr>
          <w:rFonts w:ascii="Times New Roman" w:hAnsi="Times New Roman" w:cs="Times New Roman"/>
        </w:rPr>
        <w:t xml:space="preserve"> revealed that only one in five future fire intervals will be sufficiently long enough (~80 years) to grow sawlogs in this forest type, and that the probability of forests becoming old growth stands and developing adequate habitat hollows (~180 years) is predicted to be as low as 0.03 (3% of fire intervals) under a future fire regime</w:t>
      </w:r>
      <w:r w:rsidR="00D94441" w:rsidRPr="007703DC">
        <w:rPr>
          <w:rFonts w:ascii="Times New Roman" w:hAnsi="Times New Roman" w:cs="Times New Roman"/>
        </w:rPr>
        <w:t xml:space="preserve"> (Blanchard et al. 2021)</w:t>
      </w:r>
      <w:r w:rsidRPr="007703DC">
        <w:rPr>
          <w:rFonts w:ascii="Times New Roman" w:hAnsi="Times New Roman" w:cs="Times New Roman"/>
        </w:rPr>
        <w:t xml:space="preserve">. </w:t>
      </w:r>
    </w:p>
    <w:p w:rsidR="008E1463" w:rsidRPr="007703DC" w:rsidRDefault="008E1463" w:rsidP="007703DC">
      <w:pPr>
        <w:pStyle w:val="EndNoteBibliography"/>
        <w:spacing w:after="0" w:line="480" w:lineRule="auto"/>
        <w:ind w:left="720" w:hanging="720"/>
        <w:rPr>
          <w:rFonts w:ascii="Times New Roman" w:hAnsi="Times New Roman" w:cs="Times New Roman"/>
        </w:rPr>
      </w:pPr>
      <w:r w:rsidRPr="007703DC">
        <w:rPr>
          <w:rFonts w:ascii="Times New Roman" w:hAnsi="Times New Roman" w:cs="Times New Roman"/>
        </w:rPr>
        <w:t xml:space="preserve"> </w:t>
      </w:r>
    </w:p>
    <w:p w:rsidR="00D94441" w:rsidRPr="007703DC" w:rsidRDefault="00D94441" w:rsidP="007703DC">
      <w:pPr>
        <w:spacing w:after="120" w:line="480" w:lineRule="auto"/>
        <w:rPr>
          <w:rFonts w:ascii="Times New Roman" w:hAnsi="Times New Roman" w:cs="Times New Roman"/>
          <w:b/>
          <w:lang w:val="en-US"/>
        </w:rPr>
      </w:pPr>
    </w:p>
    <w:p w:rsidR="00D94441" w:rsidRDefault="00D94441">
      <w:pPr>
        <w:rPr>
          <w:rFonts w:ascii="Times New Roman" w:hAnsi="Times New Roman" w:cs="Times New Roman"/>
          <w:b/>
          <w:sz w:val="24"/>
          <w:szCs w:val="24"/>
          <w:lang w:val="en-US"/>
        </w:rPr>
      </w:pPr>
      <w:r>
        <w:rPr>
          <w:rFonts w:ascii="Times New Roman" w:hAnsi="Times New Roman" w:cs="Times New Roman"/>
          <w:b/>
          <w:sz w:val="24"/>
          <w:szCs w:val="24"/>
          <w:lang w:val="en-US"/>
        </w:rPr>
        <w:br w:type="page"/>
      </w:r>
    </w:p>
    <w:p w:rsidR="008E1463" w:rsidRPr="007703DC" w:rsidRDefault="008E1463" w:rsidP="007703DC">
      <w:pPr>
        <w:spacing w:after="120" w:line="480" w:lineRule="auto"/>
        <w:rPr>
          <w:rFonts w:ascii="Times New Roman" w:hAnsi="Times New Roman" w:cs="Times New Roman"/>
          <w:b/>
          <w:lang w:val="en-US"/>
        </w:rPr>
      </w:pPr>
      <w:r w:rsidRPr="007703DC">
        <w:rPr>
          <w:rFonts w:ascii="Times New Roman" w:hAnsi="Times New Roman" w:cs="Times New Roman"/>
          <w:b/>
          <w:lang w:val="en-US"/>
        </w:rPr>
        <w:lastRenderedPageBreak/>
        <w:t>Appendix 3 – Recurrent fire impacts in Wet/Damp EVC and montane ash forests in Victoria</w:t>
      </w:r>
    </w:p>
    <w:p w:rsidR="007703DC" w:rsidRDefault="007703DC" w:rsidP="007703DC">
      <w:pPr>
        <w:pBdr>
          <w:top w:val="nil"/>
          <w:left w:val="nil"/>
          <w:bottom w:val="nil"/>
          <w:right w:val="nil"/>
          <w:between w:val="nil"/>
        </w:pBdr>
        <w:spacing w:before="120" w:after="0" w:line="480" w:lineRule="auto"/>
        <w:contextualSpacing/>
        <w:rPr>
          <w:rFonts w:ascii="Times New Roman" w:hAnsi="Times New Roman" w:cs="Times New Roman"/>
          <w:color w:val="000000"/>
        </w:rPr>
      </w:pPr>
    </w:p>
    <w:p w:rsidR="008E1463" w:rsidRPr="007703DC" w:rsidRDefault="008E1463" w:rsidP="007703DC">
      <w:pPr>
        <w:pBdr>
          <w:top w:val="nil"/>
          <w:left w:val="nil"/>
          <w:bottom w:val="nil"/>
          <w:right w:val="nil"/>
          <w:between w:val="nil"/>
        </w:pBdr>
        <w:spacing w:before="120" w:after="0" w:line="480" w:lineRule="auto"/>
        <w:contextualSpacing/>
        <w:rPr>
          <w:rFonts w:ascii="Times New Roman" w:hAnsi="Times New Roman" w:cs="Times New Roman"/>
          <w:color w:val="000000"/>
        </w:rPr>
      </w:pPr>
      <w:r w:rsidRPr="007703DC">
        <w:rPr>
          <w:rFonts w:ascii="Times New Roman" w:hAnsi="Times New Roman" w:cs="Times New Roman"/>
          <w:b/>
          <w:color w:val="000000"/>
        </w:rPr>
        <w:t>Appendix 3. Table 1.</w:t>
      </w:r>
      <w:r w:rsidRPr="007703DC">
        <w:rPr>
          <w:rFonts w:ascii="Times New Roman" w:hAnsi="Times New Roman" w:cs="Times New Roman"/>
          <w:color w:val="000000"/>
        </w:rPr>
        <w:t xml:space="preserve"> Number of fires recorded for montane ash forest (Alpine Ash, Mountain Ash and Shining Gum) for state forests across Eastern Victoria </w:t>
      </w:r>
      <w:r w:rsidRPr="007703DC">
        <w:rPr>
          <w:rFonts w:ascii="Times New Roman" w:hAnsi="Times New Roman" w:cs="Times New Roman"/>
          <w:noProof/>
          <w:color w:val="000000"/>
        </w:rPr>
        <w:t>(Department of Sustainability and Environment 2007</w:t>
      </w:r>
      <w:r w:rsidR="00D94441" w:rsidRPr="007703DC">
        <w:rPr>
          <w:rFonts w:ascii="Times New Roman" w:hAnsi="Times New Roman" w:cs="Times New Roman"/>
          <w:noProof/>
          <w:color w:val="000000"/>
        </w:rPr>
        <w:t xml:space="preserve">, </w:t>
      </w:r>
      <w:r w:rsidRPr="007703DC">
        <w:rPr>
          <w:rFonts w:ascii="Times New Roman" w:hAnsi="Times New Roman" w:cs="Times New Roman"/>
          <w:noProof/>
          <w:color w:val="000000"/>
        </w:rPr>
        <w:t>Department of Environment and Land and Water Planning 2021)</w:t>
      </w:r>
      <w:r w:rsidRPr="007703DC">
        <w:rPr>
          <w:rFonts w:ascii="Times New Roman" w:hAnsi="Times New Roman" w:cs="Times New Roman"/>
          <w:color w:val="000000"/>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40"/>
        <w:gridCol w:w="1320"/>
        <w:gridCol w:w="1380"/>
        <w:gridCol w:w="1320"/>
        <w:gridCol w:w="1320"/>
      </w:tblGrid>
      <w:tr w:rsidR="008E1463" w:rsidRPr="00D94E62" w:rsidTr="00D94441">
        <w:trPr>
          <w:trHeight w:val="1020"/>
        </w:trPr>
        <w:tc>
          <w:tcPr>
            <w:tcW w:w="1940" w:type="dxa"/>
            <w:tcBorders>
              <w:top w:val="single" w:sz="4" w:space="0" w:color="auto"/>
              <w:bottom w:val="single" w:sz="4" w:space="0" w:color="auto"/>
            </w:tcBorders>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color w:val="000000"/>
              </w:rPr>
            </w:pPr>
            <w:r w:rsidRPr="00D94E62">
              <w:rPr>
                <w:rFonts w:ascii="Times New Roman" w:hAnsi="Times New Roman" w:cs="Times New Roman"/>
                <w:color w:val="000000"/>
              </w:rPr>
              <w:t>Number of Fires 1980-2020</w:t>
            </w:r>
          </w:p>
        </w:tc>
        <w:tc>
          <w:tcPr>
            <w:tcW w:w="1320" w:type="dxa"/>
            <w:tcBorders>
              <w:top w:val="single" w:sz="4" w:space="0" w:color="auto"/>
              <w:bottom w:val="single" w:sz="4" w:space="0" w:color="auto"/>
            </w:tcBorders>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color w:val="000000"/>
              </w:rPr>
            </w:pPr>
            <w:r w:rsidRPr="00D94E62">
              <w:rPr>
                <w:rFonts w:ascii="Times New Roman" w:hAnsi="Times New Roman" w:cs="Times New Roman"/>
                <w:color w:val="000000"/>
              </w:rPr>
              <w:t>Alpine Ash</w:t>
            </w:r>
          </w:p>
        </w:tc>
        <w:tc>
          <w:tcPr>
            <w:tcW w:w="1380" w:type="dxa"/>
            <w:tcBorders>
              <w:top w:val="single" w:sz="4" w:space="0" w:color="auto"/>
              <w:bottom w:val="single" w:sz="4" w:space="0" w:color="auto"/>
            </w:tcBorders>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color w:val="000000"/>
              </w:rPr>
            </w:pPr>
            <w:r w:rsidRPr="00D94E62">
              <w:rPr>
                <w:rFonts w:ascii="Times New Roman" w:hAnsi="Times New Roman" w:cs="Times New Roman"/>
                <w:color w:val="000000"/>
              </w:rPr>
              <w:t>Mountain Ash</w:t>
            </w:r>
          </w:p>
        </w:tc>
        <w:tc>
          <w:tcPr>
            <w:tcW w:w="1320" w:type="dxa"/>
            <w:tcBorders>
              <w:top w:val="single" w:sz="4" w:space="0" w:color="auto"/>
              <w:bottom w:val="single" w:sz="4" w:space="0" w:color="auto"/>
            </w:tcBorders>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color w:val="000000"/>
              </w:rPr>
            </w:pPr>
            <w:r w:rsidRPr="00D94E62">
              <w:rPr>
                <w:rFonts w:ascii="Times New Roman" w:hAnsi="Times New Roman" w:cs="Times New Roman"/>
                <w:color w:val="000000"/>
              </w:rPr>
              <w:t>Shining Gums</w:t>
            </w:r>
          </w:p>
        </w:tc>
        <w:tc>
          <w:tcPr>
            <w:tcW w:w="1320" w:type="dxa"/>
            <w:tcBorders>
              <w:top w:val="single" w:sz="4" w:space="0" w:color="auto"/>
              <w:bottom w:val="single" w:sz="4" w:space="0" w:color="auto"/>
            </w:tcBorders>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color w:val="000000"/>
              </w:rPr>
            </w:pPr>
            <w:r w:rsidRPr="00D94E62">
              <w:rPr>
                <w:rFonts w:ascii="Times New Roman" w:hAnsi="Times New Roman" w:cs="Times New Roman"/>
                <w:color w:val="000000"/>
              </w:rPr>
              <w:t>Total Montane Ash (ha)</w:t>
            </w:r>
          </w:p>
        </w:tc>
      </w:tr>
      <w:tr w:rsidR="008E1463" w:rsidRPr="00D94E62" w:rsidTr="00D94441">
        <w:trPr>
          <w:trHeight w:val="320"/>
        </w:trPr>
        <w:tc>
          <w:tcPr>
            <w:tcW w:w="1940" w:type="dxa"/>
            <w:tcBorders>
              <w:top w:val="single" w:sz="4" w:space="0" w:color="auto"/>
            </w:tcBorders>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color w:val="000000"/>
              </w:rPr>
            </w:pPr>
            <w:r w:rsidRPr="00D94E62">
              <w:rPr>
                <w:rFonts w:ascii="Times New Roman" w:hAnsi="Times New Roman" w:cs="Times New Roman"/>
                <w:color w:val="000000"/>
              </w:rPr>
              <w:t>No Fires (ha)</w:t>
            </w:r>
          </w:p>
        </w:tc>
        <w:tc>
          <w:tcPr>
            <w:tcW w:w="1320" w:type="dxa"/>
            <w:tcBorders>
              <w:top w:val="single" w:sz="4" w:space="0" w:color="auto"/>
            </w:tcBorders>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color w:val="000000"/>
              </w:rPr>
            </w:pPr>
            <w:r w:rsidRPr="00D94E62">
              <w:rPr>
                <w:rFonts w:ascii="Times New Roman" w:hAnsi="Times New Roman" w:cs="Times New Roman"/>
                <w:color w:val="000000"/>
              </w:rPr>
              <w:t xml:space="preserve">24,825 </w:t>
            </w:r>
          </w:p>
        </w:tc>
        <w:tc>
          <w:tcPr>
            <w:tcW w:w="1380" w:type="dxa"/>
            <w:tcBorders>
              <w:top w:val="single" w:sz="4" w:space="0" w:color="auto"/>
            </w:tcBorders>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color w:val="000000"/>
              </w:rPr>
            </w:pPr>
            <w:r w:rsidRPr="00D94E62">
              <w:rPr>
                <w:rFonts w:ascii="Times New Roman" w:hAnsi="Times New Roman" w:cs="Times New Roman"/>
                <w:color w:val="000000"/>
              </w:rPr>
              <w:t xml:space="preserve">49,787 </w:t>
            </w:r>
          </w:p>
        </w:tc>
        <w:tc>
          <w:tcPr>
            <w:tcW w:w="1320" w:type="dxa"/>
            <w:tcBorders>
              <w:top w:val="single" w:sz="4" w:space="0" w:color="auto"/>
            </w:tcBorders>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color w:val="000000"/>
              </w:rPr>
            </w:pPr>
            <w:r w:rsidRPr="00D94E62">
              <w:rPr>
                <w:rFonts w:ascii="Times New Roman" w:hAnsi="Times New Roman" w:cs="Times New Roman"/>
                <w:color w:val="000000"/>
              </w:rPr>
              <w:t xml:space="preserve">8,485 </w:t>
            </w:r>
          </w:p>
        </w:tc>
        <w:tc>
          <w:tcPr>
            <w:tcW w:w="1320" w:type="dxa"/>
            <w:tcBorders>
              <w:top w:val="single" w:sz="4" w:space="0" w:color="auto"/>
            </w:tcBorders>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color w:val="000000"/>
              </w:rPr>
            </w:pPr>
            <w:r w:rsidRPr="00D94E62">
              <w:rPr>
                <w:rFonts w:ascii="Times New Roman" w:hAnsi="Times New Roman" w:cs="Times New Roman"/>
                <w:color w:val="000000"/>
              </w:rPr>
              <w:t xml:space="preserve">83,096 </w:t>
            </w:r>
          </w:p>
        </w:tc>
      </w:tr>
      <w:tr w:rsidR="008E1463" w:rsidRPr="00D94E62" w:rsidTr="00D94441">
        <w:trPr>
          <w:trHeight w:val="320"/>
        </w:trPr>
        <w:tc>
          <w:tcPr>
            <w:tcW w:w="1940" w:type="dxa"/>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i/>
                <w:iCs/>
                <w:color w:val="000000"/>
              </w:rPr>
            </w:pPr>
            <w:r w:rsidRPr="00D94E62">
              <w:rPr>
                <w:rFonts w:ascii="Times New Roman" w:hAnsi="Times New Roman" w:cs="Times New Roman"/>
                <w:i/>
                <w:iCs/>
                <w:color w:val="000000"/>
              </w:rPr>
              <w:t>No Fires %</w:t>
            </w:r>
          </w:p>
        </w:tc>
        <w:tc>
          <w:tcPr>
            <w:tcW w:w="1320" w:type="dxa"/>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i/>
                <w:iCs/>
                <w:color w:val="000000"/>
              </w:rPr>
            </w:pPr>
            <w:r w:rsidRPr="00D94E62">
              <w:rPr>
                <w:rFonts w:ascii="Times New Roman" w:hAnsi="Times New Roman" w:cs="Times New Roman"/>
                <w:i/>
                <w:iCs/>
                <w:color w:val="000000"/>
              </w:rPr>
              <w:t>16%</w:t>
            </w:r>
          </w:p>
        </w:tc>
        <w:tc>
          <w:tcPr>
            <w:tcW w:w="1380" w:type="dxa"/>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i/>
                <w:iCs/>
                <w:color w:val="000000"/>
              </w:rPr>
            </w:pPr>
            <w:r w:rsidRPr="00D94E62">
              <w:rPr>
                <w:rFonts w:ascii="Times New Roman" w:hAnsi="Times New Roman" w:cs="Times New Roman"/>
                <w:i/>
                <w:iCs/>
                <w:color w:val="000000"/>
              </w:rPr>
              <w:t>49%</w:t>
            </w:r>
          </w:p>
        </w:tc>
        <w:tc>
          <w:tcPr>
            <w:tcW w:w="1320" w:type="dxa"/>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i/>
                <w:iCs/>
                <w:color w:val="000000"/>
              </w:rPr>
            </w:pPr>
            <w:r w:rsidRPr="00D94E62">
              <w:rPr>
                <w:rFonts w:ascii="Times New Roman" w:hAnsi="Times New Roman" w:cs="Times New Roman"/>
                <w:i/>
                <w:iCs/>
                <w:color w:val="000000"/>
              </w:rPr>
              <w:t>80%</w:t>
            </w:r>
          </w:p>
        </w:tc>
        <w:tc>
          <w:tcPr>
            <w:tcW w:w="1320" w:type="dxa"/>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i/>
                <w:iCs/>
                <w:color w:val="000000"/>
              </w:rPr>
            </w:pPr>
            <w:r w:rsidRPr="00D94E62">
              <w:rPr>
                <w:rFonts w:ascii="Times New Roman" w:hAnsi="Times New Roman" w:cs="Times New Roman"/>
                <w:i/>
                <w:iCs/>
                <w:color w:val="000000"/>
              </w:rPr>
              <w:t>31%</w:t>
            </w:r>
          </w:p>
        </w:tc>
      </w:tr>
      <w:tr w:rsidR="008E1463" w:rsidRPr="00D94E62" w:rsidTr="00D94441">
        <w:trPr>
          <w:trHeight w:val="320"/>
        </w:trPr>
        <w:tc>
          <w:tcPr>
            <w:tcW w:w="1940" w:type="dxa"/>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color w:val="000000"/>
              </w:rPr>
            </w:pPr>
            <w:r w:rsidRPr="00D94E62">
              <w:rPr>
                <w:rFonts w:ascii="Times New Roman" w:hAnsi="Times New Roman" w:cs="Times New Roman"/>
                <w:color w:val="000000"/>
              </w:rPr>
              <w:t>1 Fire (ha)</w:t>
            </w:r>
          </w:p>
        </w:tc>
        <w:tc>
          <w:tcPr>
            <w:tcW w:w="1320" w:type="dxa"/>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color w:val="000000"/>
              </w:rPr>
            </w:pPr>
            <w:r w:rsidRPr="00D94E62">
              <w:rPr>
                <w:rFonts w:ascii="Times New Roman" w:hAnsi="Times New Roman" w:cs="Times New Roman"/>
                <w:color w:val="000000"/>
              </w:rPr>
              <w:t xml:space="preserve">77,528 </w:t>
            </w:r>
          </w:p>
        </w:tc>
        <w:tc>
          <w:tcPr>
            <w:tcW w:w="1380" w:type="dxa"/>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color w:val="000000"/>
              </w:rPr>
            </w:pPr>
            <w:r w:rsidRPr="00D94E62">
              <w:rPr>
                <w:rFonts w:ascii="Times New Roman" w:hAnsi="Times New Roman" w:cs="Times New Roman"/>
                <w:color w:val="000000"/>
              </w:rPr>
              <w:t xml:space="preserve">77,528 </w:t>
            </w:r>
          </w:p>
        </w:tc>
        <w:tc>
          <w:tcPr>
            <w:tcW w:w="1320" w:type="dxa"/>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color w:val="000000"/>
              </w:rPr>
            </w:pPr>
            <w:r w:rsidRPr="00D94E62">
              <w:rPr>
                <w:rFonts w:ascii="Times New Roman" w:hAnsi="Times New Roman" w:cs="Times New Roman"/>
                <w:color w:val="000000"/>
              </w:rPr>
              <w:t xml:space="preserve">1,786 </w:t>
            </w:r>
          </w:p>
        </w:tc>
        <w:tc>
          <w:tcPr>
            <w:tcW w:w="1320" w:type="dxa"/>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color w:val="000000"/>
              </w:rPr>
            </w:pPr>
            <w:r w:rsidRPr="00D94E62">
              <w:rPr>
                <w:rFonts w:ascii="Times New Roman" w:hAnsi="Times New Roman" w:cs="Times New Roman"/>
                <w:color w:val="000000"/>
              </w:rPr>
              <w:t xml:space="preserve">123,811 </w:t>
            </w:r>
          </w:p>
        </w:tc>
      </w:tr>
      <w:tr w:rsidR="008E1463" w:rsidRPr="00D94E62" w:rsidTr="00D94441">
        <w:trPr>
          <w:trHeight w:val="320"/>
        </w:trPr>
        <w:tc>
          <w:tcPr>
            <w:tcW w:w="1940" w:type="dxa"/>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i/>
                <w:iCs/>
                <w:color w:val="000000"/>
              </w:rPr>
            </w:pPr>
            <w:r w:rsidRPr="00D94E62">
              <w:rPr>
                <w:rFonts w:ascii="Times New Roman" w:hAnsi="Times New Roman" w:cs="Times New Roman"/>
                <w:i/>
                <w:iCs/>
                <w:color w:val="000000"/>
              </w:rPr>
              <w:t>1 Fire %</w:t>
            </w:r>
          </w:p>
        </w:tc>
        <w:tc>
          <w:tcPr>
            <w:tcW w:w="1320" w:type="dxa"/>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i/>
                <w:iCs/>
                <w:color w:val="000000"/>
              </w:rPr>
            </w:pPr>
            <w:r w:rsidRPr="00D94E62">
              <w:rPr>
                <w:rFonts w:ascii="Times New Roman" w:hAnsi="Times New Roman" w:cs="Times New Roman"/>
                <w:i/>
                <w:iCs/>
                <w:color w:val="000000"/>
              </w:rPr>
              <w:t>50%</w:t>
            </w:r>
          </w:p>
        </w:tc>
        <w:tc>
          <w:tcPr>
            <w:tcW w:w="1380" w:type="dxa"/>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i/>
                <w:iCs/>
                <w:color w:val="000000"/>
              </w:rPr>
            </w:pPr>
            <w:r w:rsidRPr="00D94E62">
              <w:rPr>
                <w:rFonts w:ascii="Times New Roman" w:hAnsi="Times New Roman" w:cs="Times New Roman"/>
                <w:i/>
                <w:iCs/>
                <w:color w:val="000000"/>
              </w:rPr>
              <w:t>44%</w:t>
            </w:r>
          </w:p>
        </w:tc>
        <w:tc>
          <w:tcPr>
            <w:tcW w:w="1320" w:type="dxa"/>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i/>
                <w:iCs/>
                <w:color w:val="000000"/>
              </w:rPr>
            </w:pPr>
            <w:r w:rsidRPr="00D94E62">
              <w:rPr>
                <w:rFonts w:ascii="Times New Roman" w:hAnsi="Times New Roman" w:cs="Times New Roman"/>
                <w:i/>
                <w:iCs/>
                <w:color w:val="000000"/>
              </w:rPr>
              <w:t>17%</w:t>
            </w:r>
          </w:p>
        </w:tc>
        <w:tc>
          <w:tcPr>
            <w:tcW w:w="1320" w:type="dxa"/>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i/>
                <w:iCs/>
                <w:color w:val="000000"/>
              </w:rPr>
            </w:pPr>
            <w:r w:rsidRPr="00D94E62">
              <w:rPr>
                <w:rFonts w:ascii="Times New Roman" w:hAnsi="Times New Roman" w:cs="Times New Roman"/>
                <w:i/>
                <w:iCs/>
                <w:color w:val="000000"/>
              </w:rPr>
              <w:t>47%</w:t>
            </w:r>
          </w:p>
        </w:tc>
      </w:tr>
      <w:tr w:rsidR="008E1463" w:rsidRPr="00D94E62" w:rsidTr="00D94441">
        <w:trPr>
          <w:trHeight w:val="320"/>
        </w:trPr>
        <w:tc>
          <w:tcPr>
            <w:tcW w:w="1940" w:type="dxa"/>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color w:val="000000"/>
              </w:rPr>
            </w:pPr>
            <w:r w:rsidRPr="00D94E62">
              <w:rPr>
                <w:rFonts w:ascii="Times New Roman" w:hAnsi="Times New Roman" w:cs="Times New Roman"/>
                <w:color w:val="000000"/>
              </w:rPr>
              <w:t>2 Fires (ha)</w:t>
            </w:r>
          </w:p>
        </w:tc>
        <w:tc>
          <w:tcPr>
            <w:tcW w:w="1320" w:type="dxa"/>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color w:val="000000"/>
              </w:rPr>
            </w:pPr>
            <w:r w:rsidRPr="00D94E62">
              <w:rPr>
                <w:rFonts w:ascii="Times New Roman" w:hAnsi="Times New Roman" w:cs="Times New Roman"/>
                <w:color w:val="000000"/>
              </w:rPr>
              <w:t xml:space="preserve">41,357 </w:t>
            </w:r>
          </w:p>
        </w:tc>
        <w:tc>
          <w:tcPr>
            <w:tcW w:w="1380" w:type="dxa"/>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color w:val="000000"/>
              </w:rPr>
            </w:pPr>
            <w:r w:rsidRPr="00D94E62">
              <w:rPr>
                <w:rFonts w:ascii="Times New Roman" w:hAnsi="Times New Roman" w:cs="Times New Roman"/>
                <w:color w:val="000000"/>
              </w:rPr>
              <w:t xml:space="preserve">7,058 </w:t>
            </w:r>
          </w:p>
        </w:tc>
        <w:tc>
          <w:tcPr>
            <w:tcW w:w="1320" w:type="dxa"/>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color w:val="000000"/>
              </w:rPr>
            </w:pPr>
            <w:r w:rsidRPr="00D94E62">
              <w:rPr>
                <w:rFonts w:ascii="Times New Roman" w:hAnsi="Times New Roman" w:cs="Times New Roman"/>
                <w:color w:val="000000"/>
              </w:rPr>
              <w:t xml:space="preserve">354 </w:t>
            </w:r>
          </w:p>
        </w:tc>
        <w:tc>
          <w:tcPr>
            <w:tcW w:w="1320" w:type="dxa"/>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color w:val="000000"/>
              </w:rPr>
            </w:pPr>
            <w:r w:rsidRPr="00D94E62">
              <w:rPr>
                <w:rFonts w:ascii="Times New Roman" w:hAnsi="Times New Roman" w:cs="Times New Roman"/>
                <w:color w:val="000000"/>
              </w:rPr>
              <w:t xml:space="preserve">48,769 </w:t>
            </w:r>
          </w:p>
        </w:tc>
      </w:tr>
      <w:tr w:rsidR="008E1463" w:rsidRPr="00D94E62" w:rsidTr="00D94441">
        <w:trPr>
          <w:trHeight w:val="320"/>
        </w:trPr>
        <w:tc>
          <w:tcPr>
            <w:tcW w:w="1940" w:type="dxa"/>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i/>
                <w:iCs/>
                <w:color w:val="000000"/>
              </w:rPr>
            </w:pPr>
            <w:r w:rsidRPr="00D94E62">
              <w:rPr>
                <w:rFonts w:ascii="Times New Roman" w:hAnsi="Times New Roman" w:cs="Times New Roman"/>
                <w:i/>
                <w:iCs/>
                <w:color w:val="000000"/>
              </w:rPr>
              <w:t>2 Fires %</w:t>
            </w:r>
          </w:p>
        </w:tc>
        <w:tc>
          <w:tcPr>
            <w:tcW w:w="1320" w:type="dxa"/>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i/>
                <w:iCs/>
                <w:color w:val="000000"/>
              </w:rPr>
            </w:pPr>
            <w:r w:rsidRPr="00D94E62">
              <w:rPr>
                <w:rFonts w:ascii="Times New Roman" w:hAnsi="Times New Roman" w:cs="Times New Roman"/>
                <w:i/>
                <w:iCs/>
                <w:color w:val="000000"/>
              </w:rPr>
              <w:t>27%</w:t>
            </w:r>
          </w:p>
        </w:tc>
        <w:tc>
          <w:tcPr>
            <w:tcW w:w="1380" w:type="dxa"/>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i/>
                <w:iCs/>
                <w:color w:val="000000"/>
              </w:rPr>
            </w:pPr>
            <w:r w:rsidRPr="00D94E62">
              <w:rPr>
                <w:rFonts w:ascii="Times New Roman" w:hAnsi="Times New Roman" w:cs="Times New Roman"/>
                <w:i/>
                <w:iCs/>
                <w:color w:val="000000"/>
              </w:rPr>
              <w:t>7%</w:t>
            </w:r>
          </w:p>
        </w:tc>
        <w:tc>
          <w:tcPr>
            <w:tcW w:w="1320" w:type="dxa"/>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i/>
                <w:iCs/>
                <w:color w:val="000000"/>
              </w:rPr>
            </w:pPr>
            <w:r w:rsidRPr="00D94E62">
              <w:rPr>
                <w:rFonts w:ascii="Times New Roman" w:hAnsi="Times New Roman" w:cs="Times New Roman"/>
                <w:i/>
                <w:iCs/>
                <w:color w:val="000000"/>
              </w:rPr>
              <w:t>3%</w:t>
            </w:r>
          </w:p>
        </w:tc>
        <w:tc>
          <w:tcPr>
            <w:tcW w:w="1320" w:type="dxa"/>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i/>
                <w:iCs/>
                <w:color w:val="000000"/>
              </w:rPr>
            </w:pPr>
            <w:r w:rsidRPr="00D94E62">
              <w:rPr>
                <w:rFonts w:ascii="Times New Roman" w:hAnsi="Times New Roman" w:cs="Times New Roman"/>
                <w:i/>
                <w:iCs/>
                <w:color w:val="000000"/>
              </w:rPr>
              <w:t>18%</w:t>
            </w:r>
          </w:p>
        </w:tc>
      </w:tr>
      <w:tr w:rsidR="008E1463" w:rsidRPr="00D94E62" w:rsidTr="00D94441">
        <w:trPr>
          <w:trHeight w:val="320"/>
        </w:trPr>
        <w:tc>
          <w:tcPr>
            <w:tcW w:w="1940" w:type="dxa"/>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color w:val="000000"/>
              </w:rPr>
            </w:pPr>
            <w:r w:rsidRPr="00D94E62">
              <w:rPr>
                <w:rFonts w:ascii="Times New Roman" w:hAnsi="Times New Roman" w:cs="Times New Roman"/>
                <w:color w:val="000000"/>
              </w:rPr>
              <w:t>3 Fires (ha)</w:t>
            </w:r>
          </w:p>
        </w:tc>
        <w:tc>
          <w:tcPr>
            <w:tcW w:w="1320" w:type="dxa"/>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color w:val="000000"/>
              </w:rPr>
            </w:pPr>
            <w:r w:rsidRPr="00D94E62">
              <w:rPr>
                <w:rFonts w:ascii="Times New Roman" w:hAnsi="Times New Roman" w:cs="Times New Roman"/>
                <w:color w:val="000000"/>
              </w:rPr>
              <w:t xml:space="preserve">8,661 </w:t>
            </w:r>
          </w:p>
        </w:tc>
        <w:tc>
          <w:tcPr>
            <w:tcW w:w="1380" w:type="dxa"/>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color w:val="000000"/>
              </w:rPr>
            </w:pPr>
            <w:r w:rsidRPr="00D94E62">
              <w:rPr>
                <w:rFonts w:ascii="Times New Roman" w:hAnsi="Times New Roman" w:cs="Times New Roman"/>
                <w:color w:val="000000"/>
              </w:rPr>
              <w:t xml:space="preserve">115 </w:t>
            </w:r>
          </w:p>
        </w:tc>
        <w:tc>
          <w:tcPr>
            <w:tcW w:w="1320" w:type="dxa"/>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color w:val="000000"/>
              </w:rPr>
            </w:pPr>
            <w:r w:rsidRPr="00D94E62">
              <w:rPr>
                <w:rFonts w:ascii="Times New Roman" w:hAnsi="Times New Roman" w:cs="Times New Roman"/>
                <w:color w:val="000000"/>
              </w:rPr>
              <w:t xml:space="preserve">5 </w:t>
            </w:r>
          </w:p>
        </w:tc>
        <w:tc>
          <w:tcPr>
            <w:tcW w:w="1320" w:type="dxa"/>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color w:val="000000"/>
              </w:rPr>
            </w:pPr>
            <w:r w:rsidRPr="00D94E62">
              <w:rPr>
                <w:rFonts w:ascii="Times New Roman" w:hAnsi="Times New Roman" w:cs="Times New Roman"/>
                <w:color w:val="000000"/>
              </w:rPr>
              <w:t xml:space="preserve">8,782 </w:t>
            </w:r>
          </w:p>
        </w:tc>
      </w:tr>
      <w:tr w:rsidR="008E1463" w:rsidRPr="00D94E62" w:rsidTr="00D94441">
        <w:trPr>
          <w:trHeight w:val="320"/>
        </w:trPr>
        <w:tc>
          <w:tcPr>
            <w:tcW w:w="1940" w:type="dxa"/>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i/>
                <w:iCs/>
                <w:color w:val="000000"/>
              </w:rPr>
            </w:pPr>
            <w:r w:rsidRPr="00D94E62">
              <w:rPr>
                <w:rFonts w:ascii="Times New Roman" w:hAnsi="Times New Roman" w:cs="Times New Roman"/>
                <w:i/>
                <w:iCs/>
                <w:color w:val="000000"/>
              </w:rPr>
              <w:t>3 Fires %</w:t>
            </w:r>
          </w:p>
        </w:tc>
        <w:tc>
          <w:tcPr>
            <w:tcW w:w="1320" w:type="dxa"/>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i/>
                <w:iCs/>
                <w:color w:val="000000"/>
              </w:rPr>
            </w:pPr>
            <w:r w:rsidRPr="00D94E62">
              <w:rPr>
                <w:rFonts w:ascii="Times New Roman" w:hAnsi="Times New Roman" w:cs="Times New Roman"/>
                <w:i/>
                <w:iCs/>
                <w:color w:val="000000"/>
              </w:rPr>
              <w:t>6%</w:t>
            </w:r>
          </w:p>
        </w:tc>
        <w:tc>
          <w:tcPr>
            <w:tcW w:w="1380" w:type="dxa"/>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i/>
                <w:iCs/>
                <w:color w:val="000000"/>
              </w:rPr>
            </w:pPr>
            <w:r w:rsidRPr="00D94E62">
              <w:rPr>
                <w:rFonts w:ascii="Times New Roman" w:hAnsi="Times New Roman" w:cs="Times New Roman"/>
                <w:i/>
                <w:iCs/>
                <w:color w:val="000000"/>
              </w:rPr>
              <w:t>0%</w:t>
            </w:r>
          </w:p>
        </w:tc>
        <w:tc>
          <w:tcPr>
            <w:tcW w:w="1320" w:type="dxa"/>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i/>
                <w:iCs/>
                <w:color w:val="000000"/>
              </w:rPr>
            </w:pPr>
            <w:r w:rsidRPr="00D94E62">
              <w:rPr>
                <w:rFonts w:ascii="Times New Roman" w:hAnsi="Times New Roman" w:cs="Times New Roman"/>
                <w:i/>
                <w:iCs/>
                <w:color w:val="000000"/>
              </w:rPr>
              <w:t>0%</w:t>
            </w:r>
          </w:p>
        </w:tc>
        <w:tc>
          <w:tcPr>
            <w:tcW w:w="1320" w:type="dxa"/>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i/>
                <w:iCs/>
                <w:color w:val="000000"/>
              </w:rPr>
            </w:pPr>
            <w:r w:rsidRPr="00D94E62">
              <w:rPr>
                <w:rFonts w:ascii="Times New Roman" w:hAnsi="Times New Roman" w:cs="Times New Roman"/>
                <w:i/>
                <w:iCs/>
                <w:color w:val="000000"/>
              </w:rPr>
              <w:t>3%</w:t>
            </w:r>
          </w:p>
        </w:tc>
      </w:tr>
      <w:tr w:rsidR="008E1463" w:rsidRPr="00D94E62" w:rsidTr="00D94441">
        <w:trPr>
          <w:trHeight w:val="320"/>
        </w:trPr>
        <w:tc>
          <w:tcPr>
            <w:tcW w:w="1940" w:type="dxa"/>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color w:val="000000"/>
              </w:rPr>
            </w:pPr>
            <w:r w:rsidRPr="00D94E62">
              <w:rPr>
                <w:rFonts w:ascii="Times New Roman" w:hAnsi="Times New Roman" w:cs="Times New Roman"/>
                <w:color w:val="000000"/>
              </w:rPr>
              <w:t>4 Fires (ha)</w:t>
            </w:r>
          </w:p>
        </w:tc>
        <w:tc>
          <w:tcPr>
            <w:tcW w:w="1320" w:type="dxa"/>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color w:val="000000"/>
              </w:rPr>
            </w:pPr>
            <w:r w:rsidRPr="00D94E62">
              <w:rPr>
                <w:rFonts w:ascii="Times New Roman" w:hAnsi="Times New Roman" w:cs="Times New Roman"/>
                <w:color w:val="000000"/>
              </w:rPr>
              <w:t xml:space="preserve">1,652 </w:t>
            </w:r>
          </w:p>
        </w:tc>
        <w:tc>
          <w:tcPr>
            <w:tcW w:w="1380" w:type="dxa"/>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color w:val="000000"/>
              </w:rPr>
            </w:pPr>
            <w:r w:rsidRPr="00D94E62">
              <w:rPr>
                <w:rFonts w:ascii="Times New Roman" w:hAnsi="Times New Roman" w:cs="Times New Roman"/>
                <w:color w:val="000000"/>
              </w:rPr>
              <w:t xml:space="preserve">-   </w:t>
            </w:r>
          </w:p>
        </w:tc>
        <w:tc>
          <w:tcPr>
            <w:tcW w:w="1320" w:type="dxa"/>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color w:val="000000"/>
              </w:rPr>
            </w:pPr>
            <w:r w:rsidRPr="00D94E62">
              <w:rPr>
                <w:rFonts w:ascii="Times New Roman" w:hAnsi="Times New Roman" w:cs="Times New Roman"/>
                <w:color w:val="000000"/>
              </w:rPr>
              <w:t xml:space="preserve">-   </w:t>
            </w:r>
          </w:p>
        </w:tc>
        <w:tc>
          <w:tcPr>
            <w:tcW w:w="1320" w:type="dxa"/>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color w:val="000000"/>
              </w:rPr>
            </w:pPr>
            <w:r w:rsidRPr="00D94E62">
              <w:rPr>
                <w:rFonts w:ascii="Times New Roman" w:hAnsi="Times New Roman" w:cs="Times New Roman"/>
                <w:color w:val="000000"/>
              </w:rPr>
              <w:t xml:space="preserve">1,652 </w:t>
            </w:r>
          </w:p>
        </w:tc>
      </w:tr>
      <w:tr w:rsidR="008E1463" w:rsidRPr="00D94E62" w:rsidTr="00D94441">
        <w:trPr>
          <w:trHeight w:val="320"/>
        </w:trPr>
        <w:tc>
          <w:tcPr>
            <w:tcW w:w="1940" w:type="dxa"/>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i/>
                <w:iCs/>
                <w:color w:val="000000"/>
              </w:rPr>
            </w:pPr>
            <w:r w:rsidRPr="00D94E62">
              <w:rPr>
                <w:rFonts w:ascii="Times New Roman" w:hAnsi="Times New Roman" w:cs="Times New Roman"/>
                <w:i/>
                <w:iCs/>
                <w:color w:val="000000"/>
              </w:rPr>
              <w:t>4 Fires %</w:t>
            </w:r>
          </w:p>
        </w:tc>
        <w:tc>
          <w:tcPr>
            <w:tcW w:w="1320" w:type="dxa"/>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i/>
                <w:iCs/>
                <w:color w:val="000000"/>
              </w:rPr>
            </w:pPr>
            <w:r w:rsidRPr="00D94E62">
              <w:rPr>
                <w:rFonts w:ascii="Times New Roman" w:hAnsi="Times New Roman" w:cs="Times New Roman"/>
                <w:i/>
                <w:iCs/>
                <w:color w:val="000000"/>
              </w:rPr>
              <w:t>1%</w:t>
            </w:r>
          </w:p>
        </w:tc>
        <w:tc>
          <w:tcPr>
            <w:tcW w:w="1380" w:type="dxa"/>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i/>
                <w:iCs/>
                <w:color w:val="000000"/>
              </w:rPr>
            </w:pPr>
            <w:r w:rsidRPr="00D94E62">
              <w:rPr>
                <w:rFonts w:ascii="Times New Roman" w:hAnsi="Times New Roman" w:cs="Times New Roman"/>
                <w:i/>
                <w:iCs/>
                <w:color w:val="000000"/>
              </w:rPr>
              <w:t>0%</w:t>
            </w:r>
          </w:p>
        </w:tc>
        <w:tc>
          <w:tcPr>
            <w:tcW w:w="1320" w:type="dxa"/>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i/>
                <w:iCs/>
                <w:color w:val="000000"/>
              </w:rPr>
            </w:pPr>
            <w:r w:rsidRPr="00D94E62">
              <w:rPr>
                <w:rFonts w:ascii="Times New Roman" w:hAnsi="Times New Roman" w:cs="Times New Roman"/>
                <w:i/>
                <w:iCs/>
                <w:color w:val="000000"/>
              </w:rPr>
              <w:t>0%</w:t>
            </w:r>
          </w:p>
        </w:tc>
        <w:tc>
          <w:tcPr>
            <w:tcW w:w="1320" w:type="dxa"/>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i/>
                <w:iCs/>
                <w:color w:val="000000"/>
              </w:rPr>
            </w:pPr>
            <w:r w:rsidRPr="00D94E62">
              <w:rPr>
                <w:rFonts w:ascii="Times New Roman" w:hAnsi="Times New Roman" w:cs="Times New Roman"/>
                <w:i/>
                <w:iCs/>
                <w:color w:val="000000"/>
              </w:rPr>
              <w:t>1%</w:t>
            </w:r>
          </w:p>
        </w:tc>
      </w:tr>
      <w:tr w:rsidR="008E1463" w:rsidRPr="00D94E62" w:rsidTr="00D94441">
        <w:trPr>
          <w:trHeight w:val="320"/>
        </w:trPr>
        <w:tc>
          <w:tcPr>
            <w:tcW w:w="1940" w:type="dxa"/>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color w:val="000000"/>
              </w:rPr>
            </w:pPr>
            <w:r w:rsidRPr="00D94E62">
              <w:rPr>
                <w:rFonts w:ascii="Times New Roman" w:hAnsi="Times New Roman" w:cs="Times New Roman"/>
                <w:color w:val="000000"/>
              </w:rPr>
              <w:t>5 Fires (ha)</w:t>
            </w:r>
          </w:p>
        </w:tc>
        <w:tc>
          <w:tcPr>
            <w:tcW w:w="1320" w:type="dxa"/>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color w:val="000000"/>
              </w:rPr>
            </w:pPr>
            <w:r w:rsidRPr="00D94E62">
              <w:rPr>
                <w:rFonts w:ascii="Times New Roman" w:hAnsi="Times New Roman" w:cs="Times New Roman"/>
                <w:color w:val="000000"/>
              </w:rPr>
              <w:t xml:space="preserve">32 </w:t>
            </w:r>
          </w:p>
        </w:tc>
        <w:tc>
          <w:tcPr>
            <w:tcW w:w="1380" w:type="dxa"/>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color w:val="000000"/>
              </w:rPr>
            </w:pPr>
            <w:r w:rsidRPr="00D94E62">
              <w:rPr>
                <w:rFonts w:ascii="Times New Roman" w:hAnsi="Times New Roman" w:cs="Times New Roman"/>
                <w:color w:val="000000"/>
              </w:rPr>
              <w:t xml:space="preserve">-   </w:t>
            </w:r>
          </w:p>
        </w:tc>
        <w:tc>
          <w:tcPr>
            <w:tcW w:w="1320" w:type="dxa"/>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color w:val="000000"/>
              </w:rPr>
            </w:pPr>
            <w:r w:rsidRPr="00D94E62">
              <w:rPr>
                <w:rFonts w:ascii="Times New Roman" w:hAnsi="Times New Roman" w:cs="Times New Roman"/>
                <w:color w:val="000000"/>
              </w:rPr>
              <w:t xml:space="preserve">-   </w:t>
            </w:r>
          </w:p>
        </w:tc>
        <w:tc>
          <w:tcPr>
            <w:tcW w:w="1320" w:type="dxa"/>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color w:val="000000"/>
              </w:rPr>
            </w:pPr>
            <w:r w:rsidRPr="00D94E62">
              <w:rPr>
                <w:rFonts w:ascii="Times New Roman" w:hAnsi="Times New Roman" w:cs="Times New Roman"/>
                <w:color w:val="000000"/>
              </w:rPr>
              <w:t xml:space="preserve">32 </w:t>
            </w:r>
          </w:p>
        </w:tc>
      </w:tr>
      <w:tr w:rsidR="008E1463" w:rsidRPr="00D94E62" w:rsidTr="00D94441">
        <w:trPr>
          <w:trHeight w:val="320"/>
        </w:trPr>
        <w:tc>
          <w:tcPr>
            <w:tcW w:w="1940" w:type="dxa"/>
            <w:tcBorders>
              <w:bottom w:val="single" w:sz="4" w:space="0" w:color="auto"/>
            </w:tcBorders>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i/>
                <w:iCs/>
                <w:color w:val="000000"/>
              </w:rPr>
            </w:pPr>
            <w:r w:rsidRPr="00D94E62">
              <w:rPr>
                <w:rFonts w:ascii="Times New Roman" w:hAnsi="Times New Roman" w:cs="Times New Roman"/>
                <w:i/>
                <w:iCs/>
                <w:color w:val="000000"/>
              </w:rPr>
              <w:t>5 Fires %</w:t>
            </w:r>
          </w:p>
        </w:tc>
        <w:tc>
          <w:tcPr>
            <w:tcW w:w="1320" w:type="dxa"/>
            <w:tcBorders>
              <w:bottom w:val="single" w:sz="4" w:space="0" w:color="auto"/>
            </w:tcBorders>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i/>
                <w:iCs/>
                <w:color w:val="000000"/>
              </w:rPr>
            </w:pPr>
            <w:r w:rsidRPr="00D94E62">
              <w:rPr>
                <w:rFonts w:ascii="Times New Roman" w:hAnsi="Times New Roman" w:cs="Times New Roman"/>
                <w:i/>
                <w:iCs/>
                <w:color w:val="000000"/>
              </w:rPr>
              <w:t>0%</w:t>
            </w:r>
          </w:p>
        </w:tc>
        <w:tc>
          <w:tcPr>
            <w:tcW w:w="1380" w:type="dxa"/>
            <w:tcBorders>
              <w:bottom w:val="single" w:sz="4" w:space="0" w:color="auto"/>
            </w:tcBorders>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i/>
                <w:iCs/>
                <w:color w:val="000000"/>
              </w:rPr>
            </w:pPr>
            <w:r w:rsidRPr="00D94E62">
              <w:rPr>
                <w:rFonts w:ascii="Times New Roman" w:hAnsi="Times New Roman" w:cs="Times New Roman"/>
                <w:i/>
                <w:iCs/>
                <w:color w:val="000000"/>
              </w:rPr>
              <w:t>0%</w:t>
            </w:r>
          </w:p>
        </w:tc>
        <w:tc>
          <w:tcPr>
            <w:tcW w:w="1320" w:type="dxa"/>
            <w:tcBorders>
              <w:bottom w:val="single" w:sz="4" w:space="0" w:color="auto"/>
            </w:tcBorders>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i/>
                <w:iCs/>
                <w:color w:val="000000"/>
              </w:rPr>
            </w:pPr>
            <w:r w:rsidRPr="00D94E62">
              <w:rPr>
                <w:rFonts w:ascii="Times New Roman" w:hAnsi="Times New Roman" w:cs="Times New Roman"/>
                <w:i/>
                <w:iCs/>
                <w:color w:val="000000"/>
              </w:rPr>
              <w:t>0%</w:t>
            </w:r>
          </w:p>
        </w:tc>
        <w:tc>
          <w:tcPr>
            <w:tcW w:w="1320" w:type="dxa"/>
            <w:tcBorders>
              <w:bottom w:val="single" w:sz="4" w:space="0" w:color="auto"/>
            </w:tcBorders>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i/>
                <w:iCs/>
                <w:color w:val="000000"/>
              </w:rPr>
            </w:pPr>
            <w:r w:rsidRPr="00D94E62">
              <w:rPr>
                <w:rFonts w:ascii="Times New Roman" w:hAnsi="Times New Roman" w:cs="Times New Roman"/>
                <w:i/>
                <w:iCs/>
                <w:color w:val="000000"/>
              </w:rPr>
              <w:t>0%</w:t>
            </w:r>
          </w:p>
        </w:tc>
      </w:tr>
      <w:tr w:rsidR="008E1463" w:rsidRPr="00D94E62" w:rsidTr="00D94441">
        <w:trPr>
          <w:trHeight w:val="320"/>
        </w:trPr>
        <w:tc>
          <w:tcPr>
            <w:tcW w:w="1940" w:type="dxa"/>
            <w:tcBorders>
              <w:top w:val="single" w:sz="4" w:space="0" w:color="auto"/>
            </w:tcBorders>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color w:val="000000"/>
              </w:rPr>
            </w:pPr>
            <w:r w:rsidRPr="00D94E62">
              <w:rPr>
                <w:rFonts w:ascii="Times New Roman" w:hAnsi="Times New Roman" w:cs="Times New Roman"/>
                <w:color w:val="000000"/>
              </w:rPr>
              <w:t>Total (ha)</w:t>
            </w:r>
          </w:p>
        </w:tc>
        <w:tc>
          <w:tcPr>
            <w:tcW w:w="1320" w:type="dxa"/>
            <w:tcBorders>
              <w:top w:val="single" w:sz="4" w:space="0" w:color="auto"/>
            </w:tcBorders>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color w:val="000000"/>
              </w:rPr>
            </w:pPr>
            <w:r w:rsidRPr="00D94E62">
              <w:rPr>
                <w:rFonts w:ascii="Times New Roman" w:hAnsi="Times New Roman" w:cs="Times New Roman"/>
                <w:color w:val="000000"/>
              </w:rPr>
              <w:t xml:space="preserve">154,055 </w:t>
            </w:r>
          </w:p>
        </w:tc>
        <w:tc>
          <w:tcPr>
            <w:tcW w:w="1380" w:type="dxa"/>
            <w:tcBorders>
              <w:top w:val="single" w:sz="4" w:space="0" w:color="auto"/>
            </w:tcBorders>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color w:val="000000"/>
              </w:rPr>
            </w:pPr>
            <w:r w:rsidRPr="00D94E62">
              <w:rPr>
                <w:rFonts w:ascii="Times New Roman" w:hAnsi="Times New Roman" w:cs="Times New Roman"/>
                <w:color w:val="000000"/>
              </w:rPr>
              <w:t xml:space="preserve">101,457 </w:t>
            </w:r>
          </w:p>
        </w:tc>
        <w:tc>
          <w:tcPr>
            <w:tcW w:w="1320" w:type="dxa"/>
            <w:tcBorders>
              <w:top w:val="single" w:sz="4" w:space="0" w:color="auto"/>
            </w:tcBorders>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color w:val="000000"/>
              </w:rPr>
            </w:pPr>
            <w:r w:rsidRPr="00D94E62">
              <w:rPr>
                <w:rFonts w:ascii="Times New Roman" w:hAnsi="Times New Roman" w:cs="Times New Roman"/>
                <w:color w:val="000000"/>
              </w:rPr>
              <w:t xml:space="preserve">10,630 </w:t>
            </w:r>
          </w:p>
        </w:tc>
        <w:tc>
          <w:tcPr>
            <w:tcW w:w="1320" w:type="dxa"/>
            <w:tcBorders>
              <w:top w:val="single" w:sz="4" w:space="0" w:color="auto"/>
            </w:tcBorders>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color w:val="000000"/>
              </w:rPr>
            </w:pPr>
            <w:r w:rsidRPr="00D94E62">
              <w:rPr>
                <w:rFonts w:ascii="Times New Roman" w:hAnsi="Times New Roman" w:cs="Times New Roman"/>
                <w:color w:val="000000"/>
              </w:rPr>
              <w:t xml:space="preserve">266,142 </w:t>
            </w:r>
          </w:p>
        </w:tc>
      </w:tr>
      <w:tr w:rsidR="008E1463" w:rsidRPr="00D94E62" w:rsidTr="00D94441">
        <w:trPr>
          <w:trHeight w:val="320"/>
        </w:trPr>
        <w:tc>
          <w:tcPr>
            <w:tcW w:w="1940" w:type="dxa"/>
            <w:tcBorders>
              <w:bottom w:val="single" w:sz="4" w:space="0" w:color="auto"/>
            </w:tcBorders>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i/>
                <w:iCs/>
                <w:color w:val="000000"/>
              </w:rPr>
            </w:pPr>
            <w:r w:rsidRPr="00D94E62">
              <w:rPr>
                <w:rFonts w:ascii="Times New Roman" w:hAnsi="Times New Roman" w:cs="Times New Roman"/>
                <w:i/>
                <w:iCs/>
                <w:color w:val="000000"/>
              </w:rPr>
              <w:t>Total %</w:t>
            </w:r>
          </w:p>
        </w:tc>
        <w:tc>
          <w:tcPr>
            <w:tcW w:w="1320" w:type="dxa"/>
            <w:tcBorders>
              <w:bottom w:val="single" w:sz="4" w:space="0" w:color="auto"/>
            </w:tcBorders>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i/>
                <w:iCs/>
                <w:color w:val="000000"/>
              </w:rPr>
            </w:pPr>
            <w:r w:rsidRPr="00D94E62">
              <w:rPr>
                <w:rFonts w:ascii="Times New Roman" w:hAnsi="Times New Roman" w:cs="Times New Roman"/>
                <w:i/>
                <w:iCs/>
                <w:color w:val="000000"/>
              </w:rPr>
              <w:t>100%</w:t>
            </w:r>
          </w:p>
        </w:tc>
        <w:tc>
          <w:tcPr>
            <w:tcW w:w="1380" w:type="dxa"/>
            <w:tcBorders>
              <w:bottom w:val="single" w:sz="4" w:space="0" w:color="auto"/>
            </w:tcBorders>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i/>
                <w:iCs/>
                <w:color w:val="000000"/>
              </w:rPr>
            </w:pPr>
            <w:r w:rsidRPr="00D94E62">
              <w:rPr>
                <w:rFonts w:ascii="Times New Roman" w:hAnsi="Times New Roman" w:cs="Times New Roman"/>
                <w:i/>
                <w:iCs/>
                <w:color w:val="000000"/>
              </w:rPr>
              <w:t>100%</w:t>
            </w:r>
          </w:p>
        </w:tc>
        <w:tc>
          <w:tcPr>
            <w:tcW w:w="1320" w:type="dxa"/>
            <w:tcBorders>
              <w:bottom w:val="single" w:sz="4" w:space="0" w:color="auto"/>
            </w:tcBorders>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i/>
                <w:iCs/>
                <w:color w:val="000000"/>
              </w:rPr>
            </w:pPr>
            <w:r w:rsidRPr="00D94E62">
              <w:rPr>
                <w:rFonts w:ascii="Times New Roman" w:hAnsi="Times New Roman" w:cs="Times New Roman"/>
                <w:i/>
                <w:iCs/>
                <w:color w:val="000000"/>
              </w:rPr>
              <w:t>100%</w:t>
            </w:r>
          </w:p>
        </w:tc>
        <w:tc>
          <w:tcPr>
            <w:tcW w:w="1320" w:type="dxa"/>
            <w:tcBorders>
              <w:bottom w:val="single" w:sz="4" w:space="0" w:color="auto"/>
            </w:tcBorders>
            <w:noWrap/>
            <w:vAlign w:val="center"/>
            <w:hideMark/>
          </w:tcPr>
          <w:p w:rsidR="008E1463" w:rsidRPr="00D94E62" w:rsidRDefault="008E1463" w:rsidP="00D94441">
            <w:pPr>
              <w:pBdr>
                <w:top w:val="nil"/>
                <w:left w:val="nil"/>
                <w:bottom w:val="nil"/>
                <w:right w:val="nil"/>
                <w:between w:val="nil"/>
              </w:pBdr>
              <w:contextualSpacing/>
              <w:rPr>
                <w:rFonts w:ascii="Times New Roman" w:hAnsi="Times New Roman" w:cs="Times New Roman"/>
                <w:i/>
                <w:iCs/>
                <w:color w:val="000000"/>
              </w:rPr>
            </w:pPr>
            <w:r w:rsidRPr="00D94E62">
              <w:rPr>
                <w:rFonts w:ascii="Times New Roman" w:hAnsi="Times New Roman" w:cs="Times New Roman"/>
                <w:i/>
                <w:iCs/>
                <w:color w:val="000000"/>
              </w:rPr>
              <w:t>100%</w:t>
            </w:r>
          </w:p>
        </w:tc>
      </w:tr>
    </w:tbl>
    <w:p w:rsidR="008E1463" w:rsidRPr="00D94E62" w:rsidRDefault="008E1463" w:rsidP="00D94441">
      <w:pPr>
        <w:pBdr>
          <w:top w:val="nil"/>
          <w:left w:val="nil"/>
          <w:bottom w:val="nil"/>
          <w:right w:val="nil"/>
          <w:between w:val="nil"/>
        </w:pBdr>
        <w:spacing w:before="120" w:after="0" w:line="360" w:lineRule="auto"/>
        <w:contextualSpacing/>
        <w:rPr>
          <w:rFonts w:ascii="Times New Roman" w:hAnsi="Times New Roman" w:cs="Times New Roman"/>
          <w:color w:val="000000"/>
        </w:rPr>
      </w:pPr>
    </w:p>
    <w:p w:rsidR="00BA16EE" w:rsidRDefault="00BA16EE">
      <w:pPr>
        <w:rPr>
          <w:rFonts w:ascii="Times New Roman" w:hAnsi="Times New Roman" w:cs="Times New Roman"/>
          <w:color w:val="000000"/>
        </w:rPr>
      </w:pPr>
      <w:r>
        <w:rPr>
          <w:rFonts w:ascii="Times New Roman" w:hAnsi="Times New Roman" w:cs="Times New Roman"/>
          <w:color w:val="000000"/>
        </w:rPr>
        <w:br w:type="page"/>
      </w:r>
    </w:p>
    <w:p w:rsidR="008E1463" w:rsidRPr="00BA16EE" w:rsidRDefault="008E1463" w:rsidP="007703DC">
      <w:pPr>
        <w:pBdr>
          <w:top w:val="nil"/>
          <w:left w:val="nil"/>
          <w:bottom w:val="nil"/>
          <w:right w:val="nil"/>
          <w:between w:val="nil"/>
        </w:pBdr>
        <w:spacing w:before="120" w:after="0" w:line="480" w:lineRule="auto"/>
        <w:contextualSpacing/>
        <w:rPr>
          <w:rFonts w:ascii="Times New Roman" w:hAnsi="Times New Roman" w:cs="Times New Roman"/>
          <w:color w:val="000000"/>
        </w:rPr>
      </w:pPr>
      <w:r w:rsidRPr="007703DC">
        <w:rPr>
          <w:rFonts w:ascii="Times New Roman" w:hAnsi="Times New Roman" w:cs="Times New Roman"/>
          <w:b/>
          <w:color w:val="000000"/>
        </w:rPr>
        <w:lastRenderedPageBreak/>
        <w:t>Appendix 3. Figure 1</w:t>
      </w:r>
      <w:r w:rsidRPr="00BA16EE">
        <w:rPr>
          <w:rFonts w:ascii="Times New Roman" w:hAnsi="Times New Roman" w:cs="Times New Roman"/>
          <w:color w:val="000000"/>
        </w:rPr>
        <w:t xml:space="preserve">. False colour vegetation imagery showing the impacts of three major fires occurring across the Carey River State Forest in 1998, 2007 and 2019. Areas of mapped Alpine Ash forest (hatched) have been burned multiple times (Images generated from Landsat 4-5 TM </w:t>
      </w:r>
      <w:r w:rsidRPr="00BA16EE">
        <w:rPr>
          <w:rFonts w:ascii="Times New Roman" w:hAnsi="Times New Roman" w:cs="Times New Roman"/>
          <w:noProof/>
          <w:color w:val="000000"/>
        </w:rPr>
        <w:t>(Landsat 4-5 TM data 1998</w:t>
      </w:r>
      <w:r w:rsidR="00D94441">
        <w:rPr>
          <w:rFonts w:ascii="Times New Roman" w:hAnsi="Times New Roman" w:cs="Times New Roman"/>
          <w:noProof/>
          <w:color w:val="000000"/>
        </w:rPr>
        <w:t xml:space="preserve">; </w:t>
      </w:r>
      <w:r w:rsidRPr="00BA16EE">
        <w:rPr>
          <w:rFonts w:ascii="Times New Roman" w:hAnsi="Times New Roman" w:cs="Times New Roman"/>
          <w:noProof/>
          <w:color w:val="000000"/>
        </w:rPr>
        <w:t>Landsat 4-5 TM data 2007</w:t>
      </w:r>
      <w:r w:rsidR="00D94441">
        <w:rPr>
          <w:rFonts w:ascii="Times New Roman" w:hAnsi="Times New Roman" w:cs="Times New Roman"/>
          <w:noProof/>
          <w:color w:val="000000"/>
        </w:rPr>
        <w:t xml:space="preserve">; </w:t>
      </w:r>
      <w:r w:rsidRPr="00BA16EE">
        <w:rPr>
          <w:rFonts w:ascii="Times New Roman" w:hAnsi="Times New Roman" w:cs="Times New Roman"/>
          <w:noProof/>
          <w:color w:val="000000"/>
        </w:rPr>
        <w:t>Copernicus Sentinel data 2019)</w:t>
      </w:r>
      <w:r w:rsidRPr="00BA16EE">
        <w:rPr>
          <w:rFonts w:ascii="Times New Roman" w:hAnsi="Times New Roman" w:cs="Times New Roman"/>
          <w:color w:val="000000"/>
        </w:rPr>
        <w:t xml:space="preserve">.  </w:t>
      </w:r>
    </w:p>
    <w:p w:rsidR="008E1463" w:rsidRPr="00D94E62" w:rsidRDefault="008E1463" w:rsidP="00D94441">
      <w:pPr>
        <w:pBdr>
          <w:top w:val="nil"/>
          <w:left w:val="nil"/>
          <w:bottom w:val="nil"/>
          <w:right w:val="nil"/>
          <w:between w:val="nil"/>
        </w:pBdr>
        <w:spacing w:before="120" w:after="0" w:line="360" w:lineRule="auto"/>
        <w:contextualSpacing/>
        <w:rPr>
          <w:rFonts w:ascii="Times New Roman" w:hAnsi="Times New Roman" w:cs="Times New Roman"/>
          <w:color w:val="000000"/>
        </w:rPr>
      </w:pPr>
    </w:p>
    <w:p w:rsidR="008E1463" w:rsidRPr="00D94E62" w:rsidRDefault="008E1463" w:rsidP="00D94441">
      <w:pPr>
        <w:pBdr>
          <w:top w:val="nil"/>
          <w:left w:val="nil"/>
          <w:bottom w:val="nil"/>
          <w:right w:val="nil"/>
          <w:between w:val="nil"/>
        </w:pBdr>
        <w:spacing w:before="120" w:after="0" w:line="360" w:lineRule="auto"/>
        <w:contextualSpacing/>
        <w:rPr>
          <w:rFonts w:ascii="Times New Roman" w:hAnsi="Times New Roman" w:cs="Times New Roman"/>
          <w:color w:val="000000"/>
        </w:rPr>
      </w:pPr>
      <w:r w:rsidRPr="00D94E62">
        <w:rPr>
          <w:rFonts w:ascii="Times New Roman" w:hAnsi="Times New Roman" w:cs="Times New Roman"/>
          <w:noProof/>
          <w:color w:val="000000"/>
          <w:lang w:eastAsia="en-AU"/>
        </w:rPr>
        <w:drawing>
          <wp:inline distT="0" distB="0" distL="0" distR="0" wp14:anchorId="34AFFD4C" wp14:editId="5E95234D">
            <wp:extent cx="3170664" cy="6765011"/>
            <wp:effectExtent l="0" t="0" r="4445" b="4445"/>
            <wp:docPr id="11" name="Picture 11" descr="A map of the area&#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map of the area&#10;&#10;Description automatically generated with low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3192536" cy="6811677"/>
                    </a:xfrm>
                    <a:prstGeom prst="rect">
                      <a:avLst/>
                    </a:prstGeom>
                  </pic:spPr>
                </pic:pic>
              </a:graphicData>
            </a:graphic>
          </wp:inline>
        </w:drawing>
      </w:r>
    </w:p>
    <w:p w:rsidR="008E1463" w:rsidRPr="00D94E62" w:rsidRDefault="008E1463" w:rsidP="00D94441">
      <w:pPr>
        <w:pBdr>
          <w:top w:val="nil"/>
          <w:left w:val="nil"/>
          <w:bottom w:val="nil"/>
          <w:right w:val="nil"/>
          <w:between w:val="nil"/>
        </w:pBdr>
        <w:spacing w:before="120" w:after="0" w:line="360" w:lineRule="auto"/>
        <w:contextualSpacing/>
        <w:rPr>
          <w:rFonts w:ascii="Times New Roman" w:hAnsi="Times New Roman" w:cs="Times New Roman"/>
          <w:color w:val="000000"/>
        </w:rPr>
      </w:pPr>
    </w:p>
    <w:p w:rsidR="00BA16EE" w:rsidRDefault="00BA16EE">
      <w:pPr>
        <w:rPr>
          <w:rFonts w:ascii="Times New Roman" w:hAnsi="Times New Roman" w:cs="Times New Roman"/>
          <w:color w:val="000000"/>
        </w:rPr>
      </w:pPr>
      <w:r>
        <w:rPr>
          <w:rFonts w:ascii="Times New Roman" w:hAnsi="Times New Roman" w:cs="Times New Roman"/>
          <w:color w:val="000000"/>
        </w:rPr>
        <w:br w:type="page"/>
      </w:r>
    </w:p>
    <w:p w:rsidR="008E1463" w:rsidRPr="00BA16EE" w:rsidRDefault="008E1463" w:rsidP="007703DC">
      <w:pPr>
        <w:pBdr>
          <w:top w:val="nil"/>
          <w:left w:val="nil"/>
          <w:bottom w:val="nil"/>
          <w:right w:val="nil"/>
          <w:between w:val="nil"/>
        </w:pBdr>
        <w:spacing w:before="120" w:after="0" w:line="480" w:lineRule="auto"/>
        <w:contextualSpacing/>
        <w:rPr>
          <w:rFonts w:ascii="Times New Roman" w:hAnsi="Times New Roman" w:cs="Times New Roman"/>
          <w:color w:val="000000"/>
        </w:rPr>
      </w:pPr>
      <w:r w:rsidRPr="007703DC">
        <w:rPr>
          <w:rFonts w:ascii="Times New Roman" w:hAnsi="Times New Roman" w:cs="Times New Roman"/>
          <w:b/>
          <w:color w:val="000000"/>
        </w:rPr>
        <w:lastRenderedPageBreak/>
        <w:t>Appendix 3. Figure 2.</w:t>
      </w:r>
      <w:r w:rsidRPr="00BA16EE">
        <w:rPr>
          <w:rFonts w:ascii="Times New Roman" w:hAnsi="Times New Roman" w:cs="Times New Roman"/>
          <w:color w:val="000000"/>
        </w:rPr>
        <w:t xml:space="preserve"> Total number of fires occurring across Alpine Ash forests in the Carey River State Forest between 1980-2020 (fire data derived from Department of Environment and Land and Water Planning 2021). Much of the state forest has been burned three times between 1998 and 2019. Large areas of Alpine Ash forest were also </w:t>
      </w:r>
      <w:proofErr w:type="spellStart"/>
      <w:r w:rsidRPr="00BA16EE">
        <w:rPr>
          <w:rFonts w:ascii="Times New Roman" w:hAnsi="Times New Roman" w:cs="Times New Roman"/>
          <w:color w:val="000000"/>
        </w:rPr>
        <w:t>clearfell</w:t>
      </w:r>
      <w:proofErr w:type="spellEnd"/>
      <w:r w:rsidRPr="00BA16EE">
        <w:rPr>
          <w:rFonts w:ascii="Times New Roman" w:hAnsi="Times New Roman" w:cs="Times New Roman"/>
          <w:color w:val="000000"/>
        </w:rPr>
        <w:t xml:space="preserve"> logged following fires in 1998 and 2007 across this state forest.</w:t>
      </w:r>
    </w:p>
    <w:p w:rsidR="008E1463" w:rsidRPr="00D94E62" w:rsidRDefault="008E1463" w:rsidP="00D94441">
      <w:pPr>
        <w:pBdr>
          <w:top w:val="nil"/>
          <w:left w:val="nil"/>
          <w:bottom w:val="nil"/>
          <w:right w:val="nil"/>
          <w:between w:val="nil"/>
        </w:pBdr>
        <w:spacing w:before="120" w:after="0" w:line="360" w:lineRule="auto"/>
        <w:contextualSpacing/>
        <w:rPr>
          <w:rFonts w:ascii="Times New Roman" w:hAnsi="Times New Roman" w:cs="Times New Roman"/>
          <w:color w:val="000000"/>
        </w:rPr>
      </w:pPr>
    </w:p>
    <w:p w:rsidR="008E1463" w:rsidRPr="00D94E62" w:rsidRDefault="008E1463" w:rsidP="00D94441">
      <w:pPr>
        <w:pBdr>
          <w:top w:val="nil"/>
          <w:left w:val="nil"/>
          <w:bottom w:val="nil"/>
          <w:right w:val="nil"/>
          <w:between w:val="nil"/>
        </w:pBdr>
        <w:spacing w:before="120" w:after="0" w:line="360" w:lineRule="auto"/>
        <w:contextualSpacing/>
        <w:rPr>
          <w:rFonts w:ascii="Times New Roman" w:hAnsi="Times New Roman" w:cs="Times New Roman"/>
          <w:color w:val="000000"/>
        </w:rPr>
      </w:pPr>
      <w:r>
        <w:rPr>
          <w:rFonts w:ascii="Times New Roman" w:hAnsi="Times New Roman" w:cs="Times New Roman"/>
          <w:noProof/>
          <w:color w:val="000000"/>
        </w:rPr>
        <w:drawing>
          <wp:inline distT="0" distB="0" distL="0" distR="0" wp14:anchorId="1A7820E2" wp14:editId="0D9244C3">
            <wp:extent cx="5731510" cy="4055745"/>
            <wp:effectExtent l="0" t="0" r="254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lps Fire FrequencyLR.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4055745"/>
                    </a:xfrm>
                    <a:prstGeom prst="rect">
                      <a:avLst/>
                    </a:prstGeom>
                  </pic:spPr>
                </pic:pic>
              </a:graphicData>
            </a:graphic>
          </wp:inline>
        </w:drawing>
      </w:r>
    </w:p>
    <w:p w:rsidR="00BA16EE" w:rsidRDefault="00BA16EE" w:rsidP="00D94441">
      <w:pPr>
        <w:rPr>
          <w:rFonts w:ascii="Times New Roman" w:hAnsi="Times New Roman" w:cs="Times New Roman"/>
          <w:b/>
          <w:u w:val="single"/>
          <w:lang w:val="en-US"/>
        </w:rPr>
      </w:pPr>
    </w:p>
    <w:p w:rsidR="00BA16EE" w:rsidRDefault="00BA16EE" w:rsidP="00D94441">
      <w:pPr>
        <w:rPr>
          <w:rFonts w:ascii="Times New Roman" w:hAnsi="Times New Roman" w:cs="Times New Roman"/>
          <w:b/>
          <w:u w:val="single"/>
          <w:lang w:val="en-US"/>
        </w:rPr>
      </w:pPr>
    </w:p>
    <w:p w:rsidR="00D94441" w:rsidRDefault="00D94441">
      <w:pPr>
        <w:rPr>
          <w:rFonts w:ascii="Times New Roman" w:hAnsi="Times New Roman" w:cs="Times New Roman"/>
          <w:b/>
          <w:u w:val="single"/>
          <w:lang w:val="en-US"/>
        </w:rPr>
      </w:pPr>
      <w:r>
        <w:rPr>
          <w:rFonts w:ascii="Times New Roman" w:hAnsi="Times New Roman" w:cs="Times New Roman"/>
          <w:b/>
          <w:u w:val="single"/>
          <w:lang w:val="en-US"/>
        </w:rPr>
        <w:br w:type="page"/>
      </w:r>
    </w:p>
    <w:p w:rsidR="008E1463" w:rsidRDefault="008E1463" w:rsidP="007703DC">
      <w:pPr>
        <w:spacing w:after="0"/>
        <w:rPr>
          <w:rFonts w:ascii="Times New Roman" w:hAnsi="Times New Roman" w:cs="Times New Roman"/>
          <w:b/>
          <w:u w:val="single"/>
          <w:lang w:val="en-US"/>
        </w:rPr>
      </w:pPr>
      <w:r w:rsidRPr="007703DC">
        <w:rPr>
          <w:rFonts w:ascii="Times New Roman" w:hAnsi="Times New Roman" w:cs="Times New Roman"/>
          <w:b/>
          <w:u w:val="single"/>
          <w:lang w:val="en-US"/>
        </w:rPr>
        <w:lastRenderedPageBreak/>
        <w:t>References</w:t>
      </w:r>
    </w:p>
    <w:p w:rsidR="007703DC" w:rsidRPr="007703DC" w:rsidRDefault="007703DC" w:rsidP="007703DC">
      <w:pPr>
        <w:spacing w:after="0"/>
        <w:rPr>
          <w:rFonts w:ascii="Times New Roman" w:hAnsi="Times New Roman" w:cs="Times New Roman"/>
          <w:b/>
          <w:u w:val="single"/>
          <w:lang w:val="en-US"/>
        </w:rPr>
      </w:pPr>
    </w:p>
    <w:p w:rsidR="007703DC" w:rsidRDefault="00D94441" w:rsidP="007703DC">
      <w:pPr>
        <w:spacing w:after="0" w:line="360" w:lineRule="auto"/>
        <w:ind w:left="720" w:hanging="720"/>
        <w:rPr>
          <w:rFonts w:ascii="Times New Roman" w:hAnsi="Times New Roman" w:cs="Times New Roman"/>
        </w:rPr>
      </w:pPr>
      <w:proofErr w:type="spellStart"/>
      <w:r w:rsidRPr="007703DC">
        <w:rPr>
          <w:rFonts w:ascii="Times New Roman" w:hAnsi="Times New Roman" w:cs="Times New Roman"/>
        </w:rPr>
        <w:t>Bakka</w:t>
      </w:r>
      <w:proofErr w:type="spellEnd"/>
      <w:r w:rsidRPr="007703DC">
        <w:rPr>
          <w:rFonts w:ascii="Times New Roman" w:hAnsi="Times New Roman" w:cs="Times New Roman"/>
        </w:rPr>
        <w:t xml:space="preserve">, J., H. Rue, G. </w:t>
      </w:r>
      <w:proofErr w:type="spellStart"/>
      <w:r w:rsidRPr="007703DC">
        <w:rPr>
          <w:rFonts w:ascii="Times New Roman" w:hAnsi="Times New Roman" w:cs="Times New Roman"/>
        </w:rPr>
        <w:t>Fuglstad</w:t>
      </w:r>
      <w:proofErr w:type="spellEnd"/>
      <w:r w:rsidRPr="007703DC">
        <w:rPr>
          <w:rFonts w:ascii="Times New Roman" w:hAnsi="Times New Roman" w:cs="Times New Roman"/>
        </w:rPr>
        <w:t xml:space="preserve">, A. </w:t>
      </w:r>
      <w:proofErr w:type="spellStart"/>
      <w:r w:rsidRPr="007703DC">
        <w:rPr>
          <w:rFonts w:ascii="Times New Roman" w:hAnsi="Times New Roman" w:cs="Times New Roman"/>
        </w:rPr>
        <w:t>Riebler</w:t>
      </w:r>
      <w:proofErr w:type="spellEnd"/>
      <w:r w:rsidRPr="007703DC">
        <w:rPr>
          <w:rFonts w:ascii="Times New Roman" w:hAnsi="Times New Roman" w:cs="Times New Roman"/>
        </w:rPr>
        <w:t xml:space="preserve">, D. Bolin, J. </w:t>
      </w:r>
      <w:proofErr w:type="spellStart"/>
      <w:r w:rsidRPr="007703DC">
        <w:rPr>
          <w:rFonts w:ascii="Times New Roman" w:hAnsi="Times New Roman" w:cs="Times New Roman"/>
        </w:rPr>
        <w:t>Illian</w:t>
      </w:r>
      <w:proofErr w:type="spellEnd"/>
      <w:r w:rsidRPr="007703DC">
        <w:rPr>
          <w:rFonts w:ascii="Times New Roman" w:hAnsi="Times New Roman" w:cs="Times New Roman"/>
        </w:rPr>
        <w:t xml:space="preserve">, E. </w:t>
      </w:r>
      <w:proofErr w:type="spellStart"/>
      <w:r w:rsidRPr="007703DC">
        <w:rPr>
          <w:rFonts w:ascii="Times New Roman" w:hAnsi="Times New Roman" w:cs="Times New Roman"/>
        </w:rPr>
        <w:t>Krainski</w:t>
      </w:r>
      <w:proofErr w:type="spellEnd"/>
      <w:r w:rsidRPr="007703DC">
        <w:rPr>
          <w:rFonts w:ascii="Times New Roman" w:hAnsi="Times New Roman" w:cs="Times New Roman"/>
        </w:rPr>
        <w:t xml:space="preserve">, D. Simpson, and F. Lindgren. 2018. Spatial </w:t>
      </w:r>
      <w:proofErr w:type="spellStart"/>
      <w:r w:rsidRPr="007703DC">
        <w:rPr>
          <w:rFonts w:ascii="Times New Roman" w:hAnsi="Times New Roman" w:cs="Times New Roman"/>
        </w:rPr>
        <w:t>modeling</w:t>
      </w:r>
      <w:proofErr w:type="spellEnd"/>
      <w:r w:rsidRPr="007703DC">
        <w:rPr>
          <w:rFonts w:ascii="Times New Roman" w:hAnsi="Times New Roman" w:cs="Times New Roman"/>
        </w:rPr>
        <w:t xml:space="preserve"> with R-INLA: A review. Computational Statistics, </w:t>
      </w:r>
      <w:proofErr w:type="gramStart"/>
      <w:r w:rsidRPr="007703DC">
        <w:rPr>
          <w:rFonts w:ascii="Times New Roman" w:hAnsi="Times New Roman" w:cs="Times New Roman"/>
        </w:rPr>
        <w:t>10:e</w:t>
      </w:r>
      <w:proofErr w:type="gramEnd"/>
      <w:r w:rsidRPr="007703DC">
        <w:rPr>
          <w:rFonts w:ascii="Times New Roman" w:hAnsi="Times New Roman" w:cs="Times New Roman"/>
        </w:rPr>
        <w:t>1443.</w:t>
      </w:r>
    </w:p>
    <w:p w:rsidR="007703DC" w:rsidRDefault="00D94441" w:rsidP="007703DC">
      <w:pPr>
        <w:spacing w:after="0" w:line="360" w:lineRule="auto"/>
        <w:ind w:left="720" w:hanging="720"/>
        <w:rPr>
          <w:rFonts w:ascii="Times New Roman" w:hAnsi="Times New Roman" w:cs="Times New Roman"/>
        </w:rPr>
      </w:pPr>
      <w:r w:rsidRPr="007703DC">
        <w:rPr>
          <w:rFonts w:ascii="Times New Roman" w:hAnsi="Times New Roman" w:cs="Times New Roman"/>
        </w:rPr>
        <w:t xml:space="preserve">Cary G., Blanchard W., Foster C. N., Lindenmayer D. B., Effects of altered fire regimes on critical timber production and conservation rotations. </w:t>
      </w:r>
      <w:r w:rsidRPr="007703DC">
        <w:rPr>
          <w:rFonts w:ascii="Times New Roman" w:hAnsi="Times New Roman" w:cs="Times New Roman"/>
          <w:i/>
        </w:rPr>
        <w:t>International Journal of Wildland Fire</w:t>
      </w:r>
      <w:r w:rsidRPr="007703DC">
        <w:rPr>
          <w:rFonts w:ascii="Times New Roman" w:hAnsi="Times New Roman" w:cs="Times New Roman"/>
        </w:rPr>
        <w:t xml:space="preserve"> </w:t>
      </w:r>
      <w:r w:rsidRPr="007703DC">
        <w:rPr>
          <w:rFonts w:ascii="Times New Roman" w:hAnsi="Times New Roman" w:cs="Times New Roman"/>
          <w:b/>
        </w:rPr>
        <w:t>in press</w:t>
      </w:r>
      <w:r w:rsidRPr="007703DC">
        <w:rPr>
          <w:rFonts w:ascii="Times New Roman" w:hAnsi="Times New Roman" w:cs="Times New Roman"/>
        </w:rPr>
        <w:t xml:space="preserve"> (2021).</w:t>
      </w:r>
    </w:p>
    <w:p w:rsidR="007703DC" w:rsidRDefault="00D94441" w:rsidP="007703DC">
      <w:pPr>
        <w:spacing w:after="0" w:line="360" w:lineRule="auto"/>
        <w:ind w:left="720" w:hanging="720"/>
        <w:rPr>
          <w:rFonts w:ascii="Times New Roman" w:hAnsi="Times New Roman" w:cs="Times New Roman"/>
        </w:rPr>
      </w:pPr>
      <w:r w:rsidRPr="007703DC">
        <w:rPr>
          <w:rFonts w:ascii="Times New Roman" w:hAnsi="Times New Roman" w:cs="Times New Roman"/>
        </w:rPr>
        <w:t>Copernicus Sentinel data. 2019. Copernicus Sentinel data.</w:t>
      </w:r>
    </w:p>
    <w:p w:rsidR="007703DC" w:rsidRDefault="00D94441" w:rsidP="007703DC">
      <w:pPr>
        <w:spacing w:after="0" w:line="360" w:lineRule="auto"/>
        <w:ind w:left="720" w:hanging="720"/>
        <w:rPr>
          <w:rFonts w:ascii="Times New Roman" w:hAnsi="Times New Roman" w:cs="Times New Roman"/>
        </w:rPr>
      </w:pPr>
      <w:r w:rsidRPr="007703DC">
        <w:rPr>
          <w:rFonts w:ascii="Times New Roman" w:hAnsi="Times New Roman" w:cs="Times New Roman"/>
        </w:rPr>
        <w:t>Department of Environment and Land and Water Planning. 2021. Fire History Records of Fires primarily on Public Land showing the fire scars.</w:t>
      </w:r>
    </w:p>
    <w:p w:rsidR="007703DC" w:rsidRDefault="00D94441" w:rsidP="007703DC">
      <w:pPr>
        <w:spacing w:after="0" w:line="360" w:lineRule="auto"/>
        <w:ind w:left="720" w:hanging="720"/>
        <w:rPr>
          <w:rFonts w:ascii="Times New Roman" w:hAnsi="Times New Roman" w:cs="Times New Roman"/>
        </w:rPr>
      </w:pPr>
      <w:r w:rsidRPr="007703DC">
        <w:rPr>
          <w:rFonts w:ascii="Times New Roman" w:hAnsi="Times New Roman" w:cs="Times New Roman"/>
        </w:rPr>
        <w:t xml:space="preserve">Department of Sustainability and Environment. 2007. Victoria's </w:t>
      </w:r>
      <w:proofErr w:type="spellStart"/>
      <w:r w:rsidRPr="007703DC">
        <w:rPr>
          <w:rFonts w:ascii="Times New Roman" w:hAnsi="Times New Roman" w:cs="Times New Roman"/>
        </w:rPr>
        <w:t>statewide</w:t>
      </w:r>
      <w:proofErr w:type="spellEnd"/>
      <w:r w:rsidRPr="007703DC">
        <w:rPr>
          <w:rFonts w:ascii="Times New Roman" w:hAnsi="Times New Roman" w:cs="Times New Roman"/>
        </w:rPr>
        <w:t xml:space="preserve"> forest resource inventory</w:t>
      </w:r>
      <w:r w:rsidR="007703DC">
        <w:rPr>
          <w:rFonts w:ascii="Times New Roman" w:hAnsi="Times New Roman" w:cs="Times New Roman"/>
        </w:rPr>
        <w:t>.</w:t>
      </w:r>
    </w:p>
    <w:p w:rsidR="007703DC" w:rsidRDefault="007703DC" w:rsidP="007703DC">
      <w:pPr>
        <w:spacing w:after="0" w:line="360" w:lineRule="auto"/>
        <w:ind w:left="720" w:hanging="720"/>
        <w:rPr>
          <w:rFonts w:ascii="Times New Roman" w:hAnsi="Times New Roman" w:cs="Times New Roman"/>
        </w:rPr>
      </w:pPr>
      <w:r w:rsidRPr="007703DC">
        <w:rPr>
          <w:rFonts w:ascii="Times New Roman" w:hAnsi="Times New Roman" w:cs="Times New Roman"/>
        </w:rPr>
        <w:t>Landsat 4-5 TM data. 1998. Landsat 4-5 TM data.</w:t>
      </w:r>
    </w:p>
    <w:p w:rsidR="007703DC" w:rsidRDefault="007703DC" w:rsidP="007703DC">
      <w:pPr>
        <w:spacing w:after="0" w:line="360" w:lineRule="auto"/>
        <w:ind w:left="720" w:hanging="720"/>
        <w:rPr>
          <w:rFonts w:ascii="Times New Roman" w:hAnsi="Times New Roman" w:cs="Times New Roman"/>
        </w:rPr>
      </w:pPr>
      <w:r w:rsidRPr="007703DC">
        <w:rPr>
          <w:rFonts w:ascii="Times New Roman" w:hAnsi="Times New Roman" w:cs="Times New Roman"/>
        </w:rPr>
        <w:t>Landsat 4-5 TM data. 2007. Landsat 4-5 TM data.</w:t>
      </w:r>
    </w:p>
    <w:p w:rsidR="007703DC" w:rsidRDefault="00D94441" w:rsidP="007703DC">
      <w:pPr>
        <w:spacing w:after="0" w:line="360" w:lineRule="auto"/>
        <w:ind w:left="720" w:hanging="720"/>
        <w:rPr>
          <w:rFonts w:ascii="Times New Roman" w:hAnsi="Times New Roman" w:cs="Times New Roman"/>
        </w:rPr>
      </w:pPr>
      <w:r w:rsidRPr="007703DC">
        <w:rPr>
          <w:rFonts w:ascii="Times New Roman" w:hAnsi="Times New Roman" w:cs="Times New Roman"/>
        </w:rPr>
        <w:t xml:space="preserve">Lindenmayer D. B., Blanchard W., Blair D., McBurney L., Banks S. C., Relationships between tree size and occupancy by cavity-dependent arboreal marsupials. </w:t>
      </w:r>
      <w:r w:rsidRPr="007703DC">
        <w:rPr>
          <w:rFonts w:ascii="Times New Roman" w:hAnsi="Times New Roman" w:cs="Times New Roman"/>
          <w:i/>
        </w:rPr>
        <w:t>Forest Ecol. Manage.</w:t>
      </w:r>
      <w:r w:rsidRPr="007703DC">
        <w:rPr>
          <w:rFonts w:ascii="Times New Roman" w:hAnsi="Times New Roman" w:cs="Times New Roman"/>
        </w:rPr>
        <w:t xml:space="preserve"> </w:t>
      </w:r>
      <w:r w:rsidRPr="007703DC">
        <w:rPr>
          <w:rFonts w:ascii="Times New Roman" w:hAnsi="Times New Roman" w:cs="Times New Roman"/>
          <w:b/>
        </w:rPr>
        <w:t>391</w:t>
      </w:r>
      <w:r w:rsidRPr="007703DC">
        <w:rPr>
          <w:rFonts w:ascii="Times New Roman" w:hAnsi="Times New Roman" w:cs="Times New Roman"/>
        </w:rPr>
        <w:t>, 221-229 (2017).</w:t>
      </w:r>
    </w:p>
    <w:p w:rsidR="007703DC" w:rsidRDefault="00D94441" w:rsidP="007703DC">
      <w:pPr>
        <w:spacing w:after="0" w:line="360" w:lineRule="auto"/>
        <w:ind w:left="720" w:hanging="720"/>
        <w:rPr>
          <w:rFonts w:ascii="Times New Roman" w:hAnsi="Times New Roman" w:cs="Times New Roman"/>
        </w:rPr>
      </w:pPr>
      <w:r w:rsidRPr="007703DC">
        <w:rPr>
          <w:rFonts w:ascii="Times New Roman" w:hAnsi="Times New Roman" w:cs="Times New Roman"/>
        </w:rPr>
        <w:t xml:space="preserve">Rue, H., </w:t>
      </w:r>
      <w:proofErr w:type="spellStart"/>
      <w:r w:rsidRPr="007703DC">
        <w:rPr>
          <w:rFonts w:ascii="Times New Roman" w:hAnsi="Times New Roman" w:cs="Times New Roman"/>
        </w:rPr>
        <w:t>Riebler</w:t>
      </w:r>
      <w:proofErr w:type="spellEnd"/>
      <w:r w:rsidRPr="007703DC">
        <w:rPr>
          <w:rFonts w:ascii="Times New Roman" w:hAnsi="Times New Roman" w:cs="Times New Roman"/>
        </w:rPr>
        <w:t xml:space="preserve">, A., </w:t>
      </w:r>
      <w:proofErr w:type="spellStart"/>
      <w:r w:rsidRPr="007703DC">
        <w:rPr>
          <w:rFonts w:ascii="Times New Roman" w:hAnsi="Times New Roman" w:cs="Times New Roman"/>
        </w:rPr>
        <w:t>Sørbye</w:t>
      </w:r>
      <w:proofErr w:type="spellEnd"/>
      <w:r w:rsidRPr="007703DC">
        <w:rPr>
          <w:rFonts w:ascii="Times New Roman" w:hAnsi="Times New Roman" w:cs="Times New Roman"/>
        </w:rPr>
        <w:t xml:space="preserve">, S. H., </w:t>
      </w:r>
      <w:proofErr w:type="spellStart"/>
      <w:r w:rsidRPr="007703DC">
        <w:rPr>
          <w:rFonts w:ascii="Times New Roman" w:hAnsi="Times New Roman" w:cs="Times New Roman"/>
        </w:rPr>
        <w:t>Illian</w:t>
      </w:r>
      <w:proofErr w:type="spellEnd"/>
      <w:r w:rsidRPr="007703DC">
        <w:rPr>
          <w:rFonts w:ascii="Times New Roman" w:hAnsi="Times New Roman" w:cs="Times New Roman"/>
        </w:rPr>
        <w:t xml:space="preserve">, J. B. and Simpson, D. </w:t>
      </w:r>
      <w:proofErr w:type="gramStart"/>
      <w:r w:rsidRPr="007703DC">
        <w:rPr>
          <w:rFonts w:ascii="Times New Roman" w:hAnsi="Times New Roman" w:cs="Times New Roman"/>
        </w:rPr>
        <w:t>P..</w:t>
      </w:r>
      <w:proofErr w:type="gramEnd"/>
      <w:r w:rsidRPr="007703DC">
        <w:rPr>
          <w:rFonts w:ascii="Times New Roman" w:hAnsi="Times New Roman" w:cs="Times New Roman"/>
        </w:rPr>
        <w:t xml:space="preserve"> 2017. Bayesian computing with INLA: A review. Annual Reviews of Statistics and Its Applications 4:395-421.</w:t>
      </w:r>
    </w:p>
    <w:p w:rsidR="00D94441" w:rsidRPr="007703DC" w:rsidRDefault="00D94441" w:rsidP="007703DC">
      <w:pPr>
        <w:spacing w:after="0" w:line="360" w:lineRule="auto"/>
        <w:ind w:left="720" w:hanging="720"/>
        <w:rPr>
          <w:rFonts w:ascii="Times New Roman" w:hAnsi="Times New Roman" w:cs="Times New Roman"/>
        </w:rPr>
      </w:pPr>
      <w:proofErr w:type="spellStart"/>
      <w:r w:rsidRPr="007703DC">
        <w:rPr>
          <w:rFonts w:ascii="Times New Roman" w:hAnsi="Times New Roman" w:cs="Times New Roman"/>
        </w:rPr>
        <w:t>Vehtari</w:t>
      </w:r>
      <w:proofErr w:type="spellEnd"/>
      <w:r w:rsidRPr="007703DC">
        <w:rPr>
          <w:rFonts w:ascii="Times New Roman" w:hAnsi="Times New Roman" w:cs="Times New Roman"/>
        </w:rPr>
        <w:t xml:space="preserve">, A., Gelman, A., and Gabry, J. 2017. Practical Bayesian model evaluation using leave-one-out cross-validation and WAIC. Statistics and Computing 27:1413-1432. </w:t>
      </w:r>
    </w:p>
    <w:p w:rsidR="00D94441" w:rsidRDefault="00D94441" w:rsidP="007703DC">
      <w:pPr>
        <w:pStyle w:val="EndNoteBibliography"/>
        <w:spacing w:after="0"/>
        <w:rPr>
          <w:rFonts w:ascii="Times New Roman" w:hAnsi="Times New Roman" w:cs="Times New Roman"/>
          <w:noProof w:val="0"/>
          <w:sz w:val="24"/>
          <w:szCs w:val="24"/>
          <w:lang w:val="en-AU"/>
        </w:rPr>
      </w:pPr>
    </w:p>
    <w:p w:rsidR="008E1463" w:rsidRPr="00D94E62" w:rsidRDefault="008E1463" w:rsidP="00D94441">
      <w:pPr>
        <w:rPr>
          <w:rFonts w:ascii="Times New Roman" w:hAnsi="Times New Roman" w:cs="Times New Roman"/>
          <w:lang w:val="en-US"/>
        </w:rPr>
      </w:pPr>
    </w:p>
    <w:p w:rsidR="008E1463" w:rsidRPr="00DE61B0" w:rsidRDefault="008E1463" w:rsidP="00D94441">
      <w:pPr>
        <w:pStyle w:val="EndNoteBibliography"/>
        <w:ind w:left="720" w:hanging="720"/>
        <w:rPr>
          <w:rFonts w:ascii="Times New Roman" w:hAnsi="Times New Roman" w:cs="Times New Roman"/>
          <w:sz w:val="24"/>
          <w:szCs w:val="24"/>
        </w:rPr>
      </w:pPr>
    </w:p>
    <w:p w:rsidR="00732305" w:rsidRDefault="00732305"/>
    <w:sectPr w:rsidR="00732305" w:rsidSect="00D94441">
      <w:head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94441" w:rsidRDefault="00D94441">
      <w:pPr>
        <w:spacing w:after="0" w:line="240" w:lineRule="auto"/>
      </w:pPr>
      <w:r>
        <w:separator/>
      </w:r>
    </w:p>
  </w:endnote>
  <w:endnote w:type="continuationSeparator" w:id="0">
    <w:p w:rsidR="00D94441" w:rsidRDefault="00D944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94441" w:rsidRDefault="00D94441">
      <w:pPr>
        <w:spacing w:after="0" w:line="240" w:lineRule="auto"/>
      </w:pPr>
      <w:r>
        <w:separator/>
      </w:r>
    </w:p>
  </w:footnote>
  <w:footnote w:type="continuationSeparator" w:id="0">
    <w:p w:rsidR="00D94441" w:rsidRDefault="00D9444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70653383"/>
      <w:docPartObj>
        <w:docPartGallery w:val="Page Numbers (Top of Page)"/>
        <w:docPartUnique/>
      </w:docPartObj>
    </w:sdtPr>
    <w:sdtEndPr>
      <w:rPr>
        <w:noProof/>
      </w:rPr>
    </w:sdtEndPr>
    <w:sdtContent>
      <w:p w:rsidR="00D94441" w:rsidRDefault="00D94441">
        <w:pPr>
          <w:pStyle w:val="Header"/>
          <w:jc w:val="right"/>
        </w:pPr>
        <w:r>
          <w:fldChar w:fldCharType="begin"/>
        </w:r>
        <w:r>
          <w:instrText xml:space="preserve"> PAGE   \* MERGEFORMAT </w:instrText>
        </w:r>
        <w:r>
          <w:fldChar w:fldCharType="separate"/>
        </w:r>
        <w:r>
          <w:rPr>
            <w:noProof/>
          </w:rPr>
          <w:t>1</w:t>
        </w:r>
        <w:r>
          <w:rPr>
            <w:noProof/>
          </w:rPr>
          <w:fldChar w:fldCharType="end"/>
        </w:r>
      </w:p>
    </w:sdtContent>
  </w:sdt>
  <w:p w:rsidR="00D94441" w:rsidRDefault="00D9444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0F1550"/>
    <w:multiLevelType w:val="hybridMultilevel"/>
    <w:tmpl w:val="0656755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2B6D40D6"/>
    <w:multiLevelType w:val="hybridMultilevel"/>
    <w:tmpl w:val="097A04C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2C0F02ED"/>
    <w:multiLevelType w:val="hybridMultilevel"/>
    <w:tmpl w:val="7488E3FA"/>
    <w:lvl w:ilvl="0" w:tplc="9DA67CE6">
      <w:start w:val="1"/>
      <w:numFmt w:val="decimal"/>
      <w:lvlText w:val="%1."/>
      <w:lvlJc w:val="left"/>
      <w:pPr>
        <w:ind w:left="720" w:hanging="360"/>
      </w:pPr>
      <w:rPr>
        <w:rFonts w:ascii="Times New Roman" w:eastAsiaTheme="minorHAnsi" w:hAnsi="Times New Roman" w:cs="Times New Roman"/>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617759F6"/>
    <w:multiLevelType w:val="hybridMultilevel"/>
    <w:tmpl w:val="4A30882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8E1463"/>
    <w:rsid w:val="004F6ADD"/>
    <w:rsid w:val="006162D5"/>
    <w:rsid w:val="007169CE"/>
    <w:rsid w:val="00732305"/>
    <w:rsid w:val="007703DC"/>
    <w:rsid w:val="00843CF5"/>
    <w:rsid w:val="008E1463"/>
    <w:rsid w:val="00905D87"/>
    <w:rsid w:val="00BA16EE"/>
    <w:rsid w:val="00D9444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F7A65A"/>
  <w15:chartTrackingRefBased/>
  <w15:docId w15:val="{B0545883-C69C-4B91-9B1B-4D08CADA09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E146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E1463"/>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1463"/>
  </w:style>
  <w:style w:type="character" w:styleId="LineNumber">
    <w:name w:val="line number"/>
    <w:basedOn w:val="DefaultParagraphFont"/>
    <w:uiPriority w:val="99"/>
    <w:semiHidden/>
    <w:unhideWhenUsed/>
    <w:rsid w:val="008E1463"/>
  </w:style>
  <w:style w:type="paragraph" w:customStyle="1" w:styleId="EndNoteBibliography">
    <w:name w:val="EndNote Bibliography"/>
    <w:basedOn w:val="Normal"/>
    <w:link w:val="EndNoteBibliographyChar"/>
    <w:rsid w:val="008E1463"/>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8E1463"/>
    <w:rPr>
      <w:rFonts w:ascii="Calibri" w:hAnsi="Calibri" w:cs="Calibri"/>
      <w:noProof/>
      <w:lang w:val="en-US"/>
    </w:rPr>
  </w:style>
  <w:style w:type="paragraph" w:styleId="ListParagraph">
    <w:name w:val="List Paragraph"/>
    <w:basedOn w:val="Normal"/>
    <w:uiPriority w:val="34"/>
    <w:qFormat/>
    <w:rsid w:val="008E1463"/>
    <w:pPr>
      <w:ind w:left="720"/>
      <w:contextualSpacing/>
    </w:pPr>
  </w:style>
  <w:style w:type="table" w:styleId="TableGrid">
    <w:name w:val="Table Grid"/>
    <w:basedOn w:val="TableNormal"/>
    <w:uiPriority w:val="39"/>
    <w:rsid w:val="008E14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0747C5-88B8-4AAD-AA87-B2ED97BBCC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76</TotalTime>
  <Pages>6</Pages>
  <Words>943</Words>
  <Characters>5376</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Tabitha Boyer</dc:creator>
  <cp:keywords/>
  <dc:description/>
  <cp:lastModifiedBy>Jessica Williams</cp:lastModifiedBy>
  <cp:revision>4</cp:revision>
  <dcterms:created xsi:type="dcterms:W3CDTF">2021-03-02T00:32:00Z</dcterms:created>
  <dcterms:modified xsi:type="dcterms:W3CDTF">2021-05-24T05:01:00Z</dcterms:modified>
</cp:coreProperties>
</file>