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032362" w14:textId="24184E74" w:rsidR="00F5299B" w:rsidRPr="00172AB9" w:rsidRDefault="00334823" w:rsidP="00F5299B">
      <w:pPr>
        <w:rPr>
          <w:rFonts w:cs="Arial"/>
          <w:b/>
          <w:bCs/>
          <w:sz w:val="32"/>
          <w:szCs w:val="40"/>
        </w:rPr>
      </w:pPr>
      <w:r>
        <w:rPr>
          <w:rFonts w:cs="Arial"/>
          <w:b/>
          <w:bCs/>
          <w:sz w:val="28"/>
          <w:szCs w:val="36"/>
        </w:rPr>
        <w:t xml:space="preserve">Extended Data </w:t>
      </w:r>
      <w:r w:rsidR="006941F0">
        <w:rPr>
          <w:rFonts w:cs="Arial"/>
          <w:b/>
          <w:bCs/>
          <w:sz w:val="28"/>
          <w:szCs w:val="36"/>
        </w:rPr>
        <w:t>for "</w:t>
      </w:r>
      <w:r w:rsidR="00F5299B" w:rsidRPr="00F5299B">
        <w:rPr>
          <w:rFonts w:cs="Arial"/>
          <w:b/>
          <w:bCs/>
          <w:sz w:val="28"/>
          <w:szCs w:val="28"/>
        </w:rPr>
        <w:t>The triple-dip La Niña was key to Earth’s extreme heat uptake in 2022-2023</w:t>
      </w:r>
      <w:r w:rsidR="00F5299B">
        <w:rPr>
          <w:rFonts w:cs="Arial"/>
          <w:b/>
          <w:bCs/>
          <w:sz w:val="28"/>
          <w:szCs w:val="28"/>
        </w:rPr>
        <w:t>"</w:t>
      </w:r>
    </w:p>
    <w:p w14:paraId="1F8624C3" w14:textId="7A0D4F7C" w:rsidR="000A2B49" w:rsidRPr="000A2B49" w:rsidRDefault="000A2B49">
      <w:pPr>
        <w:rPr>
          <w:rFonts w:cs="Arial"/>
          <w:b/>
          <w:bCs/>
          <w:sz w:val="28"/>
          <w:szCs w:val="36"/>
        </w:rPr>
      </w:pPr>
    </w:p>
    <w:p w14:paraId="7F5497E4" w14:textId="77777777" w:rsidR="000A2B49" w:rsidRDefault="000A2B49">
      <w:pPr>
        <w:rPr>
          <w:rFonts w:cs="Arial"/>
          <w:b/>
          <w:bCs/>
        </w:rPr>
      </w:pPr>
    </w:p>
    <w:p w14:paraId="70AC12C1" w14:textId="77777777" w:rsidR="000A2B49" w:rsidRDefault="000A2B49">
      <w:pPr>
        <w:rPr>
          <w:rFonts w:cs="Arial"/>
        </w:rPr>
      </w:pPr>
      <w:r>
        <w:rPr>
          <w:rFonts w:cs="Arial"/>
        </w:rPr>
        <w:t>Ko Tsuchida</w:t>
      </w:r>
      <w:r>
        <w:rPr>
          <w:rFonts w:cs="Arial"/>
          <w:vertAlign w:val="superscript"/>
        </w:rPr>
        <w:t>1</w:t>
      </w:r>
      <w:r>
        <w:rPr>
          <w:rFonts w:cs="Arial"/>
        </w:rPr>
        <w:t>, Yu Kosaka</w:t>
      </w:r>
      <w:r>
        <w:rPr>
          <w:rFonts w:cs="Arial"/>
          <w:vertAlign w:val="superscript"/>
        </w:rPr>
        <w:t>1</w:t>
      </w:r>
      <w:r>
        <w:rPr>
          <w:rFonts w:cs="Arial"/>
        </w:rPr>
        <w:t xml:space="preserve">, and </w:t>
      </w:r>
      <w:proofErr w:type="spellStart"/>
      <w:r>
        <w:rPr>
          <w:rFonts w:cs="Arial"/>
        </w:rPr>
        <w:t>Shoshiro</w:t>
      </w:r>
      <w:proofErr w:type="spellEnd"/>
      <w:r>
        <w:rPr>
          <w:rFonts w:cs="Arial"/>
        </w:rPr>
        <w:t xml:space="preserve"> Minobe</w:t>
      </w:r>
      <w:r>
        <w:rPr>
          <w:rFonts w:cs="Arial"/>
          <w:vertAlign w:val="superscript"/>
        </w:rPr>
        <w:t>2</w:t>
      </w:r>
      <w:r>
        <w:rPr>
          <w:rFonts w:cs="Arial"/>
        </w:rPr>
        <w:t xml:space="preserve"> </w:t>
      </w:r>
    </w:p>
    <w:p w14:paraId="76110E0E" w14:textId="77777777" w:rsidR="000A2B49" w:rsidRDefault="000A2B49">
      <w:pPr>
        <w:rPr>
          <w:rFonts w:cs="Arial"/>
        </w:rPr>
      </w:pPr>
    </w:p>
    <w:p w14:paraId="2B339081" w14:textId="14586F03" w:rsidR="000A2B49" w:rsidRDefault="000A2B49">
      <w:pPr>
        <w:rPr>
          <w:rFonts w:cs="Arial"/>
        </w:rPr>
      </w:pPr>
      <w:r>
        <w:rPr>
          <w:rFonts w:cs="Arial"/>
          <w:vertAlign w:val="superscript"/>
        </w:rPr>
        <w:t>1</w:t>
      </w:r>
      <w:r>
        <w:rPr>
          <w:rFonts w:cs="Arial"/>
        </w:rPr>
        <w:t>Research Center for Advanced Science and Technology, The University of Tokyo</w:t>
      </w:r>
    </w:p>
    <w:p w14:paraId="7A425B10" w14:textId="6BFF3DD9" w:rsidR="000A2B49" w:rsidRDefault="000A2B49">
      <w:pPr>
        <w:rPr>
          <w:rFonts w:cs="Arial"/>
        </w:rPr>
      </w:pPr>
      <w:r>
        <w:rPr>
          <w:rFonts w:cs="Arial"/>
          <w:vertAlign w:val="superscript"/>
        </w:rPr>
        <w:t>2</w:t>
      </w:r>
      <w:r>
        <w:rPr>
          <w:rFonts w:cs="Arial"/>
        </w:rPr>
        <w:t>Faculty of Science, Hokkaido University</w:t>
      </w:r>
    </w:p>
    <w:p w14:paraId="37FEE4B6" w14:textId="40F12F36" w:rsidR="008D1E57" w:rsidRDefault="0038460C" w:rsidP="008D1E57">
      <w:pPr>
        <w:rPr>
          <w:rFonts w:cs="Arial"/>
          <w:vertAlign w:val="superscript"/>
        </w:rPr>
      </w:pPr>
      <w:r w:rsidRPr="0038460C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30261E0" wp14:editId="24E2042D">
            <wp:simplePos x="0" y="0"/>
            <wp:positionH relativeFrom="column">
              <wp:posOffset>895985</wp:posOffset>
            </wp:positionH>
            <wp:positionV relativeFrom="paragraph">
              <wp:posOffset>0</wp:posOffset>
            </wp:positionV>
            <wp:extent cx="4023360" cy="7408545"/>
            <wp:effectExtent l="0" t="0" r="2540" b="0"/>
            <wp:wrapTopAndBottom/>
            <wp:docPr id="129168223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68223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23360" cy="7408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460C">
        <w:rPr>
          <w:noProof/>
        </w:rPr>
        <w:t xml:space="preserve"> </w:t>
      </w:r>
    </w:p>
    <w:p w14:paraId="26F21428" w14:textId="37C0282A" w:rsidR="00780D90" w:rsidRDefault="00EC3AE5" w:rsidP="00347FD5">
      <w:pPr>
        <w:rPr>
          <w:rFonts w:cs="Arial"/>
          <w:b/>
          <w:bCs/>
          <w:sz w:val="32"/>
          <w:szCs w:val="40"/>
        </w:rPr>
      </w:pPr>
      <w:r>
        <w:rPr>
          <w:rFonts w:cs="Arial"/>
          <w:b/>
          <w:bCs/>
        </w:rPr>
        <w:t xml:space="preserve">Extended Data </w:t>
      </w:r>
      <w:r w:rsidR="008D1E57" w:rsidRPr="008D1E57">
        <w:rPr>
          <w:rFonts w:cs="Arial"/>
          <w:b/>
          <w:bCs/>
        </w:rPr>
        <w:t>Table 1: List of model names and ensemble IDs from CMIP6</w:t>
      </w:r>
      <w:r w:rsidR="006973AA">
        <w:rPr>
          <w:rFonts w:cs="Arial"/>
          <w:b/>
          <w:bCs/>
        </w:rPr>
        <w:t xml:space="preserve"> historical,</w:t>
      </w:r>
      <w:r w:rsidR="008D1E57" w:rsidRPr="008D1E57">
        <w:rPr>
          <w:rFonts w:cs="Arial"/>
          <w:b/>
          <w:bCs/>
        </w:rPr>
        <w:t xml:space="preserve"> </w:t>
      </w:r>
      <w:r w:rsidR="000368AC">
        <w:rPr>
          <w:rFonts w:cs="Arial"/>
          <w:b/>
          <w:bCs/>
        </w:rPr>
        <w:t>SSP2-4.5</w:t>
      </w:r>
      <w:r w:rsidR="00F35B75">
        <w:rPr>
          <w:rFonts w:cs="Arial"/>
          <w:b/>
          <w:bCs/>
        </w:rPr>
        <w:t>,</w:t>
      </w:r>
      <w:r w:rsidR="000368AC">
        <w:rPr>
          <w:rFonts w:cs="Arial"/>
          <w:b/>
          <w:bCs/>
        </w:rPr>
        <w:t xml:space="preserve"> SSP5</w:t>
      </w:r>
      <w:r w:rsidR="00F35B75">
        <w:rPr>
          <w:rFonts w:cs="Arial"/>
          <w:b/>
          <w:bCs/>
        </w:rPr>
        <w:t>-</w:t>
      </w:r>
      <w:r w:rsidR="000368AC">
        <w:rPr>
          <w:rFonts w:cs="Arial"/>
          <w:b/>
          <w:bCs/>
        </w:rPr>
        <w:t>8</w:t>
      </w:r>
      <w:r w:rsidR="00F35B75">
        <w:rPr>
          <w:rFonts w:cs="Arial"/>
          <w:b/>
          <w:bCs/>
        </w:rPr>
        <w:t>.5</w:t>
      </w:r>
      <w:r w:rsidR="00DC0770">
        <w:rPr>
          <w:rFonts w:cs="Arial"/>
          <w:b/>
          <w:bCs/>
        </w:rPr>
        <w:t xml:space="preserve">, </w:t>
      </w:r>
      <w:proofErr w:type="spellStart"/>
      <w:r w:rsidR="00C60E58">
        <w:rPr>
          <w:rFonts w:cs="Arial"/>
          <w:b/>
          <w:bCs/>
        </w:rPr>
        <w:t>piControl</w:t>
      </w:r>
      <w:proofErr w:type="spellEnd"/>
      <w:r w:rsidR="00C60E58">
        <w:rPr>
          <w:rFonts w:cs="Arial"/>
          <w:b/>
          <w:bCs/>
        </w:rPr>
        <w:t xml:space="preserve">, and </w:t>
      </w:r>
      <w:r w:rsidR="00ED2CC8">
        <w:rPr>
          <w:rFonts w:cs="Arial" w:hint="eastAsia"/>
          <w:b/>
          <w:bCs/>
        </w:rPr>
        <w:t>AMIP</w:t>
      </w:r>
      <w:r w:rsidR="000368AC" w:rsidRPr="008D1E57">
        <w:rPr>
          <w:rFonts w:cs="Arial"/>
          <w:b/>
          <w:bCs/>
        </w:rPr>
        <w:t xml:space="preserve"> </w:t>
      </w:r>
      <w:r w:rsidR="00F35B75">
        <w:rPr>
          <w:rFonts w:cs="Arial"/>
          <w:b/>
          <w:bCs/>
        </w:rPr>
        <w:t xml:space="preserve">simulations </w:t>
      </w:r>
      <w:r w:rsidR="008D1E57" w:rsidRPr="008D1E57">
        <w:rPr>
          <w:rFonts w:cs="Arial"/>
          <w:b/>
          <w:bCs/>
        </w:rPr>
        <w:t>used in this study.</w:t>
      </w:r>
      <w:r w:rsidR="008D1E57" w:rsidRPr="008D1E57">
        <w:rPr>
          <w:rFonts w:cs="Arial"/>
        </w:rPr>
        <w:br/>
        <w:t>Models highlighted in</w:t>
      </w:r>
      <w:r w:rsidR="0038460C">
        <w:rPr>
          <w:rFonts w:cs="Arial"/>
        </w:rPr>
        <w:t xml:space="preserve"> bold characters </w:t>
      </w:r>
      <w:r w:rsidR="008D1E57" w:rsidRPr="008D1E57">
        <w:rPr>
          <w:rFonts w:cs="Arial"/>
        </w:rPr>
        <w:t>indicate those with large ensembles.</w:t>
      </w:r>
    </w:p>
    <w:p w14:paraId="739F4374" w14:textId="4610D329" w:rsidR="00780D90" w:rsidRDefault="00D6059E" w:rsidP="00347FD5">
      <w:pPr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0E81B912" wp14:editId="3DBB0793">
            <wp:extent cx="6199002" cy="2476475"/>
            <wp:effectExtent l="0" t="0" r="0" b="635"/>
            <wp:docPr id="1642336776" name="図 1" descr="グラフ, 折れ線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336776" name="図 1" descr="グラフ, 折れ線グラフ&#10;&#10;自動的に生成された説明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2" r="18889"/>
                    <a:stretch/>
                  </pic:blipFill>
                  <pic:spPr bwMode="auto">
                    <a:xfrm>
                      <a:off x="0" y="0"/>
                      <a:ext cx="6266972" cy="2503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2C087E" w14:textId="415EEC75" w:rsidR="003B1642" w:rsidRDefault="00EC3AE5" w:rsidP="00347FD5">
      <w:pPr>
        <w:rPr>
          <w:rFonts w:cs="Arial"/>
          <w:b/>
          <w:bCs/>
        </w:rPr>
      </w:pPr>
      <w:r>
        <w:rPr>
          <w:rFonts w:cs="Arial"/>
          <w:b/>
          <w:bCs/>
        </w:rPr>
        <w:t xml:space="preserve">Extended Data </w:t>
      </w:r>
      <w:r w:rsidR="003B1642" w:rsidRPr="003B1642">
        <w:rPr>
          <w:rFonts w:cs="Arial"/>
          <w:b/>
          <w:bCs/>
        </w:rPr>
        <w:t>Figure 1: Time evolution o</w:t>
      </w:r>
      <w:r w:rsidR="00D6059E">
        <w:rPr>
          <w:rFonts w:cs="Arial"/>
          <w:b/>
          <w:bCs/>
        </w:rPr>
        <w:t>f</w:t>
      </w:r>
      <w:r w:rsidR="003B1642" w:rsidRPr="003B1642">
        <w:rPr>
          <w:rFonts w:cs="Arial"/>
          <w:b/>
          <w:bCs/>
        </w:rPr>
        <w:t xml:space="preserve"> EEI and GSAT</w:t>
      </w:r>
      <w:r w:rsidR="00182762">
        <w:rPr>
          <w:rFonts w:cs="Arial"/>
          <w:b/>
          <w:bCs/>
        </w:rPr>
        <w:t xml:space="preserve"> anomaly</w:t>
      </w:r>
      <w:r w:rsidR="003B1642" w:rsidRPr="003B1642">
        <w:rPr>
          <w:rFonts w:cs="Arial"/>
          <w:b/>
          <w:bCs/>
        </w:rPr>
        <w:t xml:space="preserve">, shown as a </w:t>
      </w:r>
      <w:r w:rsidR="00D6059E">
        <w:rPr>
          <w:rFonts w:cs="Arial"/>
          <w:b/>
          <w:bCs/>
        </w:rPr>
        <w:t>12</w:t>
      </w:r>
      <w:r w:rsidR="003B1642" w:rsidRPr="003B1642">
        <w:rPr>
          <w:rFonts w:cs="Arial"/>
          <w:b/>
          <w:bCs/>
        </w:rPr>
        <w:t xml:space="preserve">-month running average from 2001 to 2023. </w:t>
      </w:r>
    </w:p>
    <w:p w14:paraId="216FB15F" w14:textId="4821CC61" w:rsidR="009B3DD8" w:rsidRDefault="001E36F8" w:rsidP="00347FD5">
      <w:pPr>
        <w:rPr>
          <w:rFonts w:cs="Arial"/>
        </w:rPr>
      </w:pPr>
      <w:r>
        <w:rPr>
          <w:rFonts w:cs="Arial"/>
        </w:rPr>
        <w:t>Time series are plotted</w:t>
      </w:r>
      <w:r w:rsidRPr="0092520B">
        <w:rPr>
          <w:rFonts w:cs="Arial"/>
        </w:rPr>
        <w:t xml:space="preserve"> </w:t>
      </w:r>
      <w:r>
        <w:rPr>
          <w:rFonts w:cs="Arial"/>
        </w:rPr>
        <w:t>at</w:t>
      </w:r>
      <w:r>
        <w:rPr>
          <w:rFonts w:cs="Arial" w:hint="eastAsia"/>
        </w:rPr>
        <w:t xml:space="preserve"> </w:t>
      </w:r>
      <w:r w:rsidRPr="0092520B">
        <w:rPr>
          <w:rFonts w:cs="Arial"/>
        </w:rPr>
        <w:t xml:space="preserve">the </w:t>
      </w:r>
      <w:r>
        <w:rPr>
          <w:rFonts w:cs="Arial"/>
        </w:rPr>
        <w:t>center</w:t>
      </w:r>
      <w:r w:rsidRPr="0092520B">
        <w:rPr>
          <w:rFonts w:cs="Arial"/>
        </w:rPr>
        <w:t xml:space="preserve"> of </w:t>
      </w:r>
      <w:r>
        <w:rPr>
          <w:rFonts w:cs="Arial" w:hint="eastAsia"/>
        </w:rPr>
        <w:t xml:space="preserve">a </w:t>
      </w:r>
      <w:r>
        <w:rPr>
          <w:rFonts w:cs="Arial"/>
        </w:rPr>
        <w:t>twelve</w:t>
      </w:r>
      <w:r w:rsidRPr="0092520B">
        <w:rPr>
          <w:rFonts w:cs="Arial"/>
        </w:rPr>
        <w:t xml:space="preserve">-month </w:t>
      </w:r>
      <w:r>
        <w:rPr>
          <w:rFonts w:cs="Arial"/>
        </w:rPr>
        <w:t>running window</w:t>
      </w:r>
      <w:r w:rsidRPr="0092520B">
        <w:rPr>
          <w:rFonts w:cs="Arial"/>
        </w:rPr>
        <w:t>. </w:t>
      </w:r>
      <w:r w:rsidR="005C6CEF" w:rsidRPr="005C6CEF">
        <w:rPr>
          <w:rFonts w:cs="Arial"/>
        </w:rPr>
        <w:t xml:space="preserve">The </w:t>
      </w:r>
      <w:r w:rsidR="00190BC8">
        <w:rPr>
          <w:rFonts w:cs="Arial"/>
        </w:rPr>
        <w:t>dashed</w:t>
      </w:r>
      <w:r w:rsidR="005C6CEF" w:rsidRPr="005C6CEF">
        <w:rPr>
          <w:rFonts w:cs="Arial"/>
        </w:rPr>
        <w:t xml:space="preserve"> line indicates the mean plus three standard deviations from 200</w:t>
      </w:r>
      <w:r w:rsidR="003B7E22">
        <w:rPr>
          <w:rFonts w:cs="Arial"/>
        </w:rPr>
        <w:t>2</w:t>
      </w:r>
      <w:r w:rsidR="003225FF">
        <w:rPr>
          <w:rFonts w:cs="Arial"/>
        </w:rPr>
        <w:t>/0</w:t>
      </w:r>
      <w:r w:rsidR="003B7E22">
        <w:rPr>
          <w:rFonts w:cs="Arial"/>
        </w:rPr>
        <w:t>3</w:t>
      </w:r>
      <w:r w:rsidR="005C6CEF" w:rsidRPr="005C6CEF">
        <w:rPr>
          <w:rFonts w:cs="Arial"/>
        </w:rPr>
        <w:t xml:space="preserve"> to 202</w:t>
      </w:r>
      <w:r w:rsidR="003B7E22">
        <w:rPr>
          <w:rFonts w:cs="Arial"/>
        </w:rPr>
        <w:t>1</w:t>
      </w:r>
      <w:r w:rsidR="003225FF">
        <w:rPr>
          <w:rFonts w:cs="Arial"/>
        </w:rPr>
        <w:t>/2</w:t>
      </w:r>
      <w:r w:rsidR="003B7E22">
        <w:rPr>
          <w:rFonts w:cs="Arial"/>
        </w:rPr>
        <w:t>2</w:t>
      </w:r>
      <w:r w:rsidR="005C6CEF" w:rsidRPr="005C6CEF">
        <w:rPr>
          <w:rFonts w:cs="Arial"/>
        </w:rPr>
        <w:t>.</w:t>
      </w:r>
    </w:p>
    <w:p w14:paraId="41FCF5CB" w14:textId="08AAC94A" w:rsidR="00FD1BC7" w:rsidRDefault="00FD1BC7">
      <w:pPr>
        <w:widowControl/>
        <w:jc w:val="left"/>
        <w:rPr>
          <w:rFonts w:cs="Arial"/>
        </w:rPr>
      </w:pPr>
      <w:r>
        <w:rPr>
          <w:rFonts w:cs="Arial"/>
        </w:rPr>
        <w:br w:type="page"/>
      </w:r>
    </w:p>
    <w:p w14:paraId="1AF8DA90" w14:textId="77777777" w:rsidR="009B3DD8" w:rsidRDefault="009B3DD8" w:rsidP="00347FD5">
      <w:pPr>
        <w:rPr>
          <w:rFonts w:cs="Arial"/>
        </w:rPr>
      </w:pPr>
    </w:p>
    <w:p w14:paraId="3EE09C99" w14:textId="4685F2ED" w:rsidR="002E2F91" w:rsidRDefault="00BF30C6" w:rsidP="00347FD5">
      <w:pPr>
        <w:rPr>
          <w:rFonts w:cs="Arial"/>
          <w:b/>
          <w:bCs/>
          <w:sz w:val="32"/>
          <w:szCs w:val="40"/>
        </w:rPr>
      </w:pPr>
      <w:r>
        <w:rPr>
          <w:rFonts w:cs="Arial"/>
          <w:noProof/>
        </w:rPr>
        <w:drawing>
          <wp:inline distT="0" distB="0" distL="0" distR="0" wp14:anchorId="133A4324" wp14:editId="17238034">
            <wp:extent cx="6188710" cy="4025265"/>
            <wp:effectExtent l="0" t="0" r="0" b="635"/>
            <wp:docPr id="946426726" name="図 1" descr="グラフィカル ユーザー インターフェイス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426726" name="図 1" descr="グラフィカル ユーザー インターフェイス が含まれている画像&#10;&#10;自動的に生成された説明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02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C3233" w14:textId="66055DEE" w:rsidR="002E2F91" w:rsidRPr="002E2F91" w:rsidRDefault="00EC3AE5" w:rsidP="002E2F91">
      <w:pPr>
        <w:rPr>
          <w:rFonts w:cs="Arial"/>
        </w:rPr>
      </w:pPr>
      <w:r>
        <w:rPr>
          <w:rFonts w:cs="Arial"/>
          <w:b/>
          <w:bCs/>
        </w:rPr>
        <w:t xml:space="preserve">Extended Data </w:t>
      </w:r>
      <w:r w:rsidR="002E2F91" w:rsidRPr="002E2F91">
        <w:rPr>
          <w:rFonts w:cs="Arial"/>
          <w:b/>
          <w:bCs/>
        </w:rPr>
        <w:t xml:space="preserve">Figure </w:t>
      </w:r>
      <w:r w:rsidR="00780D90">
        <w:rPr>
          <w:rFonts w:cs="Arial"/>
          <w:b/>
          <w:bCs/>
        </w:rPr>
        <w:t>2</w:t>
      </w:r>
      <w:r w:rsidR="002E2F91" w:rsidRPr="002E2F91">
        <w:rPr>
          <w:rFonts w:cs="Arial"/>
          <w:b/>
          <w:bCs/>
        </w:rPr>
        <w:t>: Strip plots</w:t>
      </w:r>
      <w:r w:rsidR="00BA6709">
        <w:rPr>
          <w:rFonts w:cs="Arial"/>
          <w:b/>
          <w:bCs/>
        </w:rPr>
        <w:t xml:space="preserve"> yearly mean</w:t>
      </w:r>
      <w:r w:rsidR="002E2F91" w:rsidRPr="002E2F91">
        <w:rPr>
          <w:rFonts w:cs="Arial"/>
          <w:b/>
          <w:bCs/>
        </w:rPr>
        <w:t xml:space="preserve"> </w:t>
      </w:r>
      <w:r w:rsidR="00CE0045">
        <w:rPr>
          <w:rFonts w:cs="Arial"/>
          <w:b/>
          <w:bCs/>
        </w:rPr>
        <w:t>EEI</w:t>
      </w:r>
      <w:r w:rsidR="002E2F91" w:rsidRPr="002E2F91">
        <w:rPr>
          <w:rFonts w:cs="Arial"/>
          <w:b/>
          <w:bCs/>
        </w:rPr>
        <w:t xml:space="preserve"> averaged over </w:t>
      </w:r>
      <w:r w:rsidR="006736CA">
        <w:rPr>
          <w:rFonts w:cs="Arial"/>
          <w:b/>
          <w:bCs/>
        </w:rPr>
        <w:t xml:space="preserve">the </w:t>
      </w:r>
      <w:proofErr w:type="gramStart"/>
      <w:r w:rsidR="00BA6709">
        <w:rPr>
          <w:rFonts w:cs="Arial"/>
          <w:b/>
          <w:bCs/>
        </w:rPr>
        <w:t>October</w:t>
      </w:r>
      <w:r w:rsidR="00E511F2">
        <w:rPr>
          <w:rFonts w:cs="Arial"/>
          <w:b/>
          <w:bCs/>
        </w:rPr>
        <w:t>(</w:t>
      </w:r>
      <w:proofErr w:type="gramEnd"/>
      <w:r w:rsidR="00E511F2">
        <w:rPr>
          <w:rFonts w:cs="Arial"/>
          <w:b/>
          <w:bCs/>
        </w:rPr>
        <w:t>0)</w:t>
      </w:r>
      <w:r w:rsidR="00BA6709">
        <w:rPr>
          <w:rFonts w:cs="Arial"/>
          <w:b/>
          <w:bCs/>
        </w:rPr>
        <w:t xml:space="preserve"> to September</w:t>
      </w:r>
      <w:r w:rsidR="00E511F2">
        <w:rPr>
          <w:rFonts w:cs="Arial"/>
          <w:b/>
          <w:bCs/>
        </w:rPr>
        <w:t>(1)</w:t>
      </w:r>
      <w:r w:rsidR="00BA6709">
        <w:rPr>
          <w:rFonts w:cs="Arial"/>
          <w:b/>
          <w:bCs/>
        </w:rPr>
        <w:t xml:space="preserve"> period </w:t>
      </w:r>
      <w:r w:rsidR="002E2F91" w:rsidRPr="002E2F91">
        <w:rPr>
          <w:rFonts w:cs="Arial"/>
          <w:b/>
          <w:bCs/>
        </w:rPr>
        <w:t xml:space="preserve">across CMIP6 models and </w:t>
      </w:r>
      <w:r w:rsidR="00954C86">
        <w:rPr>
          <w:rFonts w:cs="Arial"/>
          <w:b/>
          <w:bCs/>
        </w:rPr>
        <w:t>observations</w:t>
      </w:r>
      <w:r w:rsidR="002E2F91" w:rsidRPr="002E2F91">
        <w:rPr>
          <w:rFonts w:cs="Arial"/>
          <w:b/>
          <w:bCs/>
        </w:rPr>
        <w:t>.</w:t>
      </w:r>
    </w:p>
    <w:p w14:paraId="60EE9F00" w14:textId="223897B5" w:rsidR="002E2F91" w:rsidRDefault="002E2F91" w:rsidP="002E2F91">
      <w:pPr>
        <w:rPr>
          <w:rFonts w:cs="Arial"/>
        </w:rPr>
      </w:pPr>
      <w:r w:rsidRPr="002E2F91">
        <w:rPr>
          <w:rFonts w:cs="Arial"/>
        </w:rPr>
        <w:t xml:space="preserve">Results </w:t>
      </w:r>
      <w:r w:rsidR="006736CA">
        <w:rPr>
          <w:rFonts w:cs="Arial"/>
        </w:rPr>
        <w:t xml:space="preserve">are </w:t>
      </w:r>
      <w:r w:rsidRPr="002E2F91">
        <w:rPr>
          <w:rFonts w:cs="Arial"/>
        </w:rPr>
        <w:t xml:space="preserve">based on </w:t>
      </w:r>
      <w:r w:rsidR="00FD77C3">
        <w:rPr>
          <w:rFonts w:cs="Arial"/>
        </w:rPr>
        <w:t xml:space="preserve">(a) </w:t>
      </w:r>
      <w:r w:rsidRPr="002E2F91">
        <w:rPr>
          <w:rFonts w:cs="Arial"/>
        </w:rPr>
        <w:t>the SSP2</w:t>
      </w:r>
      <w:r w:rsidR="0041180A">
        <w:rPr>
          <w:rFonts w:cs="Arial"/>
        </w:rPr>
        <w:t>-</w:t>
      </w:r>
      <w:r w:rsidRPr="002E2F91">
        <w:rPr>
          <w:rFonts w:cs="Arial"/>
        </w:rPr>
        <w:t>4</w:t>
      </w:r>
      <w:r w:rsidR="0041180A">
        <w:rPr>
          <w:rFonts w:cs="Arial"/>
        </w:rPr>
        <w:t>.</w:t>
      </w:r>
      <w:r w:rsidRPr="002E2F91">
        <w:rPr>
          <w:rFonts w:cs="Arial"/>
        </w:rPr>
        <w:t>5 scenario and (b) the SSP5</w:t>
      </w:r>
      <w:r w:rsidR="00FD77C3">
        <w:rPr>
          <w:rFonts w:cs="Arial"/>
        </w:rPr>
        <w:t>-</w:t>
      </w:r>
      <w:r w:rsidRPr="002E2F91">
        <w:rPr>
          <w:rFonts w:cs="Arial"/>
        </w:rPr>
        <w:t>8</w:t>
      </w:r>
      <w:r w:rsidR="00FD77C3">
        <w:rPr>
          <w:rFonts w:cs="Arial"/>
        </w:rPr>
        <w:t>.</w:t>
      </w:r>
      <w:r w:rsidRPr="002E2F91">
        <w:rPr>
          <w:rFonts w:cs="Arial"/>
        </w:rPr>
        <w:t xml:space="preserve">5 scenario. The CMIP6 model data spans the period from 2021 to 2030, while </w:t>
      </w:r>
      <w:r w:rsidR="00B67E48">
        <w:rPr>
          <w:rFonts w:cs="Arial"/>
        </w:rPr>
        <w:t>the observational</w:t>
      </w:r>
      <w:r w:rsidRPr="002E2F91">
        <w:rPr>
          <w:rFonts w:cs="Arial"/>
        </w:rPr>
        <w:t xml:space="preserve"> data </w:t>
      </w:r>
      <w:r w:rsidR="003D07C3">
        <w:rPr>
          <w:rFonts w:cs="Arial"/>
        </w:rPr>
        <w:t xml:space="preserve">(black dots) </w:t>
      </w:r>
      <w:r w:rsidRPr="002E2F91">
        <w:rPr>
          <w:rFonts w:cs="Arial"/>
        </w:rPr>
        <w:t>covers 2001</w:t>
      </w:r>
      <w:r w:rsidR="00E905CA">
        <w:rPr>
          <w:rFonts w:cs="Arial"/>
        </w:rPr>
        <w:t>-</w:t>
      </w:r>
      <w:r w:rsidRPr="002E2F91">
        <w:rPr>
          <w:rFonts w:cs="Arial"/>
        </w:rPr>
        <w:t xml:space="preserve">2023. The right-hand boxes display histograms: orange bars represent all samples, and green bars indicate the </w:t>
      </w:r>
      <w:r w:rsidR="00EB232F">
        <w:rPr>
          <w:rFonts w:cs="Arial"/>
        </w:rPr>
        <w:t>subsample</w:t>
      </w:r>
      <w:r w:rsidR="005C7C00">
        <w:rPr>
          <w:rFonts w:cs="Arial"/>
        </w:rPr>
        <w:t>d</w:t>
      </w:r>
      <w:r w:rsidR="00EB232F">
        <w:rPr>
          <w:rFonts w:cs="Arial"/>
        </w:rPr>
        <w:t xml:space="preserve"> cases with the </w:t>
      </w:r>
      <w:r w:rsidRPr="002E2F91">
        <w:rPr>
          <w:rFonts w:cs="Arial"/>
        </w:rPr>
        <w:t xml:space="preserve">maximum </w:t>
      </w:r>
      <w:r w:rsidR="00EB232F">
        <w:rPr>
          <w:rFonts w:cs="Arial"/>
        </w:rPr>
        <w:t>of</w:t>
      </w:r>
      <w:r w:rsidRPr="002E2F91">
        <w:rPr>
          <w:rFonts w:cs="Arial"/>
        </w:rPr>
        <w:t xml:space="preserve"> each ensemble member. The solid gray line marks the </w:t>
      </w:r>
      <w:r w:rsidR="00CE471B">
        <w:rPr>
          <w:rFonts w:cs="Arial"/>
        </w:rPr>
        <w:t>EEI</w:t>
      </w:r>
      <w:r w:rsidRPr="002E2F91">
        <w:rPr>
          <w:rFonts w:cs="Arial"/>
        </w:rPr>
        <w:t xml:space="preserve"> observed in 2023, while the dashed gray line represents the mean plus t</w:t>
      </w:r>
      <w:r w:rsidR="00BA6709">
        <w:rPr>
          <w:rFonts w:cs="Arial"/>
        </w:rPr>
        <w:t>hree</w:t>
      </w:r>
      <w:r w:rsidRPr="002E2F91">
        <w:rPr>
          <w:rFonts w:cs="Arial"/>
        </w:rPr>
        <w:t xml:space="preserve"> standard deviations in </w:t>
      </w:r>
      <w:r w:rsidR="009F1A73">
        <w:rPr>
          <w:rFonts w:cs="Arial"/>
        </w:rPr>
        <w:t>observational records</w:t>
      </w:r>
      <w:r w:rsidRPr="002E2F91">
        <w:rPr>
          <w:rFonts w:cs="Arial"/>
        </w:rPr>
        <w:t>. The</w:t>
      </w:r>
      <w:r w:rsidR="00821014">
        <w:rPr>
          <w:rFonts w:cs="Arial"/>
        </w:rPr>
        <w:t xml:space="preserve"> red </w:t>
      </w:r>
      <w:r w:rsidRPr="002E2F91">
        <w:rPr>
          <w:rFonts w:cs="Arial"/>
        </w:rPr>
        <w:t>dashed line indicate</w:t>
      </w:r>
      <w:r w:rsidR="005C7C00">
        <w:rPr>
          <w:rFonts w:cs="Arial"/>
        </w:rPr>
        <w:t>s</w:t>
      </w:r>
      <w:r w:rsidRPr="002E2F91">
        <w:rPr>
          <w:rFonts w:cs="Arial"/>
        </w:rPr>
        <w:t xml:space="preserve"> the</w:t>
      </w:r>
      <w:r w:rsidR="00821014">
        <w:rPr>
          <w:rFonts w:cs="Arial"/>
        </w:rPr>
        <w:t xml:space="preserve"> 99.5th</w:t>
      </w:r>
      <w:r w:rsidR="005C7C00">
        <w:rPr>
          <w:rFonts w:cs="Arial"/>
        </w:rPr>
        <w:t xml:space="preserve"> (SSP2-4.5) and </w:t>
      </w:r>
      <w:r w:rsidR="00BA6709">
        <w:rPr>
          <w:rFonts w:cs="Arial"/>
        </w:rPr>
        <w:t>9</w:t>
      </w:r>
      <w:r w:rsidR="006150C0">
        <w:rPr>
          <w:rFonts w:cs="Arial"/>
        </w:rPr>
        <w:t>9</w:t>
      </w:r>
      <w:r w:rsidR="00BA6709">
        <w:rPr>
          <w:rFonts w:cs="Arial"/>
        </w:rPr>
        <w:t>th</w:t>
      </w:r>
      <w:r w:rsidR="00821014">
        <w:rPr>
          <w:rFonts w:cs="Arial"/>
        </w:rPr>
        <w:t xml:space="preserve"> </w:t>
      </w:r>
      <w:r w:rsidR="005C7C00">
        <w:rPr>
          <w:rFonts w:cs="Arial"/>
        </w:rPr>
        <w:t xml:space="preserve">(SSP5-8.5) </w:t>
      </w:r>
      <w:r w:rsidR="00821014">
        <w:rPr>
          <w:rFonts w:cs="Arial"/>
        </w:rPr>
        <w:t>percentile</w:t>
      </w:r>
      <w:r w:rsidR="005C7C00">
        <w:rPr>
          <w:rFonts w:cs="Arial"/>
        </w:rPr>
        <w:t>s</w:t>
      </w:r>
      <w:r w:rsidR="00821014">
        <w:rPr>
          <w:rFonts w:cs="Arial"/>
        </w:rPr>
        <w:t xml:space="preserve"> of all the cases</w:t>
      </w:r>
      <w:r w:rsidR="005C7C00">
        <w:rPr>
          <w:rFonts w:cs="Arial"/>
        </w:rPr>
        <w:t>, while the green dashed line represents</w:t>
      </w:r>
      <w:r w:rsidR="005C7C00" w:rsidRPr="005C7C00">
        <w:rPr>
          <w:rFonts w:cs="Arial"/>
        </w:rPr>
        <w:t xml:space="preserve"> </w:t>
      </w:r>
      <w:r w:rsidR="005C7C00">
        <w:rPr>
          <w:rFonts w:cs="Arial"/>
        </w:rPr>
        <w:t>and</w:t>
      </w:r>
      <w:r w:rsidR="005C7C00" w:rsidRPr="002E2F91">
        <w:rPr>
          <w:rFonts w:cs="Arial"/>
        </w:rPr>
        <w:t xml:space="preserve"> 9</w:t>
      </w:r>
      <w:r w:rsidR="005C7C00">
        <w:rPr>
          <w:rFonts w:cs="Arial"/>
        </w:rPr>
        <w:t>5</w:t>
      </w:r>
      <w:r w:rsidR="005C7C00" w:rsidRPr="002E2F91">
        <w:rPr>
          <w:rFonts w:cs="Arial"/>
        </w:rPr>
        <w:t>th</w:t>
      </w:r>
      <w:r w:rsidR="005C7C00">
        <w:rPr>
          <w:rFonts w:cs="Arial"/>
        </w:rPr>
        <w:t xml:space="preserve"> (SSP2-4.5) and 90th</w:t>
      </w:r>
      <w:r w:rsidR="005C7C00" w:rsidRPr="002E2F91">
        <w:rPr>
          <w:rFonts w:cs="Arial"/>
        </w:rPr>
        <w:t xml:space="preserve"> </w:t>
      </w:r>
      <w:r w:rsidR="005C7C00">
        <w:rPr>
          <w:rFonts w:cs="Arial"/>
        </w:rPr>
        <w:t xml:space="preserve">(SSP5-8.5) </w:t>
      </w:r>
      <w:r w:rsidR="005C7C00" w:rsidRPr="002E2F91">
        <w:rPr>
          <w:rFonts w:cs="Arial"/>
        </w:rPr>
        <w:t>percentile</w:t>
      </w:r>
      <w:r w:rsidR="005C7C00">
        <w:rPr>
          <w:rFonts w:cs="Arial"/>
        </w:rPr>
        <w:t>s</w:t>
      </w:r>
      <w:r w:rsidR="005C7C00" w:rsidRPr="002E2F91">
        <w:rPr>
          <w:rFonts w:cs="Arial"/>
        </w:rPr>
        <w:t xml:space="preserve"> of the maximum cases </w:t>
      </w:r>
      <w:r w:rsidR="005C7C00">
        <w:rPr>
          <w:rFonts w:cs="Arial"/>
        </w:rPr>
        <w:t>of</w:t>
      </w:r>
      <w:r w:rsidR="005C7C00" w:rsidRPr="002E2F91">
        <w:rPr>
          <w:rFonts w:cs="Arial"/>
        </w:rPr>
        <w:t xml:space="preserve"> </w:t>
      </w:r>
      <w:r w:rsidR="005C7C00">
        <w:rPr>
          <w:rFonts w:cs="Arial"/>
        </w:rPr>
        <w:t>individual</w:t>
      </w:r>
      <w:r w:rsidR="005C7C00" w:rsidRPr="002E2F91">
        <w:rPr>
          <w:rFonts w:cs="Arial"/>
        </w:rPr>
        <w:t xml:space="preserve"> ensemble member</w:t>
      </w:r>
      <w:r w:rsidR="005C7C00">
        <w:rPr>
          <w:rFonts w:cs="Arial"/>
        </w:rPr>
        <w:t>s.</w:t>
      </w:r>
    </w:p>
    <w:p w14:paraId="362A6D33" w14:textId="1197381C" w:rsidR="0069421D" w:rsidRDefault="0069421D">
      <w:pPr>
        <w:widowControl/>
        <w:jc w:val="left"/>
        <w:rPr>
          <w:rFonts w:cs="Arial"/>
        </w:rPr>
      </w:pPr>
      <w:r>
        <w:rPr>
          <w:rFonts w:cs="Arial"/>
        </w:rPr>
        <w:br w:type="page"/>
      </w:r>
    </w:p>
    <w:p w14:paraId="1E641B06" w14:textId="77777777" w:rsidR="00C0734D" w:rsidRDefault="00C0734D">
      <w:pPr>
        <w:widowControl/>
        <w:jc w:val="left"/>
        <w:rPr>
          <w:rFonts w:cs="Arial"/>
        </w:rPr>
      </w:pPr>
    </w:p>
    <w:p w14:paraId="13BE3CBE" w14:textId="77777777" w:rsidR="00C0734D" w:rsidRDefault="00C0734D">
      <w:pPr>
        <w:widowControl/>
        <w:jc w:val="left"/>
        <w:rPr>
          <w:rFonts w:cs="Arial"/>
        </w:rPr>
      </w:pPr>
    </w:p>
    <w:p w14:paraId="7C8F5006" w14:textId="77777777" w:rsidR="00C0734D" w:rsidRDefault="00C0734D">
      <w:pPr>
        <w:widowControl/>
        <w:jc w:val="left"/>
        <w:rPr>
          <w:rFonts w:cs="Arial"/>
        </w:rPr>
      </w:pPr>
    </w:p>
    <w:p w14:paraId="4A40A19A" w14:textId="77777777" w:rsidR="00C0734D" w:rsidRDefault="00C0734D">
      <w:pPr>
        <w:widowControl/>
        <w:jc w:val="left"/>
        <w:rPr>
          <w:rFonts w:cs="Arial"/>
        </w:rPr>
      </w:pPr>
    </w:p>
    <w:p w14:paraId="57ECD1E5" w14:textId="77777777" w:rsidR="00C0734D" w:rsidRDefault="00C0734D">
      <w:pPr>
        <w:widowControl/>
        <w:jc w:val="left"/>
        <w:rPr>
          <w:rFonts w:cs="Arial"/>
        </w:rPr>
      </w:pPr>
    </w:p>
    <w:p w14:paraId="593400A7" w14:textId="77777777" w:rsidR="008A3253" w:rsidRDefault="008A3253">
      <w:pPr>
        <w:widowControl/>
        <w:jc w:val="left"/>
        <w:rPr>
          <w:rFonts w:cs="Arial"/>
        </w:rPr>
      </w:pPr>
    </w:p>
    <w:p w14:paraId="50B16AAE" w14:textId="77777777" w:rsidR="00C0734D" w:rsidRDefault="00C0734D">
      <w:pPr>
        <w:widowControl/>
        <w:jc w:val="left"/>
        <w:rPr>
          <w:rFonts w:cs="Arial"/>
        </w:rPr>
      </w:pPr>
    </w:p>
    <w:p w14:paraId="326EF72B" w14:textId="77777777" w:rsidR="00C0734D" w:rsidRDefault="00C0734D">
      <w:pPr>
        <w:widowControl/>
        <w:jc w:val="left"/>
        <w:rPr>
          <w:rFonts w:cs="Arial"/>
        </w:rPr>
      </w:pPr>
    </w:p>
    <w:p w14:paraId="39D1B89E" w14:textId="0372B670" w:rsidR="00C0734D" w:rsidRDefault="006736CA">
      <w:pPr>
        <w:widowControl/>
        <w:jc w:val="left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72D571D4" wp14:editId="640AF4E4">
            <wp:extent cx="6424609" cy="3411220"/>
            <wp:effectExtent l="0" t="0" r="1905" b="5080"/>
            <wp:docPr id="1464864696" name="図 2" descr="ダイアグラム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864696" name="図 2" descr="ダイアグラム&#10;&#10;中程度の精度で自動的に生成された説明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71" r="2011" b="8973"/>
                    <a:stretch/>
                  </pic:blipFill>
                  <pic:spPr bwMode="auto">
                    <a:xfrm>
                      <a:off x="0" y="0"/>
                      <a:ext cx="6453548" cy="3426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659F64" w14:textId="77777777" w:rsidR="00C0734D" w:rsidRDefault="00C0734D">
      <w:pPr>
        <w:widowControl/>
        <w:jc w:val="left"/>
        <w:rPr>
          <w:rFonts w:cs="Arial"/>
        </w:rPr>
      </w:pPr>
    </w:p>
    <w:p w14:paraId="728D5FE9" w14:textId="663F6885" w:rsidR="00C0734D" w:rsidRPr="002E2F91" w:rsidRDefault="00C0734D" w:rsidP="00C0734D">
      <w:pPr>
        <w:rPr>
          <w:rFonts w:cs="Arial"/>
        </w:rPr>
      </w:pPr>
      <w:r>
        <w:rPr>
          <w:rFonts w:cs="Arial"/>
          <w:b/>
          <w:bCs/>
        </w:rPr>
        <w:t xml:space="preserve">Extended Data </w:t>
      </w:r>
      <w:r w:rsidRPr="002E2F91">
        <w:rPr>
          <w:rFonts w:cs="Arial"/>
          <w:b/>
          <w:bCs/>
        </w:rPr>
        <w:t xml:space="preserve">Figure </w:t>
      </w:r>
      <w:r>
        <w:rPr>
          <w:rFonts w:cs="Arial"/>
          <w:b/>
          <w:bCs/>
        </w:rPr>
        <w:t>3</w:t>
      </w:r>
      <w:r w:rsidRPr="002E2F91">
        <w:rPr>
          <w:rFonts w:cs="Arial"/>
          <w:b/>
          <w:bCs/>
        </w:rPr>
        <w:t xml:space="preserve">: </w:t>
      </w:r>
      <w:r>
        <w:rPr>
          <w:rFonts w:cs="Arial"/>
          <w:b/>
          <w:bCs/>
        </w:rPr>
        <w:t>Same as Figure 2, but for DJFMAM average.</w:t>
      </w:r>
    </w:p>
    <w:p w14:paraId="1B7DA98C" w14:textId="77777777" w:rsidR="00C0734D" w:rsidRDefault="00C0734D">
      <w:pPr>
        <w:widowControl/>
        <w:jc w:val="left"/>
        <w:rPr>
          <w:rFonts w:cs="Arial"/>
        </w:rPr>
      </w:pPr>
    </w:p>
    <w:p w14:paraId="4E14DC69" w14:textId="77777777" w:rsidR="00C0734D" w:rsidRDefault="00C0734D">
      <w:pPr>
        <w:widowControl/>
        <w:jc w:val="left"/>
        <w:rPr>
          <w:rFonts w:cs="Arial"/>
        </w:rPr>
      </w:pPr>
    </w:p>
    <w:p w14:paraId="4F75DB6B" w14:textId="77777777" w:rsidR="00C0734D" w:rsidRDefault="00C0734D">
      <w:pPr>
        <w:widowControl/>
        <w:jc w:val="left"/>
        <w:rPr>
          <w:rFonts w:cs="Arial"/>
        </w:rPr>
      </w:pPr>
    </w:p>
    <w:p w14:paraId="5BE1003F" w14:textId="77777777" w:rsidR="00C0734D" w:rsidRDefault="00C0734D">
      <w:pPr>
        <w:widowControl/>
        <w:jc w:val="left"/>
        <w:rPr>
          <w:rFonts w:cs="Arial"/>
        </w:rPr>
      </w:pPr>
    </w:p>
    <w:p w14:paraId="18137C27" w14:textId="77777777" w:rsidR="00C0734D" w:rsidRDefault="00C0734D">
      <w:pPr>
        <w:widowControl/>
        <w:jc w:val="left"/>
        <w:rPr>
          <w:rFonts w:cs="Arial"/>
        </w:rPr>
      </w:pPr>
    </w:p>
    <w:p w14:paraId="66E901D5" w14:textId="77777777" w:rsidR="00C0734D" w:rsidRDefault="00C0734D">
      <w:pPr>
        <w:widowControl/>
        <w:jc w:val="left"/>
        <w:rPr>
          <w:rFonts w:cs="Arial"/>
        </w:rPr>
      </w:pPr>
    </w:p>
    <w:p w14:paraId="0973266D" w14:textId="77777777" w:rsidR="00C0734D" w:rsidRDefault="00C0734D">
      <w:pPr>
        <w:widowControl/>
        <w:jc w:val="left"/>
        <w:rPr>
          <w:rFonts w:cs="Arial"/>
        </w:rPr>
      </w:pPr>
    </w:p>
    <w:p w14:paraId="15481B76" w14:textId="77777777" w:rsidR="00C0734D" w:rsidRDefault="00C0734D">
      <w:pPr>
        <w:widowControl/>
        <w:jc w:val="left"/>
        <w:rPr>
          <w:rFonts w:cs="Arial"/>
        </w:rPr>
      </w:pPr>
    </w:p>
    <w:p w14:paraId="58F9D61A" w14:textId="77777777" w:rsidR="00C0734D" w:rsidRDefault="00C0734D">
      <w:pPr>
        <w:widowControl/>
        <w:jc w:val="left"/>
        <w:rPr>
          <w:rFonts w:cs="Arial"/>
        </w:rPr>
      </w:pPr>
    </w:p>
    <w:p w14:paraId="0C768003" w14:textId="77777777" w:rsidR="00C0734D" w:rsidRDefault="00C0734D">
      <w:pPr>
        <w:widowControl/>
        <w:jc w:val="left"/>
        <w:rPr>
          <w:rFonts w:cs="Arial"/>
        </w:rPr>
      </w:pPr>
    </w:p>
    <w:p w14:paraId="56059C24" w14:textId="77777777" w:rsidR="00C0734D" w:rsidRDefault="00C0734D">
      <w:pPr>
        <w:widowControl/>
        <w:jc w:val="left"/>
        <w:rPr>
          <w:rFonts w:cs="Arial"/>
        </w:rPr>
      </w:pPr>
    </w:p>
    <w:p w14:paraId="5B76B68A" w14:textId="77777777" w:rsidR="00C0734D" w:rsidRDefault="00C0734D">
      <w:pPr>
        <w:widowControl/>
        <w:jc w:val="left"/>
        <w:rPr>
          <w:rFonts w:cs="Arial"/>
        </w:rPr>
      </w:pPr>
    </w:p>
    <w:p w14:paraId="42F66261" w14:textId="5A55C918" w:rsidR="005607D6" w:rsidRDefault="00405E70" w:rsidP="005607D6">
      <w:pPr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0EB00082" wp14:editId="10AA14CF">
            <wp:extent cx="6188710" cy="6510655"/>
            <wp:effectExtent l="0" t="0" r="0" b="4445"/>
            <wp:docPr id="562246190" name="図 10" descr="食品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246190" name="図 10" descr="食品 が含まれている画像&#10;&#10;自動的に生成された説明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651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8F19E" w14:textId="77777777" w:rsidR="005607D6" w:rsidRDefault="005607D6" w:rsidP="005607D6">
      <w:pPr>
        <w:rPr>
          <w:rFonts w:cs="Arial"/>
        </w:rPr>
      </w:pPr>
    </w:p>
    <w:p w14:paraId="21D09079" w14:textId="24172966" w:rsidR="00E544E2" w:rsidRDefault="00EC3AE5" w:rsidP="00F5299B">
      <w:pPr>
        <w:rPr>
          <w:rFonts w:cs="Arial"/>
        </w:rPr>
      </w:pPr>
      <w:r>
        <w:rPr>
          <w:rFonts w:cs="Arial"/>
          <w:b/>
          <w:bCs/>
        </w:rPr>
        <w:t xml:space="preserve">Extended Data </w:t>
      </w:r>
      <w:r w:rsidR="005607D6" w:rsidRPr="006D592F">
        <w:rPr>
          <w:rFonts w:cs="Arial"/>
          <w:b/>
          <w:bCs/>
        </w:rPr>
        <w:t xml:space="preserve">Figure </w:t>
      </w:r>
      <w:r w:rsidR="00100972">
        <w:rPr>
          <w:rFonts w:cs="Arial"/>
          <w:b/>
          <w:bCs/>
        </w:rPr>
        <w:t>4</w:t>
      </w:r>
      <w:r w:rsidR="005607D6" w:rsidRPr="006D592F">
        <w:rPr>
          <w:rFonts w:cs="Arial"/>
          <w:b/>
          <w:bCs/>
        </w:rPr>
        <w:t xml:space="preserve">: Spatial patterns of anomalies </w:t>
      </w:r>
      <w:r w:rsidR="00D65116">
        <w:rPr>
          <w:rFonts w:cs="Arial"/>
          <w:b/>
          <w:bCs/>
        </w:rPr>
        <w:t>in</w:t>
      </w:r>
      <w:r w:rsidR="00D65116" w:rsidRPr="006D592F">
        <w:rPr>
          <w:rFonts w:cs="Arial"/>
          <w:b/>
          <w:bCs/>
        </w:rPr>
        <w:t xml:space="preserve"> </w:t>
      </w:r>
      <w:r w:rsidR="005607D6" w:rsidRPr="006D592F">
        <w:rPr>
          <w:rFonts w:cs="Arial"/>
          <w:b/>
          <w:bCs/>
        </w:rPr>
        <w:t xml:space="preserve">surface air temperature (SAT), sea level pressure (SLP), </w:t>
      </w:r>
      <w:r w:rsidR="005607D6">
        <w:rPr>
          <w:rFonts w:cs="Arial"/>
          <w:b/>
          <w:bCs/>
        </w:rPr>
        <w:t xml:space="preserve">geopotential height at 300hPa (Z300), total cloud fraction (TCF), precipitation </w:t>
      </w:r>
      <w:r w:rsidR="00447FF7">
        <w:rPr>
          <w:rFonts w:cs="Arial"/>
          <w:b/>
          <w:bCs/>
        </w:rPr>
        <w:t>(scaled by</w:t>
      </w:r>
      <w:r w:rsidR="005607D6">
        <w:rPr>
          <w:rFonts w:cs="Arial"/>
          <w:b/>
          <w:bCs/>
        </w:rPr>
        <w:t xml:space="preserve"> climatology</w:t>
      </w:r>
      <w:r w:rsidR="00447FF7">
        <w:rPr>
          <w:rFonts w:cs="Arial"/>
          <w:b/>
          <w:bCs/>
        </w:rPr>
        <w:t>)</w:t>
      </w:r>
      <w:r w:rsidR="005607D6">
        <w:rPr>
          <w:rFonts w:cs="Arial"/>
          <w:b/>
          <w:bCs/>
        </w:rPr>
        <w:t xml:space="preserve">, cloud radiative effect (CRE), </w:t>
      </w:r>
      <w:r w:rsidR="005607D6" w:rsidRPr="006D592F">
        <w:rPr>
          <w:rFonts w:cs="Arial"/>
          <w:b/>
          <w:bCs/>
        </w:rPr>
        <w:t>net SW radiation</w:t>
      </w:r>
      <w:r w:rsidR="005607D6">
        <w:rPr>
          <w:rFonts w:cs="Arial"/>
          <w:b/>
          <w:bCs/>
        </w:rPr>
        <w:t>, and</w:t>
      </w:r>
      <w:r w:rsidR="005607D6" w:rsidRPr="006D592F">
        <w:rPr>
          <w:rFonts w:cs="Arial"/>
          <w:b/>
          <w:bCs/>
        </w:rPr>
        <w:t xml:space="preserve"> LW radiation</w:t>
      </w:r>
      <w:r w:rsidR="005607D6">
        <w:rPr>
          <w:rFonts w:cs="Arial"/>
          <w:b/>
          <w:bCs/>
        </w:rPr>
        <w:t xml:space="preserve"> averaged over DJFMAM</w:t>
      </w:r>
      <w:r w:rsidR="005607D6" w:rsidRPr="006D592F">
        <w:rPr>
          <w:rFonts w:cs="Arial"/>
          <w:b/>
          <w:bCs/>
        </w:rPr>
        <w:t>.</w:t>
      </w:r>
      <w:r w:rsidR="005607D6" w:rsidRPr="006D592F">
        <w:rPr>
          <w:rFonts w:cs="Arial"/>
        </w:rPr>
        <w:t xml:space="preserve"> </w:t>
      </w:r>
      <w:r w:rsidR="00D65116">
        <w:rPr>
          <w:rFonts w:cs="Arial"/>
        </w:rPr>
        <w:t xml:space="preserve">(Left) Observations (OBS), (middle) the extreme EEI composite, and (right) multi-year La Niña composite based on CMIP6. </w:t>
      </w:r>
      <w:r w:rsidR="005607D6" w:rsidRPr="006D592F">
        <w:rPr>
          <w:rFonts w:cs="Arial"/>
        </w:rPr>
        <w:t xml:space="preserve">The SLP is represented by contours with intervals of 1 </w:t>
      </w:r>
      <w:proofErr w:type="spellStart"/>
      <w:r w:rsidR="005607D6" w:rsidRPr="006D592F">
        <w:rPr>
          <w:rFonts w:cs="Arial"/>
        </w:rPr>
        <w:t>hPa</w:t>
      </w:r>
      <w:proofErr w:type="spellEnd"/>
      <w:r w:rsidR="005607D6" w:rsidRPr="006D592F">
        <w:rPr>
          <w:rFonts w:cs="Arial"/>
        </w:rPr>
        <w:t xml:space="preserve"> for OBS and 0.5 </w:t>
      </w:r>
      <w:proofErr w:type="spellStart"/>
      <w:r w:rsidR="005607D6" w:rsidRPr="006D592F">
        <w:rPr>
          <w:rFonts w:cs="Arial"/>
        </w:rPr>
        <w:t>hPa</w:t>
      </w:r>
      <w:proofErr w:type="spellEnd"/>
      <w:r w:rsidR="005607D6" w:rsidRPr="006D592F">
        <w:rPr>
          <w:rFonts w:cs="Arial"/>
        </w:rPr>
        <w:t xml:space="preserve"> for CMIP6 </w:t>
      </w:r>
      <w:r w:rsidR="005607D6">
        <w:rPr>
          <w:rFonts w:cs="Arial"/>
        </w:rPr>
        <w:t>composites</w:t>
      </w:r>
      <w:r w:rsidR="005607D6" w:rsidRPr="006D592F">
        <w:rPr>
          <w:rFonts w:cs="Arial"/>
        </w:rPr>
        <w:t>. The data for OBS is based on 2022/23 observations (with CERES-EBAF for radiation</w:t>
      </w:r>
      <w:r w:rsidR="005607D6">
        <w:rPr>
          <w:rFonts w:cs="Arial"/>
        </w:rPr>
        <w:t xml:space="preserve"> and TCF,</w:t>
      </w:r>
      <w:r w:rsidR="005607D6" w:rsidRPr="006D592F">
        <w:rPr>
          <w:rFonts w:cs="Arial"/>
        </w:rPr>
        <w:t xml:space="preserve"> </w:t>
      </w:r>
      <w:r w:rsidR="005607D6">
        <w:rPr>
          <w:rFonts w:cs="Arial"/>
        </w:rPr>
        <w:t>GPCP for precipitation, and</w:t>
      </w:r>
      <w:r w:rsidR="005607D6" w:rsidRPr="006D592F">
        <w:rPr>
          <w:rFonts w:cs="Arial"/>
        </w:rPr>
        <w:t xml:space="preserve"> ERA5 for SLP</w:t>
      </w:r>
      <w:r w:rsidR="005607D6">
        <w:rPr>
          <w:rFonts w:cs="Arial"/>
        </w:rPr>
        <w:t xml:space="preserve"> and Z300</w:t>
      </w:r>
      <w:r w:rsidR="005607D6" w:rsidRPr="006D592F">
        <w:rPr>
          <w:rFonts w:cs="Arial"/>
        </w:rPr>
        <w:t>), while multi-model ensembles represent years –1 to 0.</w:t>
      </w:r>
      <w:r w:rsidR="00E544E2">
        <w:rPr>
          <w:rFonts w:cs="Arial"/>
        </w:rPr>
        <w:br w:type="page"/>
      </w:r>
    </w:p>
    <w:p w14:paraId="36D0774E" w14:textId="175642B6" w:rsidR="001D288E" w:rsidRDefault="001D288E" w:rsidP="002E2F91">
      <w:pPr>
        <w:rPr>
          <w:rFonts w:cs="Arial"/>
        </w:rPr>
      </w:pPr>
    </w:p>
    <w:p w14:paraId="065F508E" w14:textId="6BE6130F" w:rsidR="00B82306" w:rsidRDefault="00354598" w:rsidP="002E2F91">
      <w:pPr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2D106B31" wp14:editId="1F7487A0">
            <wp:extent cx="6082301" cy="3487420"/>
            <wp:effectExtent l="0" t="0" r="1270" b="5080"/>
            <wp:docPr id="304170182" name="図 2" descr="グラフ, 散布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170182" name="図 2" descr="グラフ, 散布図&#10;&#10;自動的に生成された説明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29" r="1714"/>
                    <a:stretch/>
                  </pic:blipFill>
                  <pic:spPr bwMode="auto">
                    <a:xfrm>
                      <a:off x="0" y="0"/>
                      <a:ext cx="6082301" cy="3487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AE82CE" w14:textId="17552C1C" w:rsidR="001D288E" w:rsidRDefault="00EC3AE5" w:rsidP="002E2F91">
      <w:pPr>
        <w:rPr>
          <w:rFonts w:cs="Arial"/>
          <w:b/>
          <w:bCs/>
        </w:rPr>
      </w:pPr>
      <w:r>
        <w:rPr>
          <w:rFonts w:cs="Arial"/>
          <w:b/>
          <w:bCs/>
        </w:rPr>
        <w:t xml:space="preserve">Extended Data </w:t>
      </w:r>
      <w:r w:rsidR="001D288E" w:rsidRPr="001D288E">
        <w:rPr>
          <w:rFonts w:cs="Arial"/>
          <w:b/>
          <w:bCs/>
        </w:rPr>
        <w:t xml:space="preserve">Figure </w:t>
      </w:r>
      <w:r w:rsidR="00100972">
        <w:rPr>
          <w:rFonts w:cs="Arial"/>
          <w:b/>
          <w:bCs/>
        </w:rPr>
        <w:t>5</w:t>
      </w:r>
      <w:r w:rsidR="001D288E" w:rsidRPr="001D288E">
        <w:rPr>
          <w:rFonts w:cs="Arial"/>
          <w:b/>
          <w:bCs/>
        </w:rPr>
        <w:t xml:space="preserve">: Relationship between the </w:t>
      </w:r>
      <w:r w:rsidR="007D2755">
        <w:rPr>
          <w:rFonts w:cs="Arial"/>
          <w:b/>
          <w:bCs/>
        </w:rPr>
        <w:t xml:space="preserve">year-to-year change in </w:t>
      </w:r>
      <w:r w:rsidR="001D288E" w:rsidRPr="001D288E">
        <w:rPr>
          <w:rFonts w:cs="Arial"/>
          <w:b/>
          <w:bCs/>
        </w:rPr>
        <w:t>ASOND (August–December) GSAT</w:t>
      </w:r>
      <w:r w:rsidR="0084362C">
        <w:rPr>
          <w:rFonts w:cs="Arial"/>
          <w:b/>
          <w:bCs/>
        </w:rPr>
        <w:t xml:space="preserve"> [K]</w:t>
      </w:r>
      <w:r w:rsidR="001D288E" w:rsidRPr="001D288E">
        <w:rPr>
          <w:rFonts w:cs="Arial"/>
          <w:b/>
          <w:bCs/>
        </w:rPr>
        <w:t xml:space="preserve"> and annual mean </w:t>
      </w:r>
      <w:r w:rsidR="005F30EB">
        <w:rPr>
          <w:rFonts w:cs="Arial"/>
          <w:b/>
          <w:bCs/>
        </w:rPr>
        <w:t>EEI</w:t>
      </w:r>
      <w:r w:rsidR="0084362C">
        <w:rPr>
          <w:rFonts w:cs="Arial"/>
          <w:b/>
          <w:bCs/>
        </w:rPr>
        <w:t xml:space="preserve"> [W</w:t>
      </w:r>
      <w:r w:rsidR="00861A92">
        <w:rPr>
          <w:rFonts w:cs="Arial"/>
          <w:b/>
          <w:bCs/>
        </w:rPr>
        <w:t xml:space="preserve"> </w:t>
      </w:r>
      <w:r w:rsidR="0084362C">
        <w:rPr>
          <w:rFonts w:cs="Arial"/>
          <w:b/>
          <w:bCs/>
        </w:rPr>
        <w:t>m</w:t>
      </w:r>
      <w:r w:rsidR="00861A92" w:rsidRPr="00F5299B">
        <w:rPr>
          <w:rFonts w:cs="Arial"/>
          <w:b/>
          <w:bCs/>
          <w:vertAlign w:val="superscript"/>
        </w:rPr>
        <w:t>–</w:t>
      </w:r>
      <w:r w:rsidR="0084362C">
        <w:rPr>
          <w:rFonts w:cs="Arial"/>
          <w:b/>
          <w:bCs/>
          <w:vertAlign w:val="superscript"/>
        </w:rPr>
        <w:t>2</w:t>
      </w:r>
      <w:r w:rsidR="0084362C">
        <w:rPr>
          <w:rFonts w:cs="Arial"/>
          <w:b/>
          <w:bCs/>
        </w:rPr>
        <w:t>]</w:t>
      </w:r>
      <w:r w:rsidR="001D288E" w:rsidRPr="001D288E">
        <w:rPr>
          <w:rFonts w:cs="Arial"/>
          <w:b/>
          <w:bCs/>
        </w:rPr>
        <w:t xml:space="preserve">. </w:t>
      </w:r>
    </w:p>
    <w:p w14:paraId="5060D519" w14:textId="3E1D095A" w:rsidR="00B82306" w:rsidRPr="001D288E" w:rsidRDefault="005B73D3" w:rsidP="002E2F91">
      <w:pPr>
        <w:rPr>
          <w:rFonts w:cs="Arial"/>
        </w:rPr>
      </w:pPr>
      <w:r>
        <w:rPr>
          <w:rFonts w:cs="Arial"/>
        </w:rPr>
        <w:t>The</w:t>
      </w:r>
      <w:r w:rsidR="001D288E" w:rsidRPr="001D288E">
        <w:rPr>
          <w:rFonts w:cs="Arial"/>
        </w:rPr>
        <w:t xml:space="preserve"> </w:t>
      </w:r>
      <w:r>
        <w:rPr>
          <w:rFonts w:cs="Arial"/>
        </w:rPr>
        <w:t>EEI</w:t>
      </w:r>
      <w:r w:rsidR="001D288E" w:rsidRPr="001D288E">
        <w:rPr>
          <w:rFonts w:cs="Arial"/>
        </w:rPr>
        <w:t xml:space="preserve"> </w:t>
      </w:r>
      <w:r>
        <w:rPr>
          <w:rFonts w:cs="Arial"/>
        </w:rPr>
        <w:t xml:space="preserve">is evaluated as the </w:t>
      </w:r>
      <w:r w:rsidR="00DE4D92">
        <w:rPr>
          <w:rFonts w:cs="Arial"/>
        </w:rPr>
        <w:t xml:space="preserve">yearly mean in the period from </w:t>
      </w:r>
      <w:proofErr w:type="gramStart"/>
      <w:r w:rsidR="00DE4D92">
        <w:rPr>
          <w:rFonts w:cs="Arial"/>
        </w:rPr>
        <w:t>October</w:t>
      </w:r>
      <w:r w:rsidR="00447639">
        <w:rPr>
          <w:rFonts w:cs="Arial"/>
        </w:rPr>
        <w:t>(</w:t>
      </w:r>
      <w:proofErr w:type="gramEnd"/>
      <w:r w:rsidR="00447639">
        <w:rPr>
          <w:rFonts w:cs="Arial"/>
        </w:rPr>
        <w:t>0)</w:t>
      </w:r>
      <w:r w:rsidR="00DE4D92">
        <w:rPr>
          <w:rFonts w:cs="Arial"/>
        </w:rPr>
        <w:t xml:space="preserve"> to September</w:t>
      </w:r>
      <w:r w:rsidR="00447639">
        <w:rPr>
          <w:rFonts w:cs="Arial"/>
        </w:rPr>
        <w:t>(1)</w:t>
      </w:r>
      <w:r w:rsidR="001D288E" w:rsidRPr="001D288E">
        <w:rPr>
          <w:rFonts w:cs="Arial"/>
        </w:rPr>
        <w:t xml:space="preserve">. The GSAT change is calculated as the </w:t>
      </w:r>
      <w:r w:rsidR="00E04F10">
        <w:rPr>
          <w:rFonts w:cs="Arial"/>
        </w:rPr>
        <w:t xml:space="preserve">ASOND </w:t>
      </w:r>
      <w:r w:rsidR="001D288E" w:rsidRPr="001D288E">
        <w:rPr>
          <w:rFonts w:cs="Arial"/>
        </w:rPr>
        <w:t xml:space="preserve">difference </w:t>
      </w:r>
      <w:r w:rsidR="00305A09">
        <w:rPr>
          <w:rFonts w:cs="Arial"/>
        </w:rPr>
        <w:t xml:space="preserve">between </w:t>
      </w:r>
      <w:proofErr w:type="gramStart"/>
      <w:r w:rsidR="00E04F10">
        <w:rPr>
          <w:rFonts w:cs="Arial"/>
        </w:rPr>
        <w:t>year(</w:t>
      </w:r>
      <w:proofErr w:type="gramEnd"/>
      <w:r w:rsidR="00E04F10">
        <w:rPr>
          <w:rFonts w:cs="Arial"/>
        </w:rPr>
        <w:t>0) and year(1)</w:t>
      </w:r>
      <w:r w:rsidR="001D288E" w:rsidRPr="001D288E">
        <w:rPr>
          <w:rFonts w:cs="Arial"/>
        </w:rPr>
        <w:t xml:space="preserve">. The gray line represents the regression based on CMIP6 samples. Orange and green dots indicate multi-year and </w:t>
      </w:r>
      <w:proofErr w:type="gramStart"/>
      <w:r w:rsidR="001D288E" w:rsidRPr="001D288E">
        <w:rPr>
          <w:rFonts w:cs="Arial"/>
        </w:rPr>
        <w:t>single-year</w:t>
      </w:r>
      <w:proofErr w:type="gramEnd"/>
      <w:r w:rsidR="001D288E" w:rsidRPr="001D288E">
        <w:rPr>
          <w:rFonts w:cs="Arial"/>
        </w:rPr>
        <w:t xml:space="preserve"> La Niña cases, respectively (Methods). Purple dots represent </w:t>
      </w:r>
      <w:r w:rsidR="000330EB">
        <w:rPr>
          <w:rFonts w:cs="Arial"/>
        </w:rPr>
        <w:t xml:space="preserve">the </w:t>
      </w:r>
      <w:r w:rsidR="001D288E" w:rsidRPr="001D288E">
        <w:rPr>
          <w:rFonts w:cs="Arial"/>
        </w:rPr>
        <w:t>observations from 2001 to 2022, with the 20</w:t>
      </w:r>
      <w:r w:rsidR="00DE4D92">
        <w:rPr>
          <w:rFonts w:cs="Arial"/>
        </w:rPr>
        <w:t>22/</w:t>
      </w:r>
      <w:r w:rsidR="001D288E" w:rsidRPr="001D288E">
        <w:rPr>
          <w:rFonts w:cs="Arial"/>
        </w:rPr>
        <w:t>23 case highlighted by a purple star. The purple line shows the observ</w:t>
      </w:r>
      <w:r w:rsidR="00C35E04">
        <w:rPr>
          <w:rFonts w:cs="Arial"/>
        </w:rPr>
        <w:t>ational</w:t>
      </w:r>
      <w:r w:rsidR="001D288E" w:rsidRPr="001D288E">
        <w:rPr>
          <w:rFonts w:cs="Arial"/>
        </w:rPr>
        <w:t xml:space="preserve"> regression line, with the 95% confidence interval indicated by the purple shading.</w:t>
      </w:r>
      <w:r w:rsidR="00C000A6" w:rsidRPr="00C000A6">
        <w:rPr>
          <w:rFonts w:cs="Arial"/>
        </w:rPr>
        <w:t xml:space="preserve"> </w:t>
      </w:r>
      <w:r w:rsidR="00C000A6" w:rsidRPr="001D288E">
        <w:rPr>
          <w:rFonts w:cs="Arial"/>
        </w:rPr>
        <w:t xml:space="preserve">Blue shading highlights </w:t>
      </w:r>
      <w:r w:rsidR="00C000A6">
        <w:rPr>
          <w:rFonts w:cs="Arial"/>
        </w:rPr>
        <w:t xml:space="preserve">the </w:t>
      </w:r>
      <w:r w:rsidR="00C000A6" w:rsidRPr="001D288E">
        <w:rPr>
          <w:rFonts w:cs="Arial"/>
        </w:rPr>
        <w:t>extreme EEI cases.</w:t>
      </w:r>
      <w:r w:rsidR="001D288E" w:rsidRPr="001D288E">
        <w:rPr>
          <w:rFonts w:cs="Arial"/>
        </w:rPr>
        <w:t xml:space="preserve"> The inset in the top-left corner shows the sample means and 95% confidence intervals for multi-year (orange) and single-year (green) La Niña cases. </w:t>
      </w:r>
    </w:p>
    <w:p w14:paraId="4E850E56" w14:textId="4A9DBE4E" w:rsidR="00A2623C" w:rsidRDefault="00A2623C">
      <w:pPr>
        <w:widowControl/>
        <w:jc w:val="left"/>
        <w:rPr>
          <w:rFonts w:cs="Arial"/>
        </w:rPr>
      </w:pPr>
      <w:r>
        <w:rPr>
          <w:rFonts w:cs="Arial"/>
        </w:rPr>
        <w:br w:type="page"/>
      </w:r>
    </w:p>
    <w:p w14:paraId="107A7CB8" w14:textId="0958FF49" w:rsidR="007603D6" w:rsidRDefault="00354598" w:rsidP="002E2F91">
      <w:pPr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7B0DB9E4" wp14:editId="476C43DE">
            <wp:extent cx="6188710" cy="3713480"/>
            <wp:effectExtent l="0" t="0" r="0" b="0"/>
            <wp:docPr id="1811913108" name="図 9" descr="グラフ, 折れ線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913108" name="図 9" descr="グラフ, 折れ線グラフ&#10;&#10;自動的に生成された説明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71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16DC8" w14:textId="23CD0A2E" w:rsidR="00524926" w:rsidRDefault="00524926" w:rsidP="002E2F91">
      <w:pPr>
        <w:rPr>
          <w:rFonts w:cs="Arial"/>
        </w:rPr>
      </w:pPr>
    </w:p>
    <w:p w14:paraId="2B3ED6BF" w14:textId="57DF2C23" w:rsidR="00F751BB" w:rsidRDefault="00EC3AE5" w:rsidP="002E2F91">
      <w:pPr>
        <w:rPr>
          <w:rFonts w:cs="Arial"/>
          <w:b/>
          <w:bCs/>
        </w:rPr>
      </w:pPr>
      <w:r>
        <w:rPr>
          <w:rFonts w:cs="Arial"/>
          <w:b/>
          <w:bCs/>
        </w:rPr>
        <w:t xml:space="preserve">Extended Data </w:t>
      </w:r>
      <w:r w:rsidR="00F751BB" w:rsidRPr="00F751BB">
        <w:rPr>
          <w:rFonts w:cs="Arial"/>
          <w:b/>
          <w:bCs/>
        </w:rPr>
        <w:t xml:space="preserve">Figure </w:t>
      </w:r>
      <w:r w:rsidR="00100972">
        <w:rPr>
          <w:rFonts w:cs="Arial"/>
          <w:b/>
          <w:bCs/>
        </w:rPr>
        <w:t>6</w:t>
      </w:r>
      <w:r w:rsidR="00F751BB" w:rsidRPr="00F751BB">
        <w:rPr>
          <w:rFonts w:cs="Arial"/>
          <w:b/>
          <w:bCs/>
        </w:rPr>
        <w:t>:</w:t>
      </w:r>
      <w:r w:rsidR="00F751BB" w:rsidRPr="00F01E15">
        <w:rPr>
          <w:rFonts w:cs="Arial"/>
          <w:b/>
          <w:bCs/>
        </w:rPr>
        <w:t> Lagged regression of (a) Ni</w:t>
      </w:r>
      <w:r w:rsidR="00254325">
        <w:rPr>
          <w:rFonts w:cs="Arial"/>
          <w:b/>
          <w:bCs/>
        </w:rPr>
        <w:t>ñ</w:t>
      </w:r>
      <w:r w:rsidR="00F751BB" w:rsidRPr="00F01E15">
        <w:rPr>
          <w:rFonts w:cs="Arial"/>
          <w:b/>
          <w:bCs/>
        </w:rPr>
        <w:t xml:space="preserve">o3.4 SST, (b) </w:t>
      </w:r>
      <w:r w:rsidR="004C38F9">
        <w:rPr>
          <w:rFonts w:cs="Arial"/>
          <w:b/>
          <w:bCs/>
        </w:rPr>
        <w:t>GSAT, (c) EEI</w:t>
      </w:r>
      <w:r w:rsidR="00F751BB" w:rsidRPr="00F01E15">
        <w:rPr>
          <w:rFonts w:cs="Arial"/>
          <w:b/>
          <w:bCs/>
        </w:rPr>
        <w:t>, (</w:t>
      </w:r>
      <w:r w:rsidR="004C38F9">
        <w:rPr>
          <w:rFonts w:cs="Arial"/>
          <w:b/>
          <w:bCs/>
        </w:rPr>
        <w:t>d</w:t>
      </w:r>
      <w:r w:rsidR="00F751BB" w:rsidRPr="00F01E15">
        <w:rPr>
          <w:rFonts w:cs="Arial"/>
          <w:b/>
          <w:bCs/>
        </w:rPr>
        <w:t xml:space="preserve">) net SW radiation, </w:t>
      </w:r>
      <w:r w:rsidR="004C38F9">
        <w:rPr>
          <w:rFonts w:cs="Arial"/>
          <w:b/>
          <w:bCs/>
        </w:rPr>
        <w:t xml:space="preserve">and </w:t>
      </w:r>
      <w:r w:rsidR="00F751BB" w:rsidRPr="00F01E15">
        <w:rPr>
          <w:rFonts w:cs="Arial"/>
          <w:b/>
          <w:bCs/>
        </w:rPr>
        <w:t>(</w:t>
      </w:r>
      <w:r w:rsidR="004C38F9">
        <w:rPr>
          <w:rFonts w:cs="Arial"/>
          <w:b/>
          <w:bCs/>
        </w:rPr>
        <w:t>e</w:t>
      </w:r>
      <w:r w:rsidR="00F751BB" w:rsidRPr="00F01E15">
        <w:rPr>
          <w:rFonts w:cs="Arial"/>
          <w:b/>
          <w:bCs/>
        </w:rPr>
        <w:t>) LW radiation anomalies against the Ni</w:t>
      </w:r>
      <w:r w:rsidR="004C38F9">
        <w:rPr>
          <w:rFonts w:cs="Arial"/>
          <w:b/>
          <w:bCs/>
        </w:rPr>
        <w:t>ñ</w:t>
      </w:r>
      <w:r w:rsidR="00F751BB" w:rsidRPr="00F01E15">
        <w:rPr>
          <w:rFonts w:cs="Arial"/>
          <w:b/>
          <w:bCs/>
        </w:rPr>
        <w:t xml:space="preserve">o3.4 SST anomaly for historical and </w:t>
      </w:r>
      <w:r w:rsidR="00143B4D">
        <w:rPr>
          <w:rFonts w:cs="Arial"/>
          <w:b/>
          <w:bCs/>
        </w:rPr>
        <w:t>AMIP</w:t>
      </w:r>
      <w:r w:rsidR="00143B4D" w:rsidRPr="00F01E15">
        <w:rPr>
          <w:rFonts w:cs="Arial"/>
          <w:b/>
          <w:bCs/>
        </w:rPr>
        <w:t xml:space="preserve"> </w:t>
      </w:r>
      <w:r w:rsidR="00F751BB" w:rsidRPr="00F01E15">
        <w:rPr>
          <w:rFonts w:cs="Arial"/>
          <w:b/>
          <w:bCs/>
        </w:rPr>
        <w:t>simulations.</w:t>
      </w:r>
    </w:p>
    <w:p w14:paraId="254BD9B1" w14:textId="5E49C5D9" w:rsidR="00524926" w:rsidRDefault="00096D20" w:rsidP="002E2F91">
      <w:pPr>
        <w:rPr>
          <w:rFonts w:cs="Arial"/>
        </w:rPr>
      </w:pPr>
      <w:r>
        <w:rPr>
          <w:rFonts w:cs="Arial"/>
        </w:rPr>
        <w:t>The unit is (a, b) K K</w:t>
      </w:r>
      <w:r w:rsidRPr="00F5299B">
        <w:rPr>
          <w:rFonts w:cs="Arial"/>
          <w:vertAlign w:val="superscript"/>
        </w:rPr>
        <w:t>–1</w:t>
      </w:r>
      <w:r>
        <w:rPr>
          <w:rFonts w:cs="Arial"/>
        </w:rPr>
        <w:t xml:space="preserve"> and (c-e) W m</w:t>
      </w:r>
      <w:r w:rsidRPr="00F5299B">
        <w:rPr>
          <w:rFonts w:cs="Arial"/>
          <w:vertAlign w:val="superscript"/>
        </w:rPr>
        <w:t>–2</w:t>
      </w:r>
      <w:r>
        <w:rPr>
          <w:rFonts w:cs="Arial"/>
        </w:rPr>
        <w:t xml:space="preserve"> K</w:t>
      </w:r>
      <w:r w:rsidRPr="00F5299B">
        <w:rPr>
          <w:rFonts w:cs="Arial"/>
          <w:vertAlign w:val="superscript"/>
        </w:rPr>
        <w:t>–1</w:t>
      </w:r>
      <w:r>
        <w:rPr>
          <w:rFonts w:cs="Arial"/>
        </w:rPr>
        <w:t xml:space="preserve">. </w:t>
      </w:r>
      <w:r w:rsidR="00F751BB" w:rsidRPr="00F751BB">
        <w:rPr>
          <w:rFonts w:cs="Arial"/>
        </w:rPr>
        <w:t xml:space="preserve">All lagged regressions are based on </w:t>
      </w:r>
      <w:r w:rsidR="009D0732">
        <w:rPr>
          <w:rFonts w:cs="Arial"/>
        </w:rPr>
        <w:t>linearly detrended time</w:t>
      </w:r>
      <w:r w:rsidR="00354598">
        <w:rPr>
          <w:rFonts w:cs="Arial"/>
        </w:rPr>
        <w:t xml:space="preserve"> </w:t>
      </w:r>
      <w:r w:rsidR="009D0732">
        <w:rPr>
          <w:rFonts w:cs="Arial"/>
        </w:rPr>
        <w:t xml:space="preserve">series for 1979-2014 with </w:t>
      </w:r>
      <w:r w:rsidR="00354598">
        <w:rPr>
          <w:rFonts w:cs="Arial"/>
        </w:rPr>
        <w:t xml:space="preserve">a </w:t>
      </w:r>
      <w:r w:rsidR="00F751BB" w:rsidRPr="00F751BB">
        <w:rPr>
          <w:rFonts w:cs="Arial"/>
        </w:rPr>
        <w:t xml:space="preserve">3-month running average. Lines and shading represent the MME mean and ±1 standard deviation for the historical (blue) and </w:t>
      </w:r>
      <w:r w:rsidR="00F05DBF">
        <w:rPr>
          <w:rFonts w:cs="Arial"/>
        </w:rPr>
        <w:t>AMIP</w:t>
      </w:r>
      <w:r w:rsidR="00F751BB" w:rsidRPr="00F751BB">
        <w:rPr>
          <w:rFonts w:cs="Arial"/>
        </w:rPr>
        <w:t xml:space="preserve"> (red) simulations. Bolded lines indicate where the MME mean </w:t>
      </w:r>
      <w:r w:rsidR="0009418F">
        <w:rPr>
          <w:rFonts w:cs="Arial"/>
        </w:rPr>
        <w:t>anomalies</w:t>
      </w:r>
      <w:r w:rsidR="0009418F" w:rsidRPr="00F751BB">
        <w:rPr>
          <w:rFonts w:cs="Arial"/>
        </w:rPr>
        <w:t xml:space="preserve"> </w:t>
      </w:r>
      <w:r w:rsidR="00F751BB" w:rsidRPr="00F751BB">
        <w:rPr>
          <w:rFonts w:cs="Arial"/>
        </w:rPr>
        <w:t>are statistically significant at the 95% confidence level.</w:t>
      </w:r>
      <w:r w:rsidR="00573226">
        <w:rPr>
          <w:rFonts w:cs="Arial"/>
        </w:rPr>
        <w:t xml:space="preserve"> </w:t>
      </w:r>
      <w:r w:rsidR="00573226" w:rsidRPr="00573226">
        <w:rPr>
          <w:rFonts w:cs="Arial"/>
        </w:rPr>
        <w:t xml:space="preserve">The analysis utilizes 31 models for both historical and </w:t>
      </w:r>
      <w:r w:rsidR="005952B6">
        <w:rPr>
          <w:rFonts w:cs="Arial"/>
        </w:rPr>
        <w:t>AMIP</w:t>
      </w:r>
      <w:r w:rsidR="00573226" w:rsidRPr="00573226">
        <w:rPr>
          <w:rFonts w:cs="Arial"/>
        </w:rPr>
        <w:t xml:space="preserve"> simulations, limited </w:t>
      </w:r>
      <w:r w:rsidR="00556289">
        <w:rPr>
          <w:rFonts w:cs="Arial"/>
        </w:rPr>
        <w:t>by</w:t>
      </w:r>
      <w:r w:rsidR="00573226" w:rsidRPr="00573226">
        <w:rPr>
          <w:rFonts w:cs="Arial"/>
        </w:rPr>
        <w:t xml:space="preserve"> </w:t>
      </w:r>
      <w:r w:rsidR="00556289">
        <w:rPr>
          <w:rFonts w:cs="Arial"/>
        </w:rPr>
        <w:t>our</w:t>
      </w:r>
      <w:r w:rsidR="00573226" w:rsidRPr="00573226">
        <w:rPr>
          <w:rFonts w:cs="Arial"/>
        </w:rPr>
        <w:t xml:space="preserve"> availab</w:t>
      </w:r>
      <w:r w:rsidR="00556289">
        <w:rPr>
          <w:rFonts w:cs="Arial"/>
        </w:rPr>
        <w:t>ility of</w:t>
      </w:r>
      <w:r w:rsidR="00573226" w:rsidRPr="00573226">
        <w:rPr>
          <w:rFonts w:cs="Arial"/>
        </w:rPr>
        <w:t xml:space="preserve"> </w:t>
      </w:r>
      <w:r w:rsidR="00B912F0">
        <w:rPr>
          <w:rFonts w:cs="Arial"/>
        </w:rPr>
        <w:t xml:space="preserve">the </w:t>
      </w:r>
      <w:r w:rsidR="005952B6">
        <w:rPr>
          <w:rFonts w:cs="Arial"/>
        </w:rPr>
        <w:t>AMIP</w:t>
      </w:r>
      <w:r w:rsidR="005952B6" w:rsidRPr="00573226">
        <w:rPr>
          <w:rFonts w:cs="Arial"/>
        </w:rPr>
        <w:t xml:space="preserve"> </w:t>
      </w:r>
      <w:r w:rsidR="00573226" w:rsidRPr="00573226">
        <w:rPr>
          <w:rFonts w:cs="Arial"/>
        </w:rPr>
        <w:t>simulations.</w:t>
      </w:r>
    </w:p>
    <w:p w14:paraId="7657F341" w14:textId="4A469F7C" w:rsidR="006D5076" w:rsidRDefault="006D5076">
      <w:pPr>
        <w:widowControl/>
        <w:jc w:val="left"/>
        <w:rPr>
          <w:rFonts w:cs="Arial"/>
        </w:rPr>
      </w:pPr>
      <w:r>
        <w:rPr>
          <w:rFonts w:cs="Arial"/>
        </w:rPr>
        <w:br w:type="page"/>
      </w:r>
    </w:p>
    <w:p w14:paraId="67BA3E47" w14:textId="1AF1EE68" w:rsidR="007F3DFD" w:rsidRDefault="00362254" w:rsidP="002E2F91">
      <w:pPr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6FB3E30D" wp14:editId="316C3395">
            <wp:extent cx="6187597" cy="3537555"/>
            <wp:effectExtent l="0" t="0" r="0" b="6350"/>
            <wp:docPr id="1573445258" name="図 10" descr="グラフ, 散布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445258" name="図 10" descr="グラフ, 散布図&#10;&#10;自動的に生成された説明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21"/>
                    <a:stretch/>
                  </pic:blipFill>
                  <pic:spPr bwMode="auto">
                    <a:xfrm>
                      <a:off x="0" y="0"/>
                      <a:ext cx="6188710" cy="3538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0BE90F" w14:textId="74CAB5FF" w:rsidR="007F3DFD" w:rsidRDefault="00EC3AE5" w:rsidP="002E2F91">
      <w:pPr>
        <w:rPr>
          <w:rFonts w:cs="Arial"/>
        </w:rPr>
      </w:pPr>
      <w:r>
        <w:rPr>
          <w:rFonts w:cs="Arial"/>
          <w:b/>
          <w:bCs/>
        </w:rPr>
        <w:t xml:space="preserve">Extended Data </w:t>
      </w:r>
      <w:r w:rsidR="002B4831" w:rsidRPr="002B4831">
        <w:rPr>
          <w:rFonts w:cs="Arial"/>
          <w:b/>
          <w:bCs/>
        </w:rPr>
        <w:t xml:space="preserve">Figure </w:t>
      </w:r>
      <w:r w:rsidR="00100972">
        <w:rPr>
          <w:rFonts w:cs="Arial"/>
          <w:b/>
          <w:bCs/>
        </w:rPr>
        <w:t>7</w:t>
      </w:r>
      <w:r w:rsidR="002B4831" w:rsidRPr="002B4831">
        <w:rPr>
          <w:rFonts w:cs="Arial"/>
          <w:b/>
          <w:bCs/>
        </w:rPr>
        <w:t>: Same as Figure 3, but categorized by ENSO transitions: neutral to El Niño, La Niña to neutral, and La Niña to El Niño.</w:t>
      </w:r>
      <w:r w:rsidR="002B4831" w:rsidRPr="002B4831">
        <w:rPr>
          <w:rFonts w:cs="Arial"/>
        </w:rPr>
        <w:br/>
        <w:t xml:space="preserve">The </w:t>
      </w:r>
      <w:r w:rsidR="00734F1B">
        <w:rPr>
          <w:rFonts w:cs="Arial"/>
        </w:rPr>
        <w:t>yearly (October</w:t>
      </w:r>
      <w:r w:rsidR="008708D2">
        <w:rPr>
          <w:rFonts w:cs="Arial"/>
        </w:rPr>
        <w:t>(0)</w:t>
      </w:r>
      <w:r w:rsidR="00734F1B">
        <w:rPr>
          <w:rFonts w:cs="Arial"/>
        </w:rPr>
        <w:t>-September</w:t>
      </w:r>
      <w:r w:rsidR="008708D2">
        <w:rPr>
          <w:rFonts w:cs="Arial"/>
        </w:rPr>
        <w:t>(1)</w:t>
      </w:r>
      <w:r w:rsidR="00734F1B">
        <w:rPr>
          <w:rFonts w:cs="Arial"/>
        </w:rPr>
        <w:t>)</w:t>
      </w:r>
      <w:r w:rsidR="002B4831" w:rsidRPr="002B4831">
        <w:rPr>
          <w:rFonts w:cs="Arial"/>
        </w:rPr>
        <w:t xml:space="preserve"> mean values (±95% confidence interval) </w:t>
      </w:r>
      <w:r w:rsidR="007B7488">
        <w:rPr>
          <w:rFonts w:cs="Arial"/>
        </w:rPr>
        <w:t>of EEI</w:t>
      </w:r>
      <w:r w:rsidR="00D8588A">
        <w:rPr>
          <w:rFonts w:cs="Arial"/>
        </w:rPr>
        <w:t xml:space="preserve"> mean-retained anomalies</w:t>
      </w:r>
      <w:r w:rsidR="002B4831" w:rsidRPr="002B4831">
        <w:rPr>
          <w:rFonts w:cs="Arial"/>
        </w:rPr>
        <w:t xml:space="preserve"> are </w:t>
      </w:r>
      <w:r w:rsidR="00EB2279">
        <w:rPr>
          <w:rFonts w:cs="Arial"/>
        </w:rPr>
        <w:t>1.30</w:t>
      </w:r>
      <w:r w:rsidR="002B4831" w:rsidRPr="002B4831">
        <w:rPr>
          <w:rFonts w:cs="Arial"/>
        </w:rPr>
        <w:t xml:space="preserve"> (±0.05), </w:t>
      </w:r>
      <w:r w:rsidR="00EB2279">
        <w:rPr>
          <w:rFonts w:cs="Arial"/>
        </w:rPr>
        <w:t>1.36</w:t>
      </w:r>
      <w:r w:rsidR="002B4831" w:rsidRPr="002B4831">
        <w:rPr>
          <w:rFonts w:cs="Arial"/>
        </w:rPr>
        <w:t xml:space="preserve"> (±0.0</w:t>
      </w:r>
      <w:r w:rsidR="00EB2279">
        <w:rPr>
          <w:rFonts w:cs="Arial"/>
        </w:rPr>
        <w:t>6</w:t>
      </w:r>
      <w:r w:rsidR="002B4831" w:rsidRPr="002B4831">
        <w:rPr>
          <w:rFonts w:cs="Arial"/>
        </w:rPr>
        <w:t xml:space="preserve">), and </w:t>
      </w:r>
      <w:r w:rsidR="00EB2279">
        <w:rPr>
          <w:rFonts w:cs="Arial"/>
        </w:rPr>
        <w:t>1.49</w:t>
      </w:r>
      <w:r w:rsidR="002B4831" w:rsidRPr="002B4831">
        <w:rPr>
          <w:rFonts w:cs="Arial"/>
        </w:rPr>
        <w:t xml:space="preserve"> (±0.06) W</w:t>
      </w:r>
      <w:r w:rsidR="00DA16EC">
        <w:rPr>
          <w:rFonts w:cs="Arial"/>
        </w:rPr>
        <w:t xml:space="preserve"> </w:t>
      </w:r>
      <w:r w:rsidR="002B4831" w:rsidRPr="002B4831">
        <w:rPr>
          <w:rFonts w:cs="Arial"/>
        </w:rPr>
        <w:t>m</w:t>
      </w:r>
      <w:r w:rsidR="00DA16EC" w:rsidRPr="00F01E15">
        <w:rPr>
          <w:rFonts w:cs="Arial"/>
          <w:vertAlign w:val="superscript"/>
        </w:rPr>
        <w:t>–</w:t>
      </w:r>
      <w:r w:rsidR="002B4831" w:rsidRPr="002B4831">
        <w:rPr>
          <w:rFonts w:cs="Arial"/>
        </w:rPr>
        <w:t xml:space="preserve">², respectively. These results suggest that either </w:t>
      </w:r>
      <w:r w:rsidR="00A128BA">
        <w:rPr>
          <w:rFonts w:cs="Arial"/>
        </w:rPr>
        <w:t xml:space="preserve">decaying </w:t>
      </w:r>
      <w:r w:rsidR="002B4831" w:rsidRPr="002B4831">
        <w:rPr>
          <w:rFonts w:cs="Arial"/>
        </w:rPr>
        <w:t xml:space="preserve">La Niña or </w:t>
      </w:r>
      <w:r w:rsidR="00A128BA">
        <w:rPr>
          <w:rFonts w:cs="Arial"/>
        </w:rPr>
        <w:t xml:space="preserve">developing </w:t>
      </w:r>
      <w:r w:rsidR="002B4831" w:rsidRPr="002B4831">
        <w:rPr>
          <w:rFonts w:cs="Arial"/>
        </w:rPr>
        <w:t>El Niño conditions can induce enhanced EEI compared to non-transition cases (</w:t>
      </w:r>
      <w:r w:rsidR="00EB2279">
        <w:rPr>
          <w:rFonts w:cs="Arial"/>
        </w:rPr>
        <w:t>1.1</w:t>
      </w:r>
      <w:r w:rsidR="002B4831" w:rsidRPr="002B4831">
        <w:rPr>
          <w:rFonts w:cs="Arial"/>
        </w:rPr>
        <w:t xml:space="preserve"> W</w:t>
      </w:r>
      <w:r w:rsidR="008E4E92">
        <w:rPr>
          <w:rFonts w:cs="Arial"/>
        </w:rPr>
        <w:t xml:space="preserve"> </w:t>
      </w:r>
      <w:r w:rsidR="002B4831" w:rsidRPr="002B4831">
        <w:rPr>
          <w:rFonts w:cs="Arial"/>
        </w:rPr>
        <w:t>m</w:t>
      </w:r>
      <w:r w:rsidR="008E4E92" w:rsidRPr="00F01E15">
        <w:rPr>
          <w:rFonts w:cs="Arial"/>
          <w:vertAlign w:val="superscript"/>
        </w:rPr>
        <w:t>–</w:t>
      </w:r>
      <w:r w:rsidR="002B4831" w:rsidRPr="002B4831">
        <w:rPr>
          <w:rFonts w:cs="Arial"/>
        </w:rPr>
        <w:t xml:space="preserve">²). </w:t>
      </w:r>
      <w:r w:rsidR="0035408E">
        <w:rPr>
          <w:rFonts w:cs="Arial"/>
        </w:rPr>
        <w:t>However</w:t>
      </w:r>
      <w:r w:rsidR="002B4831" w:rsidRPr="002B4831">
        <w:rPr>
          <w:rFonts w:cs="Arial"/>
        </w:rPr>
        <w:t>, transitions from La Niña to El Niño exhibit a more pronounced EEI, indicating that the observed transition to El Niño in 2023 contributed to the enhancement of EEI in conjunction with the triple-dip La Niña</w:t>
      </w:r>
      <w:r w:rsidR="000333C6">
        <w:rPr>
          <w:rFonts w:cs="Arial"/>
        </w:rPr>
        <w:t xml:space="preserve"> termination</w:t>
      </w:r>
      <w:r w:rsidR="002B4831" w:rsidRPr="002B4831">
        <w:rPr>
          <w:rFonts w:cs="Arial"/>
        </w:rPr>
        <w:t>.</w:t>
      </w:r>
    </w:p>
    <w:p w14:paraId="113783E8" w14:textId="5925D6D6" w:rsidR="00AD06B5" w:rsidRDefault="00AD06B5">
      <w:pPr>
        <w:widowControl/>
        <w:jc w:val="left"/>
        <w:rPr>
          <w:rFonts w:cs="Arial"/>
        </w:rPr>
      </w:pPr>
      <w:r>
        <w:rPr>
          <w:rFonts w:cs="Arial"/>
        </w:rPr>
        <w:br w:type="page"/>
      </w:r>
    </w:p>
    <w:p w14:paraId="3D9EBE1C" w14:textId="770FF876" w:rsidR="00B82306" w:rsidRDefault="00354598" w:rsidP="002E2F91">
      <w:pPr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109709BE" wp14:editId="0180DB5E">
            <wp:extent cx="6141271" cy="2440744"/>
            <wp:effectExtent l="0" t="0" r="0" b="0"/>
            <wp:docPr id="263979810" name="図 7" descr="グラフ, 散布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979810" name="図 7" descr="グラフ, 散布図&#10;&#10;自動的に生成された説明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34" r="1570"/>
                    <a:stretch/>
                  </pic:blipFill>
                  <pic:spPr bwMode="auto">
                    <a:xfrm>
                      <a:off x="0" y="0"/>
                      <a:ext cx="6162290" cy="2449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78D2ED" w14:textId="1BE310E9" w:rsidR="00B82306" w:rsidRDefault="00B82306" w:rsidP="002E2F91">
      <w:pPr>
        <w:rPr>
          <w:rFonts w:cs="Arial"/>
        </w:rPr>
      </w:pPr>
    </w:p>
    <w:p w14:paraId="3A257A9B" w14:textId="47A6CA0D" w:rsidR="00F309F1" w:rsidRPr="00F309F1" w:rsidRDefault="00EC3AE5" w:rsidP="00F309F1">
      <w:pPr>
        <w:rPr>
          <w:rFonts w:cs="Arial"/>
        </w:rPr>
      </w:pPr>
      <w:r>
        <w:rPr>
          <w:rFonts w:cs="Arial"/>
          <w:b/>
          <w:bCs/>
        </w:rPr>
        <w:t xml:space="preserve">Extended Data </w:t>
      </w:r>
      <w:r w:rsidR="00F309F1" w:rsidRPr="00F309F1">
        <w:rPr>
          <w:rFonts w:cs="Arial"/>
          <w:b/>
          <w:bCs/>
        </w:rPr>
        <w:t xml:space="preserve">Figure </w:t>
      </w:r>
      <w:r w:rsidR="00100972">
        <w:rPr>
          <w:rFonts w:cs="Arial"/>
          <w:b/>
          <w:bCs/>
        </w:rPr>
        <w:t>8</w:t>
      </w:r>
      <w:r w:rsidR="00F309F1" w:rsidRPr="00F309F1">
        <w:rPr>
          <w:rFonts w:cs="Arial"/>
          <w:b/>
          <w:bCs/>
        </w:rPr>
        <w:t>: Relationship between the amplitudes of ENSO and EEI</w:t>
      </w:r>
      <w:r w:rsidR="00F15504">
        <w:rPr>
          <w:rFonts w:cs="Arial"/>
          <w:b/>
          <w:bCs/>
        </w:rPr>
        <w:t xml:space="preserve"> </w:t>
      </w:r>
      <w:r w:rsidR="00D67240">
        <w:rPr>
          <w:rFonts w:cs="Arial"/>
          <w:b/>
          <w:bCs/>
        </w:rPr>
        <w:t xml:space="preserve">internal </w:t>
      </w:r>
      <w:r w:rsidR="00F15504">
        <w:rPr>
          <w:rFonts w:cs="Arial"/>
          <w:b/>
          <w:bCs/>
        </w:rPr>
        <w:t>variability</w:t>
      </w:r>
      <w:r w:rsidR="00F309F1" w:rsidRPr="00F309F1">
        <w:rPr>
          <w:rFonts w:cs="Arial"/>
          <w:b/>
          <w:bCs/>
        </w:rPr>
        <w:t>.</w:t>
      </w:r>
    </w:p>
    <w:p w14:paraId="4ADD6E9D" w14:textId="101B5238" w:rsidR="00F309F1" w:rsidRPr="00F309F1" w:rsidRDefault="00F309F1" w:rsidP="00F309F1">
      <w:pPr>
        <w:rPr>
          <w:rFonts w:cs="Arial"/>
        </w:rPr>
      </w:pPr>
      <w:r w:rsidRPr="00F309F1">
        <w:rPr>
          <w:rFonts w:cs="Arial"/>
        </w:rPr>
        <w:t xml:space="preserve">The scatter plot shows the standard deviations of Niño 3.4 SST anomalies versus the standard deviation of EEI for (a) </w:t>
      </w:r>
      <w:r w:rsidR="002F16EA">
        <w:rPr>
          <w:rFonts w:cs="Arial"/>
        </w:rPr>
        <w:t>calendar-year</w:t>
      </w:r>
      <w:r w:rsidR="002F16EA" w:rsidRPr="00F309F1">
        <w:rPr>
          <w:rFonts w:cs="Arial"/>
        </w:rPr>
        <w:t xml:space="preserve"> </w:t>
      </w:r>
      <w:r w:rsidRPr="00F309F1">
        <w:rPr>
          <w:rFonts w:cs="Arial"/>
        </w:rPr>
        <w:t>mean (ANN) and (b) ENSO year (ENSO-yr)</w:t>
      </w:r>
      <w:r w:rsidR="00A06EEC">
        <w:rPr>
          <w:rFonts w:cs="Arial"/>
        </w:rPr>
        <w:t xml:space="preserve"> mean</w:t>
      </w:r>
      <w:r w:rsidRPr="00F309F1">
        <w:rPr>
          <w:rFonts w:cs="Arial"/>
        </w:rPr>
        <w:t xml:space="preserve">, based on CMIP6 </w:t>
      </w:r>
      <w:proofErr w:type="spellStart"/>
      <w:r w:rsidRPr="00F309F1">
        <w:rPr>
          <w:rFonts w:cs="Arial"/>
        </w:rPr>
        <w:t>piControl</w:t>
      </w:r>
      <w:proofErr w:type="spellEnd"/>
      <w:r w:rsidRPr="00F309F1">
        <w:rPr>
          <w:rFonts w:cs="Arial"/>
        </w:rPr>
        <w:t xml:space="preserve"> simulations. The ENSO-yr is defined as the period starting from </w:t>
      </w:r>
      <w:proofErr w:type="gramStart"/>
      <w:r w:rsidRPr="00F309F1">
        <w:rPr>
          <w:rFonts w:cs="Arial"/>
        </w:rPr>
        <w:t>July</w:t>
      </w:r>
      <w:r w:rsidR="008708D2">
        <w:rPr>
          <w:rFonts w:cs="Arial"/>
        </w:rPr>
        <w:t>(</w:t>
      </w:r>
      <w:proofErr w:type="gramEnd"/>
      <w:r w:rsidR="008708D2">
        <w:rPr>
          <w:rFonts w:cs="Arial"/>
        </w:rPr>
        <w:t>0)</w:t>
      </w:r>
      <w:r w:rsidRPr="00F309F1">
        <w:rPr>
          <w:rFonts w:cs="Arial"/>
        </w:rPr>
        <w:t xml:space="preserve"> and ending in June</w:t>
      </w:r>
      <w:r w:rsidR="008708D2">
        <w:rPr>
          <w:rFonts w:cs="Arial"/>
        </w:rPr>
        <w:t>(1)</w:t>
      </w:r>
      <w:r w:rsidRPr="00F309F1">
        <w:rPr>
          <w:rFonts w:cs="Arial"/>
        </w:rPr>
        <w:t>.</w:t>
      </w:r>
    </w:p>
    <w:p w14:paraId="1FAC008C" w14:textId="77777777" w:rsidR="00B82306" w:rsidRDefault="00B82306" w:rsidP="002E2F91">
      <w:pPr>
        <w:rPr>
          <w:rFonts w:cs="Arial"/>
        </w:rPr>
      </w:pPr>
    </w:p>
    <w:p w14:paraId="44D07A2F" w14:textId="0F93B4F1" w:rsidR="00A06EEC" w:rsidRDefault="00A06EEC">
      <w:pPr>
        <w:widowControl/>
        <w:jc w:val="left"/>
        <w:rPr>
          <w:rFonts w:cs="Arial"/>
        </w:rPr>
      </w:pPr>
      <w:r>
        <w:rPr>
          <w:rFonts w:cs="Arial"/>
        </w:rPr>
        <w:br w:type="page"/>
      </w:r>
    </w:p>
    <w:p w14:paraId="3FBC7C09" w14:textId="213901C1" w:rsidR="0061556E" w:rsidRDefault="0061556E" w:rsidP="00DD397A">
      <w:pPr>
        <w:tabs>
          <w:tab w:val="left" w:pos="609"/>
        </w:tabs>
        <w:rPr>
          <w:rFonts w:cs="Arial"/>
          <w:noProof/>
        </w:rPr>
      </w:pPr>
    </w:p>
    <w:p w14:paraId="13DBDF0F" w14:textId="6CA7F365" w:rsidR="008F0F74" w:rsidRDefault="00354598" w:rsidP="008F0F74">
      <w:pPr>
        <w:tabs>
          <w:tab w:val="left" w:pos="2312"/>
        </w:tabs>
        <w:rPr>
          <w:rFonts w:cs="Arial"/>
          <w:noProof/>
        </w:rPr>
      </w:pPr>
      <w:r>
        <w:rPr>
          <w:rFonts w:cs="Arial"/>
          <w:noProof/>
        </w:rPr>
        <w:drawing>
          <wp:inline distT="0" distB="0" distL="0" distR="0" wp14:anchorId="02314BC7" wp14:editId="67960669">
            <wp:extent cx="6188710" cy="2106930"/>
            <wp:effectExtent l="0" t="0" r="0" b="1270"/>
            <wp:docPr id="639202990" name="図 6" descr="グラフ, 散布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202990" name="図 6" descr="グラフ, 散布図&#10;&#10;自動的に生成された説明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10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E0100" w14:textId="66FDD9DD" w:rsidR="008F0F74" w:rsidRDefault="00EC3AE5" w:rsidP="00730AAD">
      <w:pPr>
        <w:tabs>
          <w:tab w:val="left" w:pos="2312"/>
        </w:tabs>
        <w:rPr>
          <w:rFonts w:cs="Arial"/>
          <w:noProof/>
        </w:rPr>
      </w:pPr>
      <w:r>
        <w:rPr>
          <w:rFonts w:cs="Arial"/>
          <w:b/>
          <w:bCs/>
          <w:noProof/>
        </w:rPr>
        <w:t xml:space="preserve">Extended Data </w:t>
      </w:r>
      <w:r w:rsidR="00A42CFA" w:rsidRPr="00A42CFA">
        <w:rPr>
          <w:rFonts w:cs="Arial"/>
          <w:b/>
          <w:bCs/>
          <w:noProof/>
        </w:rPr>
        <w:t xml:space="preserve">Figure </w:t>
      </w:r>
      <w:r w:rsidR="00100972">
        <w:rPr>
          <w:rFonts w:cs="Arial"/>
          <w:b/>
          <w:bCs/>
          <w:noProof/>
        </w:rPr>
        <w:t>9</w:t>
      </w:r>
      <w:r w:rsidR="00A42CFA" w:rsidRPr="00A42CFA">
        <w:rPr>
          <w:rFonts w:cs="Arial"/>
          <w:b/>
          <w:bCs/>
          <w:noProof/>
        </w:rPr>
        <w:t>:</w:t>
      </w:r>
      <w:r w:rsidR="00A42CFA" w:rsidRPr="00A42CFA">
        <w:rPr>
          <w:rFonts w:cs="Arial"/>
          <w:noProof/>
        </w:rPr>
        <w:t xml:space="preserve"> Relationship </w:t>
      </w:r>
      <w:r w:rsidR="00F574A9">
        <w:rPr>
          <w:rFonts w:cs="Arial"/>
          <w:noProof/>
        </w:rPr>
        <w:t xml:space="preserve">of EEI </w:t>
      </w:r>
      <w:r w:rsidR="00F574A9" w:rsidRPr="00A42CFA">
        <w:rPr>
          <w:rFonts w:cs="Arial"/>
          <w:noProof/>
        </w:rPr>
        <w:t>variance</w:t>
      </w:r>
      <w:r w:rsidR="00F574A9">
        <w:rPr>
          <w:rFonts w:cs="Arial"/>
          <w:noProof/>
        </w:rPr>
        <w:t xml:space="preserve"> </w:t>
      </w:r>
      <w:r w:rsidR="00A42CFA" w:rsidRPr="00A42CFA">
        <w:rPr>
          <w:rFonts w:cs="Arial"/>
          <w:noProof/>
        </w:rPr>
        <w:t>between the piControl and SSP5-8.5 simulations.</w:t>
      </w:r>
      <w:r w:rsidR="00A42CFA" w:rsidRPr="00A42CFA">
        <w:rPr>
          <w:rFonts w:cs="Arial"/>
          <w:noProof/>
        </w:rPr>
        <w:br/>
        <w:t xml:space="preserve">Scatter plots show the variance of EEI using data from the first 50 years of the piControl simulation and from 2051–2100 in the SSP5-8.5 simulation for (a) the </w:t>
      </w:r>
      <w:r w:rsidR="002D66D4">
        <w:rPr>
          <w:rFonts w:cs="Arial"/>
          <w:noProof/>
        </w:rPr>
        <w:t>calendar-year</w:t>
      </w:r>
      <w:r w:rsidR="002D66D4" w:rsidRPr="00A42CFA">
        <w:rPr>
          <w:rFonts w:cs="Arial"/>
          <w:noProof/>
        </w:rPr>
        <w:t xml:space="preserve"> </w:t>
      </w:r>
      <w:r w:rsidR="00A42CFA" w:rsidRPr="00A42CFA">
        <w:rPr>
          <w:rFonts w:cs="Arial"/>
          <w:noProof/>
        </w:rPr>
        <w:t>mean (ANN) and (b) the December</w:t>
      </w:r>
      <w:r w:rsidR="009364E8">
        <w:rPr>
          <w:rFonts w:cs="Arial"/>
          <w:noProof/>
        </w:rPr>
        <w:t>(0)</w:t>
      </w:r>
      <w:r w:rsidR="00A42CFA" w:rsidRPr="00A42CFA">
        <w:rPr>
          <w:rFonts w:cs="Arial"/>
          <w:noProof/>
        </w:rPr>
        <w:t>–May</w:t>
      </w:r>
      <w:r w:rsidR="009364E8">
        <w:rPr>
          <w:rFonts w:cs="Arial"/>
          <w:noProof/>
        </w:rPr>
        <w:t>(1)</w:t>
      </w:r>
      <w:r w:rsidR="00A42CFA" w:rsidRPr="00A42CFA">
        <w:rPr>
          <w:rFonts w:cs="Arial"/>
          <w:noProof/>
        </w:rPr>
        <w:t xml:space="preserve"> mean (DJFMAM) period. Out of 39 models, 24 and 27 show larger EEI variance in SSP5-8.5 simulations for (a) and (b), respectively. The top-left values indicate the correlation (r) and variance ratio with the 90% confidence interval, based on multi-model ensemble mean variance values, represented by blue (piControl) and yellow (SSP5-8.5) lines. The purple line shows the variance from CERES-EBAF observations for the period 2001–2023. EEI values in SSP5-8.5 and CERES-EBAF are detrended for each </w:t>
      </w:r>
      <w:r w:rsidR="000B1A8D">
        <w:rPr>
          <w:rFonts w:cs="Arial"/>
          <w:noProof/>
        </w:rPr>
        <w:t xml:space="preserve">calendar </w:t>
      </w:r>
      <w:r w:rsidR="00A42CFA" w:rsidRPr="00A42CFA">
        <w:rPr>
          <w:rFonts w:cs="Arial"/>
          <w:noProof/>
        </w:rPr>
        <w:t>month</w:t>
      </w:r>
      <w:r w:rsidR="008429D9">
        <w:rPr>
          <w:rFonts w:cs="Arial"/>
          <w:noProof/>
        </w:rPr>
        <w:t xml:space="preserve"> beforehand</w:t>
      </w:r>
      <w:r w:rsidR="00A42CFA" w:rsidRPr="00A42CFA">
        <w:rPr>
          <w:rFonts w:cs="Arial"/>
          <w:noProof/>
        </w:rPr>
        <w:t>.</w:t>
      </w:r>
    </w:p>
    <w:p w14:paraId="711CFCA5" w14:textId="77777777" w:rsidR="0022378E" w:rsidRDefault="0022378E" w:rsidP="0022378E">
      <w:pPr>
        <w:rPr>
          <w:rFonts w:cs="Arial"/>
        </w:rPr>
      </w:pPr>
    </w:p>
    <w:p w14:paraId="3DC608E1" w14:textId="52DEAC8D" w:rsidR="0022378E" w:rsidRPr="00C95963" w:rsidRDefault="0022378E" w:rsidP="00DF54C8">
      <w:pPr>
        <w:widowControl/>
        <w:jc w:val="left"/>
        <w:rPr>
          <w:rFonts w:cs="Arial"/>
          <w:color w:val="404040" w:themeColor="text1" w:themeTint="BF"/>
        </w:rPr>
      </w:pPr>
    </w:p>
    <w:sectPr w:rsidR="0022378E" w:rsidRPr="00C95963" w:rsidSect="000A2B49">
      <w:pgSz w:w="11900" w:h="16840"/>
      <w:pgMar w:top="1440" w:right="1077" w:bottom="1440" w:left="1077" w:header="851" w:footer="992" w:gutter="0"/>
      <w:lnNumType w:countBy="1" w:restart="continuous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Ｐゴシック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imes New Roman (本文のフォント - コンプレ">
    <w:altName w:val="MS Mincho"/>
    <w:panose1 w:val="020B0604020202020204"/>
    <w:charset w:val="80"/>
    <w:family w:val="roman"/>
    <w:pitch w:val="default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0B5AD9"/>
    <w:multiLevelType w:val="multilevel"/>
    <w:tmpl w:val="FB127C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55C47D8"/>
    <w:multiLevelType w:val="multilevel"/>
    <w:tmpl w:val="FB00E3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2CB43BB"/>
    <w:multiLevelType w:val="multilevel"/>
    <w:tmpl w:val="22FC5E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12263301">
    <w:abstractNumId w:val="2"/>
  </w:num>
  <w:num w:numId="2" w16cid:durableId="1516311880">
    <w:abstractNumId w:val="1"/>
  </w:num>
  <w:num w:numId="3" w16cid:durableId="17402503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7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2B49"/>
    <w:rsid w:val="000009E2"/>
    <w:rsid w:val="00003906"/>
    <w:rsid w:val="000330EB"/>
    <w:rsid w:val="000333C6"/>
    <w:rsid w:val="000368AC"/>
    <w:rsid w:val="0004339E"/>
    <w:rsid w:val="00045351"/>
    <w:rsid w:val="000526CA"/>
    <w:rsid w:val="00056424"/>
    <w:rsid w:val="00073059"/>
    <w:rsid w:val="0009418F"/>
    <w:rsid w:val="00096D20"/>
    <w:rsid w:val="000A2B49"/>
    <w:rsid w:val="000B1A8D"/>
    <w:rsid w:val="000C16FA"/>
    <w:rsid w:val="000D1AEC"/>
    <w:rsid w:val="000F0F40"/>
    <w:rsid w:val="000F6A3F"/>
    <w:rsid w:val="00100972"/>
    <w:rsid w:val="00136053"/>
    <w:rsid w:val="00143B4D"/>
    <w:rsid w:val="0014406C"/>
    <w:rsid w:val="0015015E"/>
    <w:rsid w:val="0017234C"/>
    <w:rsid w:val="00182762"/>
    <w:rsid w:val="00185B6F"/>
    <w:rsid w:val="00190BC8"/>
    <w:rsid w:val="00195D25"/>
    <w:rsid w:val="001A0EB1"/>
    <w:rsid w:val="001D288E"/>
    <w:rsid w:val="001D52E9"/>
    <w:rsid w:val="001E3495"/>
    <w:rsid w:val="001E36F8"/>
    <w:rsid w:val="001F1927"/>
    <w:rsid w:val="001F1A2D"/>
    <w:rsid w:val="001F6552"/>
    <w:rsid w:val="002220D4"/>
    <w:rsid w:val="0022378E"/>
    <w:rsid w:val="00236DEB"/>
    <w:rsid w:val="00254325"/>
    <w:rsid w:val="00264478"/>
    <w:rsid w:val="00272ABD"/>
    <w:rsid w:val="00277495"/>
    <w:rsid w:val="00294B35"/>
    <w:rsid w:val="002B4831"/>
    <w:rsid w:val="002C0795"/>
    <w:rsid w:val="002C0C9C"/>
    <w:rsid w:val="002C51FA"/>
    <w:rsid w:val="002D4608"/>
    <w:rsid w:val="002D54CC"/>
    <w:rsid w:val="002D66D4"/>
    <w:rsid w:val="002E2F91"/>
    <w:rsid w:val="002F16EA"/>
    <w:rsid w:val="002F313B"/>
    <w:rsid w:val="0030092D"/>
    <w:rsid w:val="00305A09"/>
    <w:rsid w:val="003101E4"/>
    <w:rsid w:val="003225FF"/>
    <w:rsid w:val="00334823"/>
    <w:rsid w:val="0033688B"/>
    <w:rsid w:val="00347FD5"/>
    <w:rsid w:val="003508D1"/>
    <w:rsid w:val="0035408E"/>
    <w:rsid w:val="00354598"/>
    <w:rsid w:val="0036004B"/>
    <w:rsid w:val="00362254"/>
    <w:rsid w:val="0038460C"/>
    <w:rsid w:val="0038634E"/>
    <w:rsid w:val="003A0E93"/>
    <w:rsid w:val="003A5DBA"/>
    <w:rsid w:val="003B0DBF"/>
    <w:rsid w:val="003B1642"/>
    <w:rsid w:val="003B24EC"/>
    <w:rsid w:val="003B7E22"/>
    <w:rsid w:val="003D07C3"/>
    <w:rsid w:val="003D0C48"/>
    <w:rsid w:val="003D589A"/>
    <w:rsid w:val="003D7869"/>
    <w:rsid w:val="003E5E06"/>
    <w:rsid w:val="003F2323"/>
    <w:rsid w:val="003F47D3"/>
    <w:rsid w:val="003F5800"/>
    <w:rsid w:val="003F5EDE"/>
    <w:rsid w:val="00400B71"/>
    <w:rsid w:val="00401462"/>
    <w:rsid w:val="004037FA"/>
    <w:rsid w:val="00405E70"/>
    <w:rsid w:val="0041180A"/>
    <w:rsid w:val="00417612"/>
    <w:rsid w:val="00423640"/>
    <w:rsid w:val="00426AF7"/>
    <w:rsid w:val="00427E12"/>
    <w:rsid w:val="00447639"/>
    <w:rsid w:val="00447FF7"/>
    <w:rsid w:val="00487934"/>
    <w:rsid w:val="00496EB4"/>
    <w:rsid w:val="004972BA"/>
    <w:rsid w:val="004A7D56"/>
    <w:rsid w:val="004B5124"/>
    <w:rsid w:val="004C38F9"/>
    <w:rsid w:val="004D5C40"/>
    <w:rsid w:val="005014B0"/>
    <w:rsid w:val="00520020"/>
    <w:rsid w:val="00524926"/>
    <w:rsid w:val="0052732F"/>
    <w:rsid w:val="00532B4D"/>
    <w:rsid w:val="00535FBB"/>
    <w:rsid w:val="00536A51"/>
    <w:rsid w:val="00545B56"/>
    <w:rsid w:val="0054795A"/>
    <w:rsid w:val="00556289"/>
    <w:rsid w:val="005607D6"/>
    <w:rsid w:val="00565B14"/>
    <w:rsid w:val="00567AD6"/>
    <w:rsid w:val="00573226"/>
    <w:rsid w:val="00583E57"/>
    <w:rsid w:val="005843AC"/>
    <w:rsid w:val="00587C4B"/>
    <w:rsid w:val="00590854"/>
    <w:rsid w:val="005912D5"/>
    <w:rsid w:val="00592E3B"/>
    <w:rsid w:val="005952B6"/>
    <w:rsid w:val="005A0444"/>
    <w:rsid w:val="005A4039"/>
    <w:rsid w:val="005B73D3"/>
    <w:rsid w:val="005C4564"/>
    <w:rsid w:val="005C6CEF"/>
    <w:rsid w:val="005C7C00"/>
    <w:rsid w:val="005E035D"/>
    <w:rsid w:val="005F30EB"/>
    <w:rsid w:val="005F3AC9"/>
    <w:rsid w:val="00603EA6"/>
    <w:rsid w:val="006150C0"/>
    <w:rsid w:val="0061556E"/>
    <w:rsid w:val="00616EE8"/>
    <w:rsid w:val="00656875"/>
    <w:rsid w:val="0065763E"/>
    <w:rsid w:val="00657B0B"/>
    <w:rsid w:val="006736CA"/>
    <w:rsid w:val="00693A4A"/>
    <w:rsid w:val="006941F0"/>
    <w:rsid w:val="0069421D"/>
    <w:rsid w:val="006973AA"/>
    <w:rsid w:val="00697B60"/>
    <w:rsid w:val="006C0421"/>
    <w:rsid w:val="006D0A25"/>
    <w:rsid w:val="006D49AF"/>
    <w:rsid w:val="006D5076"/>
    <w:rsid w:val="006D592F"/>
    <w:rsid w:val="006D77C3"/>
    <w:rsid w:val="00702436"/>
    <w:rsid w:val="00716BDD"/>
    <w:rsid w:val="00720E3E"/>
    <w:rsid w:val="00730AAD"/>
    <w:rsid w:val="00734F1B"/>
    <w:rsid w:val="00735DE7"/>
    <w:rsid w:val="0074514A"/>
    <w:rsid w:val="007603D6"/>
    <w:rsid w:val="00764849"/>
    <w:rsid w:val="0077492F"/>
    <w:rsid w:val="00780D90"/>
    <w:rsid w:val="00793D61"/>
    <w:rsid w:val="00797247"/>
    <w:rsid w:val="007A3AD8"/>
    <w:rsid w:val="007A43CC"/>
    <w:rsid w:val="007B7488"/>
    <w:rsid w:val="007D054F"/>
    <w:rsid w:val="007D2755"/>
    <w:rsid w:val="007E7275"/>
    <w:rsid w:val="007F3DFD"/>
    <w:rsid w:val="00820460"/>
    <w:rsid w:val="00821014"/>
    <w:rsid w:val="00825815"/>
    <w:rsid w:val="00825B2F"/>
    <w:rsid w:val="008429D9"/>
    <w:rsid w:val="0084362C"/>
    <w:rsid w:val="00861A92"/>
    <w:rsid w:val="008624AB"/>
    <w:rsid w:val="008646B9"/>
    <w:rsid w:val="008708D2"/>
    <w:rsid w:val="00870D1C"/>
    <w:rsid w:val="008A3253"/>
    <w:rsid w:val="008A5FBD"/>
    <w:rsid w:val="008B031D"/>
    <w:rsid w:val="008C0FE3"/>
    <w:rsid w:val="008D1861"/>
    <w:rsid w:val="008D1E57"/>
    <w:rsid w:val="008E0C48"/>
    <w:rsid w:val="008E4E92"/>
    <w:rsid w:val="008F05DA"/>
    <w:rsid w:val="008F0F74"/>
    <w:rsid w:val="008F1209"/>
    <w:rsid w:val="008F4319"/>
    <w:rsid w:val="009364E8"/>
    <w:rsid w:val="00954C86"/>
    <w:rsid w:val="0096010B"/>
    <w:rsid w:val="00960D6F"/>
    <w:rsid w:val="009610DF"/>
    <w:rsid w:val="009632CB"/>
    <w:rsid w:val="00972889"/>
    <w:rsid w:val="00982BD7"/>
    <w:rsid w:val="009A688D"/>
    <w:rsid w:val="009B3DD8"/>
    <w:rsid w:val="009B7209"/>
    <w:rsid w:val="009C416C"/>
    <w:rsid w:val="009C718E"/>
    <w:rsid w:val="009D0732"/>
    <w:rsid w:val="009E1B9C"/>
    <w:rsid w:val="009E2AE9"/>
    <w:rsid w:val="009F16F5"/>
    <w:rsid w:val="009F1A73"/>
    <w:rsid w:val="00A04FC6"/>
    <w:rsid w:val="00A06EEC"/>
    <w:rsid w:val="00A128BA"/>
    <w:rsid w:val="00A13CD9"/>
    <w:rsid w:val="00A15246"/>
    <w:rsid w:val="00A2623C"/>
    <w:rsid w:val="00A33856"/>
    <w:rsid w:val="00A42CFA"/>
    <w:rsid w:val="00A444A5"/>
    <w:rsid w:val="00A54977"/>
    <w:rsid w:val="00A54F7D"/>
    <w:rsid w:val="00AA56C1"/>
    <w:rsid w:val="00AD06B5"/>
    <w:rsid w:val="00AE08EA"/>
    <w:rsid w:val="00AE3D6A"/>
    <w:rsid w:val="00AF1582"/>
    <w:rsid w:val="00AF6F9A"/>
    <w:rsid w:val="00B23052"/>
    <w:rsid w:val="00B447F9"/>
    <w:rsid w:val="00B4737A"/>
    <w:rsid w:val="00B6469B"/>
    <w:rsid w:val="00B6659D"/>
    <w:rsid w:val="00B67E48"/>
    <w:rsid w:val="00B82306"/>
    <w:rsid w:val="00B82833"/>
    <w:rsid w:val="00B83ABB"/>
    <w:rsid w:val="00B912F0"/>
    <w:rsid w:val="00BA141F"/>
    <w:rsid w:val="00BA6709"/>
    <w:rsid w:val="00BB10AE"/>
    <w:rsid w:val="00BC456E"/>
    <w:rsid w:val="00BC53B4"/>
    <w:rsid w:val="00BE56FC"/>
    <w:rsid w:val="00BF1A92"/>
    <w:rsid w:val="00BF30C6"/>
    <w:rsid w:val="00BF506F"/>
    <w:rsid w:val="00C000A6"/>
    <w:rsid w:val="00C0734D"/>
    <w:rsid w:val="00C13975"/>
    <w:rsid w:val="00C16EDB"/>
    <w:rsid w:val="00C33C09"/>
    <w:rsid w:val="00C33E84"/>
    <w:rsid w:val="00C35E04"/>
    <w:rsid w:val="00C4207C"/>
    <w:rsid w:val="00C45F93"/>
    <w:rsid w:val="00C47991"/>
    <w:rsid w:val="00C60E58"/>
    <w:rsid w:val="00C95963"/>
    <w:rsid w:val="00CA3D61"/>
    <w:rsid w:val="00CB032C"/>
    <w:rsid w:val="00CC3D2C"/>
    <w:rsid w:val="00CD325E"/>
    <w:rsid w:val="00CE0045"/>
    <w:rsid w:val="00CE20AC"/>
    <w:rsid w:val="00CE31EB"/>
    <w:rsid w:val="00CE471B"/>
    <w:rsid w:val="00D311C6"/>
    <w:rsid w:val="00D31F5B"/>
    <w:rsid w:val="00D43FBF"/>
    <w:rsid w:val="00D515EC"/>
    <w:rsid w:val="00D6059E"/>
    <w:rsid w:val="00D60F32"/>
    <w:rsid w:val="00D611AF"/>
    <w:rsid w:val="00D65116"/>
    <w:rsid w:val="00D67240"/>
    <w:rsid w:val="00D725F7"/>
    <w:rsid w:val="00D83989"/>
    <w:rsid w:val="00D8588A"/>
    <w:rsid w:val="00DA0AD7"/>
    <w:rsid w:val="00DA16EC"/>
    <w:rsid w:val="00DA3995"/>
    <w:rsid w:val="00DA58D5"/>
    <w:rsid w:val="00DB5B00"/>
    <w:rsid w:val="00DC0770"/>
    <w:rsid w:val="00DC2C37"/>
    <w:rsid w:val="00DD0536"/>
    <w:rsid w:val="00DD397A"/>
    <w:rsid w:val="00DE4D92"/>
    <w:rsid w:val="00DE5BF1"/>
    <w:rsid w:val="00DF54C8"/>
    <w:rsid w:val="00E04F10"/>
    <w:rsid w:val="00E26C22"/>
    <w:rsid w:val="00E4314E"/>
    <w:rsid w:val="00E511F2"/>
    <w:rsid w:val="00E52607"/>
    <w:rsid w:val="00E544E2"/>
    <w:rsid w:val="00E71506"/>
    <w:rsid w:val="00E779EE"/>
    <w:rsid w:val="00E905CA"/>
    <w:rsid w:val="00E92432"/>
    <w:rsid w:val="00E946DE"/>
    <w:rsid w:val="00EB2279"/>
    <w:rsid w:val="00EB232F"/>
    <w:rsid w:val="00EC053A"/>
    <w:rsid w:val="00EC0A4D"/>
    <w:rsid w:val="00EC215D"/>
    <w:rsid w:val="00EC3AE5"/>
    <w:rsid w:val="00EC71FF"/>
    <w:rsid w:val="00ED2CC8"/>
    <w:rsid w:val="00EE2B0B"/>
    <w:rsid w:val="00F01E15"/>
    <w:rsid w:val="00F05DBF"/>
    <w:rsid w:val="00F15504"/>
    <w:rsid w:val="00F161DD"/>
    <w:rsid w:val="00F26515"/>
    <w:rsid w:val="00F309F1"/>
    <w:rsid w:val="00F339F7"/>
    <w:rsid w:val="00F35B75"/>
    <w:rsid w:val="00F36D96"/>
    <w:rsid w:val="00F5299B"/>
    <w:rsid w:val="00F574A9"/>
    <w:rsid w:val="00F751BB"/>
    <w:rsid w:val="00F97035"/>
    <w:rsid w:val="00F9708F"/>
    <w:rsid w:val="00F9794B"/>
    <w:rsid w:val="00FB339A"/>
    <w:rsid w:val="00FB3690"/>
    <w:rsid w:val="00FB5B39"/>
    <w:rsid w:val="00FD1BC7"/>
    <w:rsid w:val="00FD700A"/>
    <w:rsid w:val="00FD77C3"/>
    <w:rsid w:val="00FE2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4AE69A9"/>
  <w15:chartTrackingRefBased/>
  <w15:docId w15:val="{C9591679-70CE-F047-BD8E-DBF18217B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A2B49"/>
    <w:pPr>
      <w:widowControl w:val="0"/>
      <w:jc w:val="both"/>
    </w:pPr>
    <w:rPr>
      <w:rFonts w:ascii="Arial" w:eastAsia="ＭＳ Ｐゴシック" w:hAnsi="Arial" w:cs="Times New Roman (本文のフォント - コンプレ"/>
    </w:rPr>
  </w:style>
  <w:style w:type="paragraph" w:styleId="1">
    <w:name w:val="heading 1"/>
    <w:basedOn w:val="a"/>
    <w:next w:val="a"/>
    <w:link w:val="10"/>
    <w:uiPriority w:val="9"/>
    <w:qFormat/>
    <w:rsid w:val="000A2B49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A2B4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A2B49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A2B49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A2B49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A2B49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A2B49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A2B49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A2B49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0A2B49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0A2B49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0A2B49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0A2B49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0A2B49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0A2B49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0A2B49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0A2B49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0A2B49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0A2B49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0A2B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A2B49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0A2B49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0A2B4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0A2B4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0A2B49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0A2B49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0A2B4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0A2B49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0A2B49"/>
    <w:rPr>
      <w:b/>
      <w:bCs/>
      <w:smallCaps/>
      <w:color w:val="0F4761" w:themeColor="accent1" w:themeShade="BF"/>
      <w:spacing w:val="5"/>
    </w:rPr>
  </w:style>
  <w:style w:type="character" w:styleId="aa">
    <w:name w:val="line number"/>
    <w:basedOn w:val="a0"/>
    <w:uiPriority w:val="99"/>
    <w:semiHidden/>
    <w:unhideWhenUsed/>
    <w:rsid w:val="000A2B49"/>
  </w:style>
  <w:style w:type="paragraph" w:styleId="Web">
    <w:name w:val="Normal (Web)"/>
    <w:basedOn w:val="a"/>
    <w:uiPriority w:val="99"/>
    <w:semiHidden/>
    <w:unhideWhenUsed/>
    <w:rsid w:val="00EC71FF"/>
    <w:rPr>
      <w:rFonts w:ascii="Times New Roman" w:hAnsi="Times New Roman" w:cs="Times New Roman"/>
      <w:sz w:val="24"/>
    </w:rPr>
  </w:style>
  <w:style w:type="character" w:styleId="ab">
    <w:name w:val="annotation reference"/>
    <w:basedOn w:val="a0"/>
    <w:uiPriority w:val="99"/>
    <w:semiHidden/>
    <w:unhideWhenUsed/>
    <w:rsid w:val="0017234C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17234C"/>
    <w:pPr>
      <w:jc w:val="left"/>
    </w:pPr>
  </w:style>
  <w:style w:type="character" w:customStyle="1" w:styleId="ad">
    <w:name w:val="コメント文字列 (文字)"/>
    <w:basedOn w:val="a0"/>
    <w:link w:val="ac"/>
    <w:uiPriority w:val="99"/>
    <w:semiHidden/>
    <w:rsid w:val="0017234C"/>
    <w:rPr>
      <w:rFonts w:ascii="Arial" w:eastAsia="ＭＳ Ｐゴシック" w:hAnsi="Arial" w:cs="Times New Roman (本文のフォント - コンプレ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17234C"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sid w:val="0017234C"/>
    <w:rPr>
      <w:rFonts w:ascii="Arial" w:eastAsia="ＭＳ Ｐゴシック" w:hAnsi="Arial" w:cs="Times New Roman (本文のフォント - コンプレ"/>
      <w:b/>
      <w:bCs/>
    </w:rPr>
  </w:style>
  <w:style w:type="paragraph" w:styleId="af0">
    <w:name w:val="Revision"/>
    <w:hidden/>
    <w:uiPriority w:val="99"/>
    <w:semiHidden/>
    <w:rsid w:val="000368AC"/>
    <w:rPr>
      <w:rFonts w:ascii="Arial" w:eastAsia="ＭＳ Ｐゴシック" w:hAnsi="Arial" w:cs="Times New Roman (本文のフォント - コンプレ"/>
    </w:rPr>
  </w:style>
  <w:style w:type="character" w:styleId="af1">
    <w:name w:val="Hyperlink"/>
    <w:basedOn w:val="a0"/>
    <w:uiPriority w:val="99"/>
    <w:unhideWhenUsed/>
    <w:rsid w:val="00EC3AE5"/>
    <w:rPr>
      <w:color w:val="467886" w:themeColor="hyperlink"/>
      <w:u w:val="single"/>
    </w:rPr>
  </w:style>
  <w:style w:type="character" w:styleId="af2">
    <w:name w:val="Unresolved Mention"/>
    <w:basedOn w:val="a0"/>
    <w:uiPriority w:val="99"/>
    <w:semiHidden/>
    <w:unhideWhenUsed/>
    <w:rsid w:val="00EC3A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214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6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3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7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1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693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18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31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4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572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269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055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22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2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9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99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7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223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9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3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302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84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269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2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3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0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76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710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8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47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011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860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05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634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68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708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463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239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286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6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5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96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136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26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37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477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98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855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6197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48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1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76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26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465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454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606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394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601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908</Words>
  <Characters>5177</Characters>
  <Application>Microsoft Office Word</Application>
  <DocSecurity>0</DocSecurity>
  <Lines>43</Lines>
  <Paragraphs>12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土田　耕</dc:creator>
  <cp:keywords/>
  <dc:description/>
  <cp:lastModifiedBy>土田　耕</cp:lastModifiedBy>
  <cp:revision>4</cp:revision>
  <dcterms:created xsi:type="dcterms:W3CDTF">2024-11-27T13:30:00Z</dcterms:created>
  <dcterms:modified xsi:type="dcterms:W3CDTF">2024-11-27T13:37:00Z</dcterms:modified>
</cp:coreProperties>
</file>