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Supplemental Materials for “Coastal resilience in the face of increasing wildfires: a land-sea perspective”</w:t>
      </w:r>
    </w:p>
    <w:p w:rsidR="00000000" w:rsidDel="00000000" w:rsidP="00000000" w:rsidRDefault="00000000" w:rsidRPr="00000000" w14:paraId="0000000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sz w:val="24"/>
          <w:szCs w:val="24"/>
          <w:vertAlign w:val="superscript"/>
        </w:rPr>
      </w:pPr>
      <w:r w:rsidDel="00000000" w:rsidR="00000000" w:rsidRPr="00000000">
        <w:rPr>
          <w:rFonts w:ascii="Calibri" w:cs="Calibri" w:eastAsia="Calibri" w:hAnsi="Calibri"/>
          <w:sz w:val="24"/>
          <w:szCs w:val="24"/>
          <w:rtl w:val="0"/>
        </w:rPr>
        <w:t xml:space="preserve">Amanda M. Lopez</w:t>
      </w:r>
      <w:r w:rsidDel="00000000" w:rsidR="00000000" w:rsidRPr="00000000">
        <w:rPr>
          <w:rFonts w:ascii="Calibri" w:cs="Calibri" w:eastAsia="Calibri" w:hAnsi="Calibri"/>
          <w:sz w:val="24"/>
          <w:szCs w:val="24"/>
          <w:vertAlign w:val="superscript"/>
          <w:rtl w:val="0"/>
        </w:rPr>
        <w:t xml:space="preserve">1,2</w:t>
      </w:r>
      <w:r w:rsidDel="00000000" w:rsidR="00000000" w:rsidRPr="00000000">
        <w:rPr>
          <w:rFonts w:ascii="Calibri" w:cs="Calibri" w:eastAsia="Calibri" w:hAnsi="Calibri"/>
          <w:sz w:val="24"/>
          <w:szCs w:val="24"/>
          <w:rtl w:val="0"/>
        </w:rPr>
        <w:t xml:space="preserve">, Christine M. Lee</w:t>
      </w: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 Erin L. Hestir</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 Lori A. Berberian</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 Carmen Blackwood</w:t>
      </w: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 Michelle Gierach</w:t>
      </w:r>
      <w:r w:rsidDel="00000000" w:rsidR="00000000" w:rsidRPr="00000000">
        <w:rPr>
          <w:rFonts w:ascii="Calibri" w:cs="Calibri" w:eastAsia="Calibri" w:hAnsi="Calibri"/>
          <w:sz w:val="24"/>
          <w:szCs w:val="24"/>
          <w:vertAlign w:val="superscript"/>
          <w:rtl w:val="0"/>
        </w:rPr>
        <w:t xml:space="preserve">1</w:t>
      </w:r>
    </w:p>
    <w:p w:rsidR="00000000" w:rsidDel="00000000" w:rsidP="00000000" w:rsidRDefault="00000000" w:rsidRPr="00000000" w14:paraId="0000000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Author Affiliations:</w:t>
      </w:r>
    </w:p>
    <w:p w:rsidR="00000000" w:rsidDel="00000000" w:rsidP="00000000" w:rsidRDefault="00000000" w:rsidRPr="00000000" w14:paraId="00000006">
      <w:pPr>
        <w:jc w:val="both"/>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1 </w:t>
      </w:r>
      <w:r w:rsidDel="00000000" w:rsidR="00000000" w:rsidRPr="00000000">
        <w:rPr>
          <w:rFonts w:ascii="Calibri" w:cs="Calibri" w:eastAsia="Calibri" w:hAnsi="Calibri"/>
          <w:sz w:val="24"/>
          <w:szCs w:val="24"/>
          <w:rtl w:val="0"/>
        </w:rPr>
        <w:t xml:space="preserve">Jet Propulsion Laboratory, California Institute of Technology 4800 Oak Grove Drive M/S 300-329 Pasadena, CA 91109 USA amanda.m.lopez@jpl.nasa.gov, christine.m.lee@jpl.nasa.gov, carmen.blackwood@jpl.nasa.gov, michelle.gierach@jpl.nasa.gov</w:t>
      </w:r>
    </w:p>
    <w:p w:rsidR="00000000" w:rsidDel="00000000" w:rsidP="00000000" w:rsidRDefault="00000000" w:rsidRPr="00000000" w14:paraId="00000007">
      <w:pPr>
        <w:jc w:val="both"/>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2 </w:t>
      </w:r>
      <w:r w:rsidDel="00000000" w:rsidR="00000000" w:rsidRPr="00000000">
        <w:rPr>
          <w:rFonts w:ascii="Calibri" w:cs="Calibri" w:eastAsia="Calibri" w:hAnsi="Calibri"/>
          <w:sz w:val="24"/>
          <w:szCs w:val="24"/>
          <w:rtl w:val="0"/>
        </w:rPr>
        <w:t xml:space="preserve">Joint Institute for Regional Earth System Science and Engineering, University of California, Los Angeles</w:t>
      </w:r>
    </w:p>
    <w:p w:rsidR="00000000" w:rsidDel="00000000" w:rsidP="00000000" w:rsidRDefault="00000000" w:rsidRPr="00000000" w14:paraId="00000008">
      <w:pPr>
        <w:jc w:val="both"/>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Department of Civil &amp; Environmental Engineering, University of California, Merced 5200 N. Lake Road Merced, CA, 95340 USA ehestir@ucmerced.edu</w:t>
      </w:r>
    </w:p>
    <w:p w:rsidR="00000000" w:rsidDel="00000000" w:rsidP="00000000" w:rsidRDefault="00000000" w:rsidRPr="00000000" w14:paraId="00000009">
      <w:pPr>
        <w:jc w:val="both"/>
        <w:rPr>
          <w:rFonts w:ascii="Calibri" w:cs="Calibri" w:eastAsia="Calibri" w:hAnsi="Calibri"/>
          <w:sz w:val="24"/>
          <w:szCs w:val="24"/>
          <w:vertAlign w:val="superscript"/>
        </w:rPr>
      </w:pPr>
      <w:r w:rsidDel="00000000" w:rsidR="00000000" w:rsidRPr="00000000">
        <w:rPr>
          <w:rFonts w:ascii="Calibri" w:cs="Calibri" w:eastAsia="Calibri" w:hAnsi="Calibri"/>
          <w:sz w:val="24"/>
          <w:szCs w:val="24"/>
          <w:vertAlign w:val="superscript"/>
          <w:rtl w:val="0"/>
        </w:rPr>
        <w:t xml:space="preserve">4 </w:t>
      </w:r>
      <w:r w:rsidDel="00000000" w:rsidR="00000000" w:rsidRPr="00000000">
        <w:rPr>
          <w:rFonts w:ascii="Calibri" w:cs="Calibri" w:eastAsia="Calibri" w:hAnsi="Calibri"/>
          <w:sz w:val="24"/>
          <w:szCs w:val="24"/>
          <w:rtl w:val="0"/>
        </w:rPr>
        <w:t xml:space="preserve">Department of Geography, University of California, Los Angeles 315 Portola Plaza, Los Angeles, CA 90095 USA loriberberian@g.ucla.edu</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7416800"/>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S1</w:t>
      </w:r>
      <w:r w:rsidDel="00000000" w:rsidR="00000000" w:rsidRPr="00000000">
        <w:rPr>
          <w:rFonts w:ascii="Calibri" w:cs="Calibri" w:eastAsia="Calibri" w:hAnsi="Calibri"/>
          <w:sz w:val="24"/>
          <w:szCs w:val="24"/>
          <w:rtl w:val="0"/>
        </w:rPr>
        <w:t xml:space="preserve">. Global (A) ICVI</w:t>
      </w:r>
      <w:r w:rsidDel="00000000" w:rsidR="00000000" w:rsidRPr="00000000">
        <w:rPr>
          <w:rFonts w:ascii="Calibri" w:cs="Calibri" w:eastAsia="Calibri" w:hAnsi="Calibri"/>
          <w:sz w:val="24"/>
          <w:szCs w:val="24"/>
          <w:vertAlign w:val="subscript"/>
          <w:rtl w:val="0"/>
        </w:rPr>
        <w:t xml:space="preserve">2023</w:t>
      </w:r>
      <w:r w:rsidDel="00000000" w:rsidR="00000000" w:rsidRPr="00000000">
        <w:rPr>
          <w:rFonts w:ascii="Calibri" w:cs="Calibri" w:eastAsia="Calibri" w:hAnsi="Calibri"/>
          <w:sz w:val="24"/>
          <w:szCs w:val="24"/>
          <w:rtl w:val="0"/>
        </w:rPr>
        <w:t xml:space="preserve"> and (B) ICVI</w:t>
      </w:r>
      <w:r w:rsidDel="00000000" w:rsidR="00000000" w:rsidRPr="00000000">
        <w:rPr>
          <w:rFonts w:ascii="Calibri" w:cs="Calibri" w:eastAsia="Calibri" w:hAnsi="Calibri"/>
          <w:sz w:val="24"/>
          <w:szCs w:val="24"/>
          <w:vertAlign w:val="subscript"/>
          <w:rtl w:val="0"/>
        </w:rPr>
        <w:t xml:space="preserve">2100 </w:t>
      </w:r>
      <w:r w:rsidDel="00000000" w:rsidR="00000000" w:rsidRPr="00000000">
        <w:rPr>
          <w:rFonts w:ascii="Calibri" w:cs="Calibri" w:eastAsia="Calibri" w:hAnsi="Calibri"/>
          <w:sz w:val="24"/>
          <w:szCs w:val="24"/>
          <w:rtl w:val="0"/>
        </w:rPr>
        <w:t xml:space="preserve">values indicating coastal vulnerability to fire in the years 2023 and 2100, respectively, alongside seafood consumption by coastal indigenous peoples (tonnes/year) and marine protected areas data. Each ecoregion is bordered by a color that denotes the total amount of seafood consumption by coastal indigenous peoples each year in that ecoregion, gray indicates 0 to 1,000 tonnes, light blue denotes 1,000 to 2,500 tonnes, medium blue denotes 2,500 to 5,000 tonnes, and dark blue denotes &gt;5,000 tonnes. Marine protected area data are shown in purple with points (purple outlined circles) indicating MPA presence without spatial extent information and polygons (purple outlined with diagonal cross hatching) indicating MPAs with reported spatial coverage. Original dataset sources [58, 69-72, 74].</w:t>
      </w:r>
    </w:p>
    <w:p w:rsidR="00000000" w:rsidDel="00000000" w:rsidP="00000000" w:rsidRDefault="00000000" w:rsidRPr="00000000" w14:paraId="0000001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81675" cy="3409950"/>
            <wp:effectExtent b="0" l="0" r="0" t="0"/>
            <wp:docPr id="8" name="image6.jpg"/>
            <a:graphic>
              <a:graphicData uri="http://schemas.openxmlformats.org/drawingml/2006/picture">
                <pic:pic>
                  <pic:nvPicPr>
                    <pic:cNvPr id="0" name="image6.jpg"/>
                    <pic:cNvPicPr preferRelativeResize="0"/>
                  </pic:nvPicPr>
                  <pic:blipFill>
                    <a:blip r:embed="rId7"/>
                    <a:srcRect b="23602" l="1442" r="1282" t="2277"/>
                    <a:stretch>
                      <a:fillRect/>
                    </a:stretch>
                  </pic:blipFill>
                  <pic:spPr>
                    <a:xfrm>
                      <a:off x="0" y="0"/>
                      <a:ext cx="5781675"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S2</w:t>
      </w:r>
      <w:r w:rsidDel="00000000" w:rsidR="00000000" w:rsidRPr="00000000">
        <w:rPr>
          <w:rFonts w:ascii="Calibri" w:cs="Calibri" w:eastAsia="Calibri" w:hAnsi="Calibri"/>
          <w:sz w:val="24"/>
          <w:szCs w:val="24"/>
          <w:rtl w:val="0"/>
        </w:rPr>
        <w:t xml:space="preserve">. Marine ecoregions of the world from [100]. Ecoregions shown in green contain SEDAC population count data and are included in this study. Ecoregions shown in gray do not contain SEDAC population count data and are excluded from this analysis. Global population count original data source [73].</w:t>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762625" cy="2905125"/>
            <wp:effectExtent b="0" l="0" r="0" t="0"/>
            <wp:docPr id="7" name="image8.jpg"/>
            <a:graphic>
              <a:graphicData uri="http://schemas.openxmlformats.org/drawingml/2006/picture">
                <pic:pic>
                  <pic:nvPicPr>
                    <pic:cNvPr id="0" name="image8.jpg"/>
                    <pic:cNvPicPr preferRelativeResize="0"/>
                  </pic:nvPicPr>
                  <pic:blipFill>
                    <a:blip r:embed="rId8"/>
                    <a:srcRect b="34782" l="1602" r="1442" t="2070"/>
                    <a:stretch>
                      <a:fillRect/>
                    </a:stretch>
                  </pic:blipFill>
                  <pic:spPr>
                    <a:xfrm>
                      <a:off x="0" y="0"/>
                      <a:ext cx="576262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S3</w:t>
      </w:r>
      <w:r w:rsidDel="00000000" w:rsidR="00000000" w:rsidRPr="00000000">
        <w:rPr>
          <w:rFonts w:ascii="Calibri" w:cs="Calibri" w:eastAsia="Calibri" w:hAnsi="Calibri"/>
          <w:sz w:val="24"/>
          <w:szCs w:val="24"/>
          <w:rtl w:val="0"/>
        </w:rPr>
        <w:t xml:space="preserve">. Percent cover of marine biodiversity hotspot per marine ecoregion of the world. The color scale follows the vulnerability scores given in Table 1 with dark green representing low vulnerability, light representing low to moderate vulnerability, orange representing moderate to high vulnerability, and red representing high vulnerability. Original dataset sources [72, 100]. </w:t>
      </w:r>
      <w:r w:rsidDel="00000000" w:rsidR="00000000" w:rsidRPr="00000000">
        <w:rPr>
          <w:rtl w:val="0"/>
        </w:rPr>
      </w:r>
    </w:p>
    <w:p w:rsidR="00000000" w:rsidDel="00000000" w:rsidP="00000000" w:rsidRDefault="00000000" w:rsidRPr="00000000" w14:paraId="0000002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743575" cy="2876550"/>
            <wp:effectExtent b="0" l="0" r="0" t="0"/>
            <wp:docPr id="4" name="image4.jpg"/>
            <a:graphic>
              <a:graphicData uri="http://schemas.openxmlformats.org/drawingml/2006/picture">
                <pic:pic>
                  <pic:nvPicPr>
                    <pic:cNvPr id="0" name="image4.jpg"/>
                    <pic:cNvPicPr preferRelativeResize="0"/>
                  </pic:nvPicPr>
                  <pic:blipFill>
                    <a:blip r:embed="rId9"/>
                    <a:srcRect b="35196" l="1762" r="1602" t="2277"/>
                    <a:stretch>
                      <a:fillRect/>
                    </a:stretch>
                  </pic:blipFill>
                  <pic:spPr>
                    <a:xfrm>
                      <a:off x="0" y="0"/>
                      <a:ext cx="574357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S4</w:t>
      </w:r>
      <w:r w:rsidDel="00000000" w:rsidR="00000000" w:rsidRPr="00000000">
        <w:rPr>
          <w:rFonts w:ascii="Calibri" w:cs="Calibri" w:eastAsia="Calibri" w:hAnsi="Calibri"/>
          <w:sz w:val="24"/>
          <w:szCs w:val="24"/>
          <w:rtl w:val="0"/>
        </w:rPr>
        <w:t xml:space="preserve">. Fire weather index year 2023 summed per marine ecoregion of the world. The color scale follows the vulnerability scores given in Table 1 with dark green representing low vulnerability, light representing low to moderate vulnerability, orange representing moderate to high vulnerability, and red representing high vulnerability. Original dataset sources [70, 100]. </w:t>
      </w:r>
    </w:p>
    <w:p w:rsidR="00000000" w:rsidDel="00000000" w:rsidP="00000000" w:rsidRDefault="00000000" w:rsidRPr="00000000" w14:paraId="0000002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743575" cy="2895600"/>
            <wp:effectExtent b="0" l="0" r="0" t="0"/>
            <wp:docPr id="3" name="image7.jpg"/>
            <a:graphic>
              <a:graphicData uri="http://schemas.openxmlformats.org/drawingml/2006/picture">
                <pic:pic>
                  <pic:nvPicPr>
                    <pic:cNvPr id="0" name="image7.jpg"/>
                    <pic:cNvPicPr preferRelativeResize="0"/>
                  </pic:nvPicPr>
                  <pic:blipFill>
                    <a:blip r:embed="rId10"/>
                    <a:srcRect b="34782" l="1762" r="1602" t="2212"/>
                    <a:stretch>
                      <a:fillRect/>
                    </a:stretch>
                  </pic:blipFill>
                  <pic:spPr>
                    <a:xfrm>
                      <a:off x="0" y="0"/>
                      <a:ext cx="5743575"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S5</w:t>
      </w:r>
      <w:r w:rsidDel="00000000" w:rsidR="00000000" w:rsidRPr="00000000">
        <w:rPr>
          <w:rFonts w:ascii="Calibri" w:cs="Calibri" w:eastAsia="Calibri" w:hAnsi="Calibri"/>
          <w:sz w:val="24"/>
          <w:szCs w:val="24"/>
          <w:rtl w:val="0"/>
        </w:rPr>
        <w:t xml:space="preserve">. Projected fire weather index year 2100 summed per marine ecoregion of the world. The color scale follows the vulnerability scores given in Table 1 with dark green representing low vulnerability, light representing low to moderate vulnerability, orange representing moderate to high vulnerability, and red representing high vulnerability. Original dataset sources Original dataset sources [70, 100]. </w:t>
      </w:r>
      <w:r w:rsidDel="00000000" w:rsidR="00000000" w:rsidRPr="00000000">
        <w:rPr>
          <w:rtl w:val="0"/>
        </w:rPr>
      </w:r>
    </w:p>
    <w:p w:rsidR="00000000" w:rsidDel="00000000" w:rsidP="00000000" w:rsidRDefault="00000000" w:rsidRPr="00000000" w14:paraId="0000002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791200" cy="2924175"/>
            <wp:effectExtent b="0" l="0" r="0" t="0"/>
            <wp:docPr id="5" name="image1.jpg"/>
            <a:graphic>
              <a:graphicData uri="http://schemas.openxmlformats.org/drawingml/2006/picture">
                <pic:pic>
                  <pic:nvPicPr>
                    <pic:cNvPr id="0" name="image1.jpg"/>
                    <pic:cNvPicPr preferRelativeResize="0"/>
                  </pic:nvPicPr>
                  <pic:blipFill>
                    <a:blip r:embed="rId11"/>
                    <a:srcRect b="34368" l="1442" r="1121" t="2070"/>
                    <a:stretch>
                      <a:fillRect/>
                    </a:stretch>
                  </pic:blipFill>
                  <pic:spPr>
                    <a:xfrm>
                      <a:off x="0" y="0"/>
                      <a:ext cx="5791200"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S6</w:t>
      </w:r>
      <w:r w:rsidDel="00000000" w:rsidR="00000000" w:rsidRPr="00000000">
        <w:rPr>
          <w:rFonts w:ascii="Calibri" w:cs="Calibri" w:eastAsia="Calibri" w:hAnsi="Calibri"/>
          <w:sz w:val="24"/>
          <w:szCs w:val="24"/>
          <w:rtl w:val="0"/>
        </w:rPr>
        <w:t xml:space="preserve">. Global population count for the year 2020 summed per marine ecoregion of the world. The color scale follows the vulnerability scores given in Table 1 with dark green representing low vulnerability, light representing low to moderate vulnerability, orange representing moderate to high vulnerability, and red representing high vulnerability. Original dataset sources [73, 100]. </w:t>
      </w:r>
    </w:p>
    <w:p w:rsidR="00000000" w:rsidDel="00000000" w:rsidP="00000000" w:rsidRDefault="00000000" w:rsidRPr="00000000" w14:paraId="0000002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81675" cy="2905125"/>
            <wp:effectExtent b="0" l="0" r="0" t="0"/>
            <wp:docPr id="1" name="image2.jpg"/>
            <a:graphic>
              <a:graphicData uri="http://schemas.openxmlformats.org/drawingml/2006/picture">
                <pic:pic>
                  <pic:nvPicPr>
                    <pic:cNvPr id="0" name="image2.jpg"/>
                    <pic:cNvPicPr preferRelativeResize="0"/>
                  </pic:nvPicPr>
                  <pic:blipFill>
                    <a:blip r:embed="rId12"/>
                    <a:srcRect b="34368" l="1442" r="1282" t="2484"/>
                    <a:stretch>
                      <a:fillRect/>
                    </a:stretch>
                  </pic:blipFill>
                  <pic:spPr>
                    <a:xfrm>
                      <a:off x="0" y="0"/>
                      <a:ext cx="5781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S7</w:t>
      </w:r>
      <w:r w:rsidDel="00000000" w:rsidR="00000000" w:rsidRPr="00000000">
        <w:rPr>
          <w:rFonts w:ascii="Calibri" w:cs="Calibri" w:eastAsia="Calibri" w:hAnsi="Calibri"/>
          <w:sz w:val="24"/>
          <w:szCs w:val="24"/>
          <w:rtl w:val="0"/>
        </w:rPr>
        <w:t xml:space="preserve">. Projected global population count for the year 2100 summed per marine ecoregion of the world. Projection based on Shared Socioeconomic Pathways Scenario 2. The color scale follows the vulnerability scores given in Table 1 with dark green representing low vulnerability, light representing low to moderate vulnerability, orange representing moderate to high vulnerability, and red representing high vulnerability. Original dataset sources [73, 100]. </w:t>
      </w:r>
    </w:p>
    <w:p w:rsidR="00000000" w:rsidDel="00000000" w:rsidP="00000000" w:rsidRDefault="00000000" w:rsidRPr="00000000" w14:paraId="0000002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81675" cy="2921273"/>
            <wp:effectExtent b="0" l="0" r="0" t="0"/>
            <wp:docPr id="6" name="image3.jpg"/>
            <a:graphic>
              <a:graphicData uri="http://schemas.openxmlformats.org/drawingml/2006/picture">
                <pic:pic>
                  <pic:nvPicPr>
                    <pic:cNvPr id="0" name="image3.jpg"/>
                    <pic:cNvPicPr preferRelativeResize="0"/>
                  </pic:nvPicPr>
                  <pic:blipFill>
                    <a:blip r:embed="rId13"/>
                    <a:srcRect b="34368" l="1442" r="1282" t="2133"/>
                    <a:stretch>
                      <a:fillRect/>
                    </a:stretch>
                  </pic:blipFill>
                  <pic:spPr>
                    <a:xfrm>
                      <a:off x="0" y="0"/>
                      <a:ext cx="5781675" cy="292127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S8</w:t>
      </w:r>
      <w:r w:rsidDel="00000000" w:rsidR="00000000" w:rsidRPr="00000000">
        <w:rPr>
          <w:rFonts w:ascii="Calibri" w:cs="Calibri" w:eastAsia="Calibri" w:hAnsi="Calibri"/>
          <w:sz w:val="24"/>
          <w:szCs w:val="24"/>
          <w:rtl w:val="0"/>
        </w:rPr>
        <w:t xml:space="preserve">. Commercial demersal fishing (tons of fish per tons of carbon per km2 cell) summed per marine ecoregion of the world. The color scale follows the vulnerability scores given in Table 1 with dark green representing low vulnerability, light representing low to moderate vulnerability, orange representing moderate to high vulnerability, and red representing high vulnerability. Original dataset sources [58, 100]. </w:t>
      </w:r>
    </w:p>
    <w:p w:rsidR="00000000" w:rsidDel="00000000" w:rsidP="00000000" w:rsidRDefault="00000000" w:rsidRPr="00000000" w14:paraId="0000002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Table S1</w:t>
      </w:r>
      <w:r w:rsidDel="00000000" w:rsidR="00000000" w:rsidRPr="00000000">
        <w:rPr>
          <w:rFonts w:ascii="Calibri" w:cs="Calibri" w:eastAsia="Calibri" w:hAnsi="Calibri"/>
          <w:sz w:val="24"/>
          <w:szCs w:val="24"/>
          <w:rtl w:val="0"/>
        </w:rPr>
        <w:t xml:space="preserve">. Summary of marine ecoregions of the world that demonstrate moderate to high vulnerability (ICVI = 3 or 4) in 2023 and/or 2100 with corresponding United Nations (UN) geoscheme regions and major bordering countries. Underline denotes marine ecoregions in which the ICVI value decreased between 2023 and 2100 (became less vulnerable). Bold denotes ecoregions in which the ICVI value increased between 2023 and 2100 (became more vulnerable). Visualization of the UN geoscheme regions can be found in [75] and through the UN Geodata portal </w:t>
      </w:r>
      <w:hyperlink r:id="rId14">
        <w:r w:rsidDel="00000000" w:rsidR="00000000" w:rsidRPr="00000000">
          <w:rPr>
            <w:rFonts w:ascii="Calibri" w:cs="Calibri" w:eastAsia="Calibri" w:hAnsi="Calibri"/>
            <w:color w:val="1155cc"/>
            <w:sz w:val="24"/>
            <w:szCs w:val="24"/>
            <w:u w:val="single"/>
            <w:rtl w:val="0"/>
          </w:rPr>
          <w:t xml:space="preserve">https://geoportal.un.org/arcgis/home/item.html?id=fa74ef8499094e41bf0d025006e37fc9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1">
      <w:pPr>
        <w:jc w:val="both"/>
        <w:rPr>
          <w:rFonts w:ascii="Calibri" w:cs="Calibri" w:eastAsia="Calibri" w:hAnsi="Calibri"/>
          <w:sz w:val="24"/>
          <w:szCs w:val="24"/>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1065"/>
        <w:gridCol w:w="2010"/>
        <w:gridCol w:w="1710"/>
        <w:gridCol w:w="3555"/>
        <w:tblGridChange w:id="0">
          <w:tblGrid>
            <w:gridCol w:w="1020"/>
            <w:gridCol w:w="1065"/>
            <w:gridCol w:w="2010"/>
            <w:gridCol w:w="1710"/>
            <w:gridCol w:w="3555"/>
          </w:tblGrid>
        </w:tblGridChange>
      </w:tblGrid>
      <w:tr>
        <w:trPr>
          <w:cantSplit w:val="0"/>
          <w:tblHeader w:val="0"/>
        </w:trPr>
        <w:tc>
          <w:tcPr>
            <w:gridSpan w:val="5"/>
            <w:tcBorders>
              <w:top w:color="000000" w:space="0" w:sz="12" w:val="single"/>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Highest vulnerability (ICVIs between 3 and 4)</w:t>
            </w:r>
          </w:p>
        </w:tc>
      </w:tr>
      <w:tr>
        <w:trPr>
          <w:cantSplit w:val="0"/>
          <w:tblHeader w:val="0"/>
        </w:trPr>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ICVI 2023</w:t>
            </w:r>
          </w:p>
        </w:tc>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ICVI 2100</w:t>
            </w:r>
          </w:p>
        </w:tc>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UN geoscheme region</w:t>
            </w:r>
          </w:p>
        </w:tc>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Major bordering country</w:t>
            </w:r>
          </w:p>
        </w:tc>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Marine ecoregion of the world</w:t>
            </w:r>
          </w:p>
        </w:tc>
      </w:tr>
      <w:tr>
        <w:trPr>
          <w:cantSplit w:val="0"/>
          <w:tblHeader w:val="0"/>
        </w:trPr>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North Africa</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Egypt</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Levantine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Europe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Italy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Western Mediterranean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7">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South Europe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Greece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A">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Aegean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Asia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Western India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Andaman Sea Coral Coast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Myanmar (Burma)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Northern Bay of Bengal</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Indonesia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Banda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F">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Philippines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Eastern Philippines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Vietnam</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Gulf of Tonkin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Philippines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Palawan/North Borneo</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7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Vietnam</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7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Southern Vietnam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7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Indonesia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7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Sunda Shelf/Java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7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China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7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Yellow Sea</w:t>
            </w:r>
          </w:p>
        </w:tc>
      </w:tr>
      <w:tr>
        <w:trPr>
          <w:cantSplit w:val="0"/>
          <w:tblHeader w:val="0"/>
        </w:trPr>
        <w:tc>
          <w:tcPr>
            <w:gridSpan w:val="5"/>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Moderate to high vulnerability (ICVIs between 2 and 3)</w:t>
            </w:r>
          </w:p>
        </w:tc>
      </w:tr>
      <w:tr>
        <w:trPr>
          <w:cantSplit w:val="0"/>
          <w:tblHeader w:val="0"/>
        </w:trPr>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ICVI 2023</w:t>
            </w:r>
          </w:p>
        </w:tc>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ICVI 2100</w:t>
            </w:r>
          </w:p>
        </w:tc>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UN geoscheme region</w:t>
            </w:r>
          </w:p>
        </w:tc>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Major bordering country</w:t>
            </w:r>
          </w:p>
        </w:tc>
        <w:tc>
          <w:tcPr>
            <w:tcBorders>
              <w:top w:color="000000" w:space="0" w:sz="12"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spacing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Marine ecoregion of the world</w:t>
            </w:r>
          </w:p>
        </w:tc>
      </w:tr>
      <w:tr>
        <w:trPr>
          <w:cantSplit w:val="0"/>
          <w:tblHeader w:val="0"/>
        </w:trPr>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North America</w:t>
            </w:r>
          </w:p>
        </w:tc>
        <w:tc>
          <w:tcPr>
            <w:tcBorders>
              <w:top w:color="000000" w:space="0" w:sz="8"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8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USA</w:t>
            </w:r>
          </w:p>
        </w:tc>
        <w:tc>
          <w:tcPr>
            <w:tcBorders>
              <w:top w:color="000000" w:space="0" w:sz="8"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8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Northern Gulf of Mexico</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North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8F">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USA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9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Virginian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Caribbean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9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Cuba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9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Greater Antilles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Central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9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Mexico</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9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Cortezian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Central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9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Mexico</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9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Southern California Bight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Central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A3">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Mexico</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A4">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Mexican Tropical Pacific</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A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Peru</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A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Humboldtian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A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Argentina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A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North Patagonian Gulfs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Brazil</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Northeastern Brazil</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Brazil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Amazonia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Argentina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Patagonian Shelf</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 America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Venezuela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Southern Caribbean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North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Sweden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Baltic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North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UK</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Celtic Seas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North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North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Italy</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Adriatic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Italy</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Ionian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Spain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Alboran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West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France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 European Atlantic Shelf</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North Africa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Morocco</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Saharan Upwelling</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B">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D">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North Africa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E">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Libya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F">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Tunisian Plateau/Gulf of Sidra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East Africa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Madagascar</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Western and Northern Madagascar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East Africa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Tanzania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East African Coral Coast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 Africa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Liberia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Gulf of Guinea West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 Africa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Mauritania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Sahelian Upwelling</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Yemen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Gulf of Aden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Saudi Arabia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Southern Red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Oman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Western Arabian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Turkey</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Black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Iran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Arabian (Persian) Gulf</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Eastern India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Sri Lanka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India and Sri Lanka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Thailand</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Gulf of Thailand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Indonesia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Lesser Sunda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Indonesia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Malacca Strait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Indonesia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Sulawesi Sea/Makassar Strait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Indonesia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Western Sumatra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0">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1">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2">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3">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Indonesia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4">
            <w:pPr>
              <w:spacing w:line="2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Southern Java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Southeast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Indonesia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Halmahera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Japan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Central Kuroshio Current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5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China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5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East China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5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Japan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5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 Kuroshio</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East Asia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5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China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5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Southern China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East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6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Russia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6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Sea of Japan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East Europe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6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Russia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6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North and East Barents Sea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Oceania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6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6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Arnhem Coast to Gulf of Carpenteria</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Oceania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7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7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Bonaparte Coast</w:t>
            </w:r>
          </w:p>
        </w:tc>
      </w:tr>
      <w:tr>
        <w:trPr>
          <w:cantSplit w:val="0"/>
          <w:tblHeader w:val="0"/>
        </w:trPr>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12"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Oceania</w:t>
            </w:r>
          </w:p>
        </w:tc>
        <w:tc>
          <w:tcPr>
            <w:tcBorders>
              <w:top w:color="000000" w:space="0" w:sz="0" w:val="nil"/>
              <w:left w:color="000000" w:space="0" w:sz="0" w:val="nil"/>
              <w:bottom w:color="000000" w:space="0" w:sz="12"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7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Australia</w:t>
            </w:r>
          </w:p>
        </w:tc>
        <w:tc>
          <w:tcPr>
            <w:tcBorders>
              <w:top w:color="000000" w:space="0" w:sz="0" w:val="nil"/>
              <w:left w:color="000000" w:space="0" w:sz="0" w:val="nil"/>
              <w:bottom w:color="000000" w:space="0" w:sz="12"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7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Exmouth to Broome</w:t>
            </w:r>
          </w:p>
        </w:tc>
      </w:tr>
    </w:tbl>
    <w:p w:rsidR="00000000" w:rsidDel="00000000" w:rsidP="00000000" w:rsidRDefault="00000000" w:rsidRPr="00000000" w14:paraId="00000177">
      <w:pPr>
        <w:spacing w:line="240" w:lineRule="auto"/>
        <w:jc w:val="both"/>
        <w:rPr>
          <w:rFonts w:ascii="Calibri" w:cs="Calibri" w:eastAsia="Calibri" w:hAnsi="Calibri"/>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7.jpg"/><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hyperlink" Target="https://geoportal.un.org/arcgis/home/item.html?id=fa74ef8499094e41bf0d025006e37fc9" TargetMode="Externa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6.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