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9AB2C" w14:textId="77777777" w:rsidR="00564FC3" w:rsidRDefault="00564FC3" w:rsidP="00564FC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Global and regional prevalence rates of CLD among WCBA, age-standardized prevalence rates, and NDs from 1992 to 2021</w:t>
      </w:r>
    </w:p>
    <w:tbl>
      <w:tblPr>
        <w:tblW w:w="4995" w:type="pct"/>
        <w:tblLayout w:type="fixed"/>
        <w:tblLook w:val="04A0" w:firstRow="1" w:lastRow="0" w:firstColumn="1" w:lastColumn="0" w:noHBand="0" w:noVBand="1"/>
      </w:tblPr>
      <w:tblGrid>
        <w:gridCol w:w="2651"/>
        <w:gridCol w:w="1341"/>
        <w:gridCol w:w="1341"/>
        <w:gridCol w:w="236"/>
        <w:gridCol w:w="1277"/>
        <w:gridCol w:w="1401"/>
        <w:gridCol w:w="320"/>
        <w:gridCol w:w="1325"/>
        <w:gridCol w:w="1353"/>
        <w:gridCol w:w="240"/>
        <w:gridCol w:w="1337"/>
        <w:gridCol w:w="1341"/>
        <w:gridCol w:w="236"/>
        <w:gridCol w:w="1337"/>
        <w:gridCol w:w="1341"/>
        <w:gridCol w:w="236"/>
        <w:gridCol w:w="1337"/>
        <w:gridCol w:w="1365"/>
      </w:tblGrid>
      <w:tr w:rsidR="00564FC3" w14:paraId="01B36B4A" w14:textId="77777777" w:rsidTr="004E4074">
        <w:trPr>
          <w:trHeight w:val="936"/>
        </w:trPr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89505" w14:textId="77777777" w:rsidR="00564FC3" w:rsidRDefault="00564FC3" w:rsidP="004E407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A9B929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Global</w:t>
            </w:r>
          </w:p>
        </w:tc>
        <w:tc>
          <w:tcPr>
            <w:tcW w:w="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1134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BDDCF7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High SDI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2DCD4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6E767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High-middle SDI</w:t>
            </w:r>
          </w:p>
        </w:tc>
        <w:tc>
          <w:tcPr>
            <w:tcW w:w="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E868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B7BF91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Middle SDI</w:t>
            </w:r>
          </w:p>
        </w:tc>
        <w:tc>
          <w:tcPr>
            <w:tcW w:w="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D2B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CF420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Low-middle SDI</w:t>
            </w:r>
          </w:p>
        </w:tc>
        <w:tc>
          <w:tcPr>
            <w:tcW w:w="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E3F33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B5D9F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Low SDI</w:t>
            </w:r>
          </w:p>
        </w:tc>
      </w:tr>
      <w:tr w:rsidR="00564FC3" w14:paraId="1B053816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7B725" w14:textId="77777777" w:rsidR="00564FC3" w:rsidRDefault="00564FC3" w:rsidP="004E4074">
            <w:pPr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A9E84D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1A4F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638800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655F2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FF9436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E5B50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5DDBF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BEB6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1264A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CF24D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D8495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817DF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CB63C0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BE7480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880B5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29102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E984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</w:p>
        </w:tc>
      </w:tr>
      <w:tr w:rsidR="00564FC3" w14:paraId="295BE6B7" w14:textId="77777777" w:rsidTr="004E4074">
        <w:trPr>
          <w:trHeight w:val="936"/>
        </w:trPr>
        <w:tc>
          <w:tcPr>
            <w:tcW w:w="5000" w:type="pct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5585E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Population</w:t>
            </w:r>
          </w:p>
        </w:tc>
      </w:tr>
      <w:tr w:rsidR="00564FC3" w14:paraId="13ED7775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EC8C8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Number in millions</w:t>
            </w:r>
          </w:p>
          <w:p w14:paraId="5D597360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(95% UI) 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C181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497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379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531F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891.35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666.73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8131.22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B14D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A7D5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93.58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6CC7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1094.05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EDFF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33F2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1086.54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9AF8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1304.03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EAB8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70E5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1779.77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E17B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2448.54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0A7D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3AD3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1205.82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8BCB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1921.11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DB3D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93F9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526.36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89AF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1117.38</w:t>
            </w:r>
          </w:p>
        </w:tc>
      </w:tr>
      <w:tr w:rsidR="00564FC3" w14:paraId="5459BA34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C7DE0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Precentage of </w:t>
            </w:r>
          </w:p>
          <w:p w14:paraId="3245C0F5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global lev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l (%)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854E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D792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DD49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07AC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6.26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2A4F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13.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F89E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AF5A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19.77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FF0F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6.52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C555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32FE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32.38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121A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41B9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3649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21.94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6F4E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24.34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E526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B34E0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9.85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81C7D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14.16</w:t>
            </w:r>
          </w:p>
        </w:tc>
      </w:tr>
      <w:tr w:rsidR="00564FC3" w14:paraId="44DEA667" w14:textId="77777777" w:rsidTr="004E4074">
        <w:trPr>
          <w:trHeight w:val="936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95215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Prevalence</w:t>
            </w:r>
          </w:p>
        </w:tc>
      </w:tr>
      <w:tr w:rsidR="00564FC3" w14:paraId="3E72CA06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8ECB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Number in millions</w:t>
            </w:r>
          </w:p>
          <w:p w14:paraId="734CBF42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(95% UI) 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24C0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269.63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48.01,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C58FB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413.67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77.66,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59.28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E48E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EECA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21.56,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A9C3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60,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89F8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C25DB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83,62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4FE0D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22,75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31B1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3B83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15.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00FC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9CBF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27CA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,63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4D5C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B1016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4E41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52,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E7CB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564FC3" w14:paraId="58CBF4CD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D30B4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Precentage of </w:t>
            </w:r>
          </w:p>
          <w:p w14:paraId="79025223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global lev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l (%)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6065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F358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4DBF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7C32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8.76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7D93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7.64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4BF4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A549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20.87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C0A6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16.30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7302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F779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38.87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B24B6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5.67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C199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E3D3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21.55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E9FB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25.91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2600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A2AD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9FBC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14.41</w:t>
            </w:r>
          </w:p>
        </w:tc>
      </w:tr>
      <w:tr w:rsidR="00564FC3" w14:paraId="36D18B5C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B4693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Precentage change of prevalence,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199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-20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21 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(%) 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F30A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B03F6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3C72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C651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33.81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EB3C4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33794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7E64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19.82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A36DD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7ACE6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0F40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FAAB4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4B1A2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F393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3CB81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2CE62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45A1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22CE8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64FC3" w14:paraId="5B20F5C0" w14:textId="77777777" w:rsidTr="004E4074">
        <w:trPr>
          <w:trHeight w:val="936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C226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Age-standardised prevalence rate</w:t>
            </w:r>
          </w:p>
        </w:tc>
      </w:tr>
      <w:tr w:rsidR="00564FC3" w14:paraId="6A477EC8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0BE43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Rate per 100,000</w:t>
            </w:r>
          </w:p>
          <w:p w14:paraId="580FDF50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(95% UI)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6EB22" w14:textId="77777777" w:rsidR="00564FC3" w:rsidRDefault="00564FC3" w:rsidP="004E4074">
            <w:pPr>
              <w:widowControl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9997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38</w:t>
            </w:r>
          </w:p>
          <w:p w14:paraId="62A766D8" w14:textId="77777777" w:rsidR="00564FC3" w:rsidRDefault="00564FC3" w:rsidP="004E4074">
            <w:pPr>
              <w:widowControl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16964.05,</w:t>
            </w:r>
          </w:p>
          <w:p w14:paraId="4B215119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23501.98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103BF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20877.8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</w:t>
            </w:r>
          </w:p>
          <w:p w14:paraId="6B69A42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Segoe U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17250.33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Times New Roman" w:eastAsia="Segoe UI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25044.5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B705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1A354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10028.67</w:t>
            </w:r>
          </w:p>
          <w:p w14:paraId="6D03B2AB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8281.08,12137.16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A2C5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2172.40</w:t>
            </w:r>
          </w:p>
          <w:p w14:paraId="4FB457A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9786.56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.14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,14962.89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29AA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3A00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9868.63</w:t>
            </w:r>
          </w:p>
          <w:p w14:paraId="185E2E11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16875.18,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23384.0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A04A2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20109.0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</w:p>
          <w:p w14:paraId="3130BF7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(16441.9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24339.4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E7247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2E828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23655.8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</w:t>
            </w:r>
          </w:p>
          <w:p w14:paraId="51F1229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(20119.54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27770.50)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9EA4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22896.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</w:t>
            </w:r>
          </w:p>
          <w:p w14:paraId="1F2E8330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(18828.9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27605.91)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B7B8A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F325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21587.73</w:t>
            </w:r>
          </w:p>
          <w:p w14:paraId="68EA882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(18228.68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25551.4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5E62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21669.57</w:t>
            </w:r>
          </w:p>
          <w:p w14:paraId="2E0B69E5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(17910.79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26002.3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A361C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A8153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23916.1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</w:t>
            </w:r>
          </w:p>
          <w:p w14:paraId="13B02CFD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(20679.64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,27711.04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AA599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23217.47</w:t>
            </w:r>
          </w:p>
          <w:p w14:paraId="5B6FC78E" w14:textId="77777777" w:rsidR="00564FC3" w:rsidRDefault="00564FC3" w:rsidP="004E40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(19732.8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8,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27227.2)</w:t>
            </w:r>
          </w:p>
        </w:tc>
      </w:tr>
      <w:tr w:rsidR="00564FC3" w14:paraId="12AB7EAC" w14:textId="77777777" w:rsidTr="004E4074">
        <w:trPr>
          <w:trHeight w:val="936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A395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APC model estimates</w:t>
            </w:r>
          </w:p>
        </w:tc>
      </w:tr>
      <w:tr w:rsidR="00564FC3" w14:paraId="00AD5126" w14:textId="77777777" w:rsidTr="004E4074">
        <w:trPr>
          <w:trHeight w:val="936"/>
        </w:trPr>
        <w:tc>
          <w:tcPr>
            <w:tcW w:w="66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8274368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Net drift of prevalence</w:t>
            </w:r>
          </w:p>
          <w:p w14:paraId="7551CC16" w14:textId="77777777" w:rsidR="00564FC3" w:rsidRDefault="00564FC3" w:rsidP="004E4074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(%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per year, 95% CI)</w:t>
            </w:r>
          </w:p>
        </w:tc>
        <w:tc>
          <w:tcPr>
            <w:tcW w:w="670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E0F69FE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057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029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084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106214CF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1DC51361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62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2C854356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0F74FE95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60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1657406C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2C4F1BBE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(-0.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32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1E81DD0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0CCB3F0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074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050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20)</w:t>
            </w:r>
          </w:p>
        </w:tc>
        <w:tc>
          <w:tcPr>
            <w:tcW w:w="59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81FF64B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D38A20A" w14:textId="77777777" w:rsidR="00564FC3" w:rsidRDefault="00564FC3" w:rsidP="004E4074">
            <w:pPr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(-0.1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,-0.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</w:tr>
    </w:tbl>
    <w:p w14:paraId="140EC77E" w14:textId="77777777" w:rsidR="00564FC3" w:rsidRDefault="00564FC3" w:rsidP="00564FC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  <w:sectPr w:rsidR="00564FC3" w:rsidSect="00564FC3">
          <w:pgSz w:w="23641" w:h="16838" w:orient="landscape"/>
          <w:pgMar w:top="1440" w:right="1803" w:bottom="1440" w:left="1803" w:header="851" w:footer="992" w:gutter="0"/>
          <w:cols w:space="0"/>
          <w:docGrid w:type="lines" w:linePitch="312"/>
        </w:sect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APC, age-period-cohort; CLD, chronic liver disease; ND, net drift; SDI, sociodemographic index; WCBA, women of childbearing age.</w:t>
      </w:r>
    </w:p>
    <w:p w14:paraId="23284FF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FC3"/>
    <w:rsid w:val="00331A6B"/>
    <w:rsid w:val="00564FC3"/>
    <w:rsid w:val="00717E2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8A567"/>
  <w15:chartTrackingRefBased/>
  <w15:docId w15:val="{8DDE5D91-D8FD-4550-8DBD-C238C7BF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FC3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4FC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C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C3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C3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C3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C3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C3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C3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C3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C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4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C3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4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C3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4F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C3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4F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C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1499</Characters>
  <Application>Microsoft Office Word</Application>
  <DocSecurity>0</DocSecurity>
  <Lines>12</Lines>
  <Paragraphs>3</Paragraphs>
  <ScaleCrop>false</ScaleCrop>
  <Company>Springer Nature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2024-12-23T10:47:00Z</dcterms:created>
  <dcterms:modified xsi:type="dcterms:W3CDTF">2024-12-23T10:47:00Z</dcterms:modified>
</cp:coreProperties>
</file>