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22E" w:rsidRDefault="0084422E" w:rsidP="0084422E">
      <w:pPr>
        <w:rPr>
          <w:b/>
          <w:sz w:val="24"/>
          <w:szCs w:val="24"/>
        </w:rPr>
      </w:pPr>
      <w:r>
        <w:rPr>
          <w:b/>
          <w:sz w:val="24"/>
          <w:szCs w:val="24"/>
        </w:rPr>
        <w:t>Additional file 1</w:t>
      </w:r>
    </w:p>
    <w:p w:rsidR="0084422E" w:rsidRDefault="0084422E" w:rsidP="0084422E">
      <w:pPr>
        <w:rPr>
          <w:b/>
          <w:sz w:val="24"/>
          <w:szCs w:val="24"/>
        </w:rPr>
      </w:pPr>
      <w:r>
        <w:rPr>
          <w:b/>
          <w:sz w:val="24"/>
          <w:szCs w:val="24"/>
        </w:rPr>
        <w:t>PRISMA CHECKLIST</w:t>
      </w:r>
    </w:p>
    <w:tbl>
      <w:tblPr>
        <w:tblW w:w="14145" w:type="dxa"/>
        <w:jc w:val="center"/>
        <w:tblInd w:w="-792" w:type="dxa"/>
        <w:tblLook w:val="04A0" w:firstRow="1" w:lastRow="0" w:firstColumn="1" w:lastColumn="0" w:noHBand="0" w:noVBand="1"/>
      </w:tblPr>
      <w:tblGrid>
        <w:gridCol w:w="1251"/>
        <w:gridCol w:w="405"/>
        <w:gridCol w:w="439"/>
        <w:gridCol w:w="10862"/>
        <w:gridCol w:w="1177"/>
        <w:gridCol w:w="11"/>
      </w:tblGrid>
      <w:tr w:rsidR="0084422E" w:rsidTr="0084422E">
        <w:trPr>
          <w:trHeight w:val="663"/>
          <w:jc w:val="center"/>
        </w:trPr>
        <w:tc>
          <w:tcPr>
            <w:tcW w:w="1806" w:type="dxa"/>
            <w:gridSpan w:val="2"/>
            <w:tcBorders>
              <w:top w:val="double" w:sz="6" w:space="0" w:color="000000"/>
              <w:left w:val="single" w:sz="6" w:space="0" w:color="000000"/>
              <w:bottom w:val="double" w:sz="2" w:space="0" w:color="FFFFCC"/>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t xml:space="preserve">Section/topic </w:t>
            </w:r>
          </w:p>
        </w:tc>
        <w:tc>
          <w:tcPr>
            <w:tcW w:w="248"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rsidR="0084422E" w:rsidRDefault="0084422E">
            <w:pPr>
              <w:pStyle w:val="Default"/>
              <w:spacing w:line="276" w:lineRule="auto"/>
              <w:jc w:val="right"/>
              <w:rPr>
                <w:rFonts w:ascii="Arial" w:hAnsi="Arial" w:cs="Arial"/>
                <w:b/>
                <w:bCs/>
                <w:color w:val="FFFFFF"/>
                <w:sz w:val="22"/>
                <w:szCs w:val="22"/>
              </w:rPr>
            </w:pPr>
            <w:r>
              <w:rPr>
                <w:rFonts w:ascii="Arial" w:hAnsi="Arial" w:cs="Arial"/>
                <w:b/>
                <w:bCs/>
                <w:color w:val="FFFFFF"/>
                <w:sz w:val="22"/>
                <w:szCs w:val="22"/>
              </w:rPr>
              <w:t>#</w:t>
            </w:r>
          </w:p>
        </w:tc>
        <w:tc>
          <w:tcPr>
            <w:tcW w:w="0" w:type="auto"/>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t xml:space="preserve">Checklist item </w:t>
            </w:r>
          </w:p>
        </w:tc>
        <w:tc>
          <w:tcPr>
            <w:tcW w:w="1204" w:type="dxa"/>
            <w:gridSpan w:val="2"/>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t xml:space="preserve">Reported on page # </w:t>
            </w:r>
          </w:p>
        </w:tc>
      </w:tr>
      <w:tr w:rsidR="0084422E" w:rsidTr="0084422E">
        <w:trPr>
          <w:gridAfter w:val="1"/>
          <w:wAfter w:w="15" w:type="dxa"/>
          <w:trHeight w:val="335"/>
          <w:jc w:val="center"/>
        </w:trPr>
        <w:tc>
          <w:tcPr>
            <w:tcW w:w="12941" w:type="dxa"/>
            <w:gridSpan w:val="4"/>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TITLE </w:t>
            </w:r>
          </w:p>
        </w:tc>
        <w:tc>
          <w:tcPr>
            <w:tcW w:w="1189" w:type="dxa"/>
            <w:tcBorders>
              <w:top w:val="double" w:sz="6" w:space="0" w:color="000000"/>
              <w:left w:val="single" w:sz="6" w:space="0" w:color="000000"/>
              <w:bottom w:val="single" w:sz="6" w:space="0" w:color="000000"/>
              <w:right w:val="single" w:sz="6" w:space="0" w:color="000000"/>
            </w:tcBorders>
            <w:shd w:val="clear" w:color="auto" w:fill="FFFFCC"/>
          </w:tcPr>
          <w:p w:rsidR="0084422E" w:rsidRDefault="0084422E">
            <w:pPr>
              <w:pStyle w:val="Default"/>
              <w:spacing w:line="276" w:lineRule="auto"/>
              <w:jc w:val="right"/>
              <w:rPr>
                <w:rFonts w:ascii="Arial" w:hAnsi="Arial" w:cs="Arial"/>
                <w:color w:val="auto"/>
              </w:rPr>
            </w:pPr>
          </w:p>
        </w:tc>
      </w:tr>
      <w:tr w:rsidR="0084422E" w:rsidTr="0084422E">
        <w:trPr>
          <w:gridAfter w:val="1"/>
          <w:wAfter w:w="15" w:type="dxa"/>
          <w:trHeight w:hRule="exact" w:val="1290"/>
          <w:jc w:val="center"/>
        </w:trPr>
        <w:tc>
          <w:tcPr>
            <w:tcW w:w="1261"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Title </w:t>
            </w:r>
          </w:p>
        </w:tc>
        <w:tc>
          <w:tcPr>
            <w:tcW w:w="545"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w:t>
            </w:r>
          </w:p>
        </w:tc>
        <w:tc>
          <w:tcPr>
            <w:tcW w:w="11135" w:type="dxa"/>
            <w:gridSpan w:val="2"/>
            <w:tcBorders>
              <w:top w:val="single" w:sz="6" w:space="0" w:color="000000"/>
              <w:left w:val="single" w:sz="6" w:space="0" w:color="000000"/>
              <w:bottom w:val="double" w:sz="6" w:space="0" w:color="000000"/>
              <w:right w:val="single" w:sz="6" w:space="0" w:color="000000"/>
            </w:tcBorders>
          </w:tcPr>
          <w:p w:rsidR="0084422E" w:rsidRDefault="0084422E">
            <w:pPr>
              <w:pStyle w:val="Heading2"/>
              <w:ind w:left="0"/>
              <w:jc w:val="both"/>
              <w:rPr>
                <w:rFonts w:ascii="Times New Roman" w:hAnsi="Times New Roman"/>
                <w:color w:val="auto"/>
              </w:rPr>
            </w:pPr>
            <w:r>
              <w:rPr>
                <w:rFonts w:ascii="Times New Roman" w:hAnsi="Times New Roman"/>
                <w:color w:val="auto"/>
              </w:rPr>
              <w:t>Male involvement in birth preparedness and complication readiness in Ethiopia: A Systematic review and Meta-analysis</w:t>
            </w:r>
          </w:p>
          <w:p w:rsidR="0084422E" w:rsidRDefault="0084422E">
            <w:pPr>
              <w:spacing w:line="360" w:lineRule="auto"/>
              <w:jc w:val="both"/>
              <w:rPr>
                <w:b/>
              </w:rPr>
            </w:pPr>
          </w:p>
        </w:tc>
        <w:tc>
          <w:tcPr>
            <w:tcW w:w="1189"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w:t>
            </w:r>
          </w:p>
        </w:tc>
      </w:tr>
      <w:tr w:rsidR="0084422E" w:rsidTr="0084422E">
        <w:trPr>
          <w:gridAfter w:val="1"/>
          <w:wAfter w:w="15" w:type="dxa"/>
          <w:trHeight w:val="335"/>
          <w:jc w:val="center"/>
        </w:trPr>
        <w:tc>
          <w:tcPr>
            <w:tcW w:w="12941" w:type="dxa"/>
            <w:gridSpan w:val="4"/>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ABSTRACT </w:t>
            </w:r>
          </w:p>
        </w:tc>
        <w:tc>
          <w:tcPr>
            <w:tcW w:w="1189" w:type="dxa"/>
            <w:tcBorders>
              <w:top w:val="double" w:sz="6" w:space="0" w:color="000000"/>
              <w:left w:val="single" w:sz="6" w:space="0" w:color="000000"/>
              <w:bottom w:val="single" w:sz="6" w:space="0" w:color="000000"/>
              <w:right w:val="single" w:sz="6" w:space="0" w:color="000000"/>
            </w:tcBorders>
            <w:shd w:val="clear" w:color="auto" w:fill="FFFFCC"/>
          </w:tcPr>
          <w:p w:rsidR="0084422E" w:rsidRDefault="0084422E">
            <w:pPr>
              <w:pStyle w:val="Default"/>
              <w:spacing w:line="276" w:lineRule="auto"/>
              <w:jc w:val="right"/>
              <w:rPr>
                <w:rFonts w:ascii="Arial" w:hAnsi="Arial" w:cs="Arial"/>
                <w:color w:val="auto"/>
              </w:rPr>
            </w:pPr>
          </w:p>
        </w:tc>
      </w:tr>
      <w:tr w:rsidR="0084422E" w:rsidTr="0084422E">
        <w:trPr>
          <w:gridAfter w:val="1"/>
          <w:wAfter w:w="15" w:type="dxa"/>
          <w:trHeight w:hRule="exact" w:val="6672"/>
          <w:jc w:val="center"/>
        </w:trPr>
        <w:tc>
          <w:tcPr>
            <w:tcW w:w="1261"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lastRenderedPageBreak/>
              <w:t xml:space="preserve">Structured summary </w:t>
            </w:r>
          </w:p>
        </w:tc>
        <w:tc>
          <w:tcPr>
            <w:tcW w:w="545"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w:t>
            </w:r>
          </w:p>
        </w:tc>
        <w:tc>
          <w:tcPr>
            <w:tcW w:w="11135" w:type="dxa"/>
            <w:gridSpan w:val="2"/>
            <w:tcBorders>
              <w:top w:val="single" w:sz="6" w:space="0" w:color="000000"/>
              <w:left w:val="single" w:sz="6" w:space="0" w:color="000000"/>
              <w:bottom w:val="double" w:sz="6" w:space="0" w:color="000000"/>
              <w:right w:val="single" w:sz="6" w:space="0" w:color="000000"/>
            </w:tcBorders>
          </w:tcPr>
          <w:p w:rsidR="0084422E" w:rsidRDefault="0084422E">
            <w:pPr>
              <w:pStyle w:val="Heading2"/>
              <w:ind w:left="0"/>
              <w:jc w:val="both"/>
            </w:pPr>
            <w:r>
              <w:t xml:space="preserve">Abstract </w:t>
            </w:r>
          </w:p>
          <w:p w:rsidR="0084422E" w:rsidRDefault="0084422E">
            <w:pPr>
              <w:spacing w:line="360" w:lineRule="auto"/>
              <w:jc w:val="both"/>
            </w:pPr>
            <w:r>
              <w:rPr>
                <w:b/>
                <w:lang w:bidi="he-IL"/>
              </w:rPr>
              <w:t>Background</w:t>
            </w:r>
            <w:r>
              <w:rPr>
                <w:lang w:bidi="he-IL"/>
              </w:rPr>
              <w:t>: Maternal death may occur from complications while a woman is pregnant, during labor and post-partum period. Preparing for birth and related complications ahead of time markedly reduce the number of women dying from such preventable causes.</w:t>
            </w:r>
            <w:r>
              <w:t xml:space="preserve"> Male involvement in pregnancy, labor and post-partum care has been shown to improve maternal and newborn outcomes. Nevertheless, it continues to be low, especially in low income countries. One of the reasons is the lack of birth preparedness and complication readiness, which is recognized as the most cost-effective and achievable components of safe motherhood programs around the world.</w:t>
            </w:r>
          </w:p>
          <w:p w:rsidR="0084422E" w:rsidRDefault="0084422E">
            <w:pPr>
              <w:spacing w:line="360" w:lineRule="auto"/>
              <w:jc w:val="both"/>
            </w:pPr>
            <w:r>
              <w:t xml:space="preserve">Thus, this systematic review and meta-analysis study tried to determine the pooled prevalence of male involvement in birth preparedness and complication readiness (BP/CR) and its associated factors in Ethiopia. </w:t>
            </w:r>
            <w:r>
              <w:rPr>
                <w:b/>
              </w:rPr>
              <w:t xml:space="preserve">Methods: </w:t>
            </w:r>
            <w:r>
              <w:t xml:space="preserve">We searched the original research articles through PubMed/MEDLINE,EMBASE, CINAHAL, Google Scholar, HINARI portal(which includes the SCOPUS, African Index </w:t>
            </w:r>
            <w:proofErr w:type="spellStart"/>
            <w:r>
              <w:t>Medicus</w:t>
            </w:r>
            <w:proofErr w:type="spellEnd"/>
            <w:r>
              <w:t>, and African Journals Online databases),Cochrane Library. The data was extracted by using a standard data extraction checklist that developed according to Joanna Briggs Institute (JBI).For assessing heterogeneity across the studies I</w:t>
            </w:r>
            <w:r>
              <w:rPr>
                <w:vertAlign w:val="superscript"/>
              </w:rPr>
              <w:t>2</w:t>
            </w:r>
            <w:r>
              <w:t xml:space="preserve"> statistics was used. The Funnel plot asymmetry and Egger</w:t>
            </w:r>
            <w:r>
              <w:rPr>
                <w:vertAlign w:val="superscript"/>
              </w:rPr>
              <w:t>’</w:t>
            </w:r>
            <w:r>
              <w:t>s tests were used to check the presence of publication bias. A random effect model was used to estimate the pooled prevalence of male involvement in birth preparedness and complication readiness. Odds Ratio (OR) with the 95% confidence interval was also used to determine the association of identified factors with the outcome variable. Statistical analysis was conducted using STATA version 11 software.</w:t>
            </w:r>
          </w:p>
          <w:p w:rsidR="0084422E" w:rsidRDefault="0084422E">
            <w:pPr>
              <w:spacing w:line="480" w:lineRule="auto"/>
              <w:jc w:val="both"/>
            </w:pPr>
            <w:r>
              <w:t xml:space="preserve"> </w:t>
            </w:r>
            <w:r>
              <w:rPr>
                <w:b/>
              </w:rPr>
              <w:t>Result</w:t>
            </w:r>
            <w:r>
              <w:t xml:space="preserve">: From a total of </w:t>
            </w:r>
            <w:r>
              <w:rPr>
                <w:rFonts w:eastAsia="Calibri"/>
              </w:rPr>
              <w:t>614, primary</w:t>
            </w:r>
            <w:r>
              <w:t xml:space="preserve"> studies</w:t>
            </w:r>
            <w:r>
              <w:rPr>
                <w:rFonts w:eastAsia="Calibri"/>
              </w:rPr>
              <w:t xml:space="preserve"> with (</w:t>
            </w:r>
            <w:r>
              <w:t xml:space="preserve">sample participants </w:t>
            </w:r>
            <w:r>
              <w:rPr>
                <w:rFonts w:eastAsia="Calibri"/>
              </w:rPr>
              <w:t>3413)</w:t>
            </w:r>
            <w:r>
              <w:t xml:space="preserve">, 8 were eligible for inclusion in the final systematic Review and meta-analysis. The pooled estimate of male involvement in birth preparedness and complication readiness was found to be 40.17% [95%CI (24.01-56.33) </w:t>
            </w:r>
            <w:r>
              <w:rPr>
                <w:b/>
              </w:rPr>
              <w:t xml:space="preserve">Conclusion: </w:t>
            </w:r>
            <w:r>
              <w:t>The pooled prevalence of male involvement in birth preparedness and complication readiness was relatively low. Thus, Minister of Health with its stake holders better to give emphasis on community awareness programs so as to increase male involvement for birth preparedness and complication readiness</w:t>
            </w:r>
          </w:p>
          <w:p w:rsidR="0084422E" w:rsidRDefault="0084422E">
            <w:pPr>
              <w:spacing w:line="480" w:lineRule="auto"/>
              <w:jc w:val="both"/>
              <w:rPr>
                <w:rFonts w:ascii="Arial" w:hAnsi="Arial" w:cs="Arial"/>
                <w:sz w:val="20"/>
                <w:szCs w:val="20"/>
              </w:rPr>
            </w:pPr>
          </w:p>
        </w:tc>
        <w:tc>
          <w:tcPr>
            <w:tcW w:w="1189"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2</w:t>
            </w:r>
          </w:p>
        </w:tc>
      </w:tr>
      <w:tr w:rsidR="0084422E" w:rsidTr="0084422E">
        <w:trPr>
          <w:gridAfter w:val="1"/>
          <w:wAfter w:w="15" w:type="dxa"/>
          <w:trHeight w:val="335"/>
          <w:jc w:val="center"/>
        </w:trPr>
        <w:tc>
          <w:tcPr>
            <w:tcW w:w="12941" w:type="dxa"/>
            <w:gridSpan w:val="4"/>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INTRODUCTION </w:t>
            </w:r>
          </w:p>
        </w:tc>
        <w:tc>
          <w:tcPr>
            <w:tcW w:w="1189" w:type="dxa"/>
            <w:tcBorders>
              <w:top w:val="double" w:sz="6" w:space="0" w:color="000000"/>
              <w:left w:val="single" w:sz="6" w:space="0" w:color="000000"/>
              <w:bottom w:val="single" w:sz="6" w:space="0" w:color="000000"/>
              <w:right w:val="single" w:sz="6" w:space="0" w:color="000000"/>
            </w:tcBorders>
            <w:shd w:val="clear" w:color="auto" w:fill="FFFFCC"/>
          </w:tcPr>
          <w:p w:rsidR="0084422E" w:rsidRDefault="0084422E">
            <w:pPr>
              <w:pStyle w:val="Default"/>
              <w:spacing w:line="276" w:lineRule="auto"/>
              <w:jc w:val="right"/>
              <w:rPr>
                <w:rFonts w:ascii="Arial" w:hAnsi="Arial" w:cs="Arial"/>
                <w:color w:val="auto"/>
              </w:rPr>
            </w:pPr>
          </w:p>
        </w:tc>
      </w:tr>
      <w:tr w:rsidR="0084422E" w:rsidTr="0084422E">
        <w:trPr>
          <w:trHeight w:val="333"/>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Rationale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3</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Times New Roman" w:hAnsi="Times New Roman" w:cs="Times New Roman"/>
                <w:sz w:val="20"/>
                <w:szCs w:val="20"/>
              </w:rPr>
            </w:pPr>
            <w:r>
              <w:rPr>
                <w:rFonts w:ascii="Times New Roman" w:hAnsi="Times New Roman" w:cs="Times New Roman"/>
              </w:rPr>
              <w:t xml:space="preserve">There was no a pooled proportion of </w:t>
            </w:r>
            <w:r>
              <w:rPr>
                <w:rFonts w:ascii="Times New Roman" w:hAnsi="Times New Roman" w:cs="Times New Roman"/>
                <w:color w:val="auto"/>
              </w:rPr>
              <w:t>Male involvement in birth preparedness and complication readiness in Ethiopia</w:t>
            </w:r>
            <w:r>
              <w:rPr>
                <w:rFonts w:ascii="Times New Roman" w:hAnsi="Times New Roman" w:cs="Times New Roman"/>
              </w:rPr>
              <w:t xml:space="preserve">. Knowing the pooled proportion of male </w:t>
            </w:r>
            <w:r>
              <w:rPr>
                <w:rFonts w:ascii="Times New Roman" w:hAnsi="Times New Roman" w:cs="Times New Roman"/>
                <w:color w:val="auto"/>
              </w:rPr>
              <w:t>involvement in birth preparedness and complication readiness</w:t>
            </w:r>
            <w:r>
              <w:rPr>
                <w:rFonts w:ascii="Times New Roman" w:hAnsi="Times New Roman" w:cs="Times New Roman"/>
              </w:rPr>
              <w:t xml:space="preserve"> is paramount important so as shape strategies prevent maternal and child mortality. The finding of this study will be an input to policy makers and programmers to design strategies in order to enhance male </w:t>
            </w:r>
            <w:r>
              <w:rPr>
                <w:rFonts w:ascii="Times New Roman" w:hAnsi="Times New Roman" w:cs="Times New Roman"/>
                <w:color w:val="auto"/>
              </w:rPr>
              <w:t xml:space="preserve">involvement in birth preparedness and complication in Ethiopia. By far improve maternal and child health </w:t>
            </w:r>
            <w:r>
              <w:rPr>
                <w:rFonts w:ascii="Times New Roman" w:hAnsi="Times New Roman" w:cs="Times New Roman"/>
                <w:color w:val="auto"/>
              </w:rPr>
              <w:lastRenderedPageBreak/>
              <w:t>outcomes.</w:t>
            </w:r>
            <w:r>
              <w:rPr>
                <w:rFonts w:ascii="Times New Roman" w:hAnsi="Times New Roman" w:cs="Times New Roman"/>
              </w:rPr>
              <w:t xml:space="preserve"> </w:t>
            </w:r>
          </w:p>
        </w:tc>
        <w:tc>
          <w:tcPr>
            <w:tcW w:w="1204"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lastRenderedPageBreak/>
              <w:t>3</w:t>
            </w:r>
          </w:p>
        </w:tc>
      </w:tr>
      <w:tr w:rsidR="0084422E" w:rsidTr="0084422E">
        <w:trPr>
          <w:trHeight w:val="568"/>
          <w:jc w:val="center"/>
        </w:trPr>
        <w:tc>
          <w:tcPr>
            <w:tcW w:w="1806" w:type="dxa"/>
            <w:gridSpan w:val="2"/>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lastRenderedPageBreak/>
              <w:t xml:space="preserve">Objectives </w:t>
            </w:r>
          </w:p>
        </w:tc>
        <w:tc>
          <w:tcPr>
            <w:tcW w:w="248"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4</w:t>
            </w:r>
          </w:p>
        </w:tc>
        <w:tc>
          <w:tcPr>
            <w:tcW w:w="0" w:type="auto"/>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Times New Roman" w:hAnsi="Times New Roman" w:cs="Times New Roman"/>
                <w:sz w:val="20"/>
                <w:szCs w:val="20"/>
              </w:rPr>
            </w:pPr>
            <w:r>
              <w:rPr>
                <w:rFonts w:ascii="Times New Roman" w:hAnsi="Times New Roman" w:cs="Times New Roman"/>
              </w:rPr>
              <w:t xml:space="preserve">The aim of this systematic review and meta-analysis was to determine the pooled proportion of male </w:t>
            </w:r>
            <w:r>
              <w:rPr>
                <w:rFonts w:ascii="Times New Roman" w:hAnsi="Times New Roman" w:cs="Times New Roman"/>
                <w:color w:val="auto"/>
              </w:rPr>
              <w:t>involvement in birth preparedness and complication</w:t>
            </w:r>
            <w:r>
              <w:rPr>
                <w:rFonts w:ascii="Times New Roman" w:hAnsi="Times New Roman" w:cs="Times New Roman"/>
              </w:rPr>
              <w:t xml:space="preserve"> and its associated factors in the context of Ethiopia. It also tried to make an agreed data set through pooling since there was </w:t>
            </w:r>
            <w:proofErr w:type="spellStart"/>
            <w:r>
              <w:rPr>
                <w:rFonts w:ascii="Times New Roman" w:hAnsi="Times New Roman" w:cs="Times New Roman"/>
              </w:rPr>
              <w:t>descripancy</w:t>
            </w:r>
            <w:proofErr w:type="spellEnd"/>
            <w:r>
              <w:rPr>
                <w:rFonts w:ascii="Times New Roman" w:hAnsi="Times New Roman" w:cs="Times New Roman"/>
              </w:rPr>
              <w:t xml:space="preserve"> between different individual articles.</w:t>
            </w:r>
          </w:p>
        </w:tc>
        <w:tc>
          <w:tcPr>
            <w:tcW w:w="1204" w:type="dxa"/>
            <w:gridSpan w:val="2"/>
            <w:tcBorders>
              <w:top w:val="single" w:sz="6" w:space="0" w:color="000000"/>
              <w:left w:val="single" w:sz="6" w:space="0" w:color="000000"/>
              <w:bottom w:val="doub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gridAfter w:val="1"/>
          <w:wAfter w:w="15" w:type="dxa"/>
          <w:trHeight w:val="335"/>
          <w:jc w:val="center"/>
        </w:trPr>
        <w:tc>
          <w:tcPr>
            <w:tcW w:w="12941" w:type="dxa"/>
            <w:gridSpan w:val="4"/>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METHODS </w:t>
            </w:r>
          </w:p>
        </w:tc>
        <w:tc>
          <w:tcPr>
            <w:tcW w:w="1189" w:type="dxa"/>
            <w:tcBorders>
              <w:top w:val="double" w:sz="6" w:space="0" w:color="000000"/>
              <w:left w:val="single" w:sz="6" w:space="0" w:color="000000"/>
              <w:bottom w:val="single" w:sz="6" w:space="0" w:color="000000"/>
              <w:right w:val="single" w:sz="6" w:space="0" w:color="000000"/>
            </w:tcBorders>
            <w:shd w:val="clear" w:color="auto" w:fill="FFFFCC"/>
            <w:hideMark/>
          </w:tcPr>
          <w:p w:rsidR="0084422E" w:rsidRDefault="0084422E">
            <w:pPr>
              <w:pStyle w:val="Default"/>
              <w:spacing w:line="276" w:lineRule="auto"/>
              <w:rPr>
                <w:rFonts w:ascii="Arial" w:hAnsi="Arial" w:cs="Arial"/>
                <w:color w:val="auto"/>
              </w:rPr>
            </w:pPr>
            <w:r>
              <w:rPr>
                <w:rFonts w:ascii="Arial" w:hAnsi="Arial" w:cs="Arial"/>
                <w:color w:val="auto"/>
              </w:rPr>
              <w:t>5</w:t>
            </w:r>
          </w:p>
        </w:tc>
      </w:tr>
      <w:tr w:rsidR="0084422E" w:rsidTr="0084422E">
        <w:trPr>
          <w:trHeight w:val="578"/>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Protocol and registration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5</w:t>
            </w:r>
          </w:p>
        </w:tc>
        <w:tc>
          <w:tcPr>
            <w:tcW w:w="0" w:type="auto"/>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sz w:val="20"/>
                <w:szCs w:val="20"/>
              </w:rPr>
            </w:pP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hRule="exact" w:val="2082"/>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Eligibility criteria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6</w:t>
            </w:r>
          </w:p>
        </w:tc>
        <w:tc>
          <w:tcPr>
            <w:tcW w:w="0" w:type="auto"/>
            <w:tcBorders>
              <w:top w:val="single" w:sz="6" w:space="0" w:color="000000"/>
              <w:left w:val="single" w:sz="6" w:space="0" w:color="000000"/>
              <w:bottom w:val="single" w:sz="6" w:space="0" w:color="000000"/>
              <w:right w:val="single" w:sz="6" w:space="0" w:color="000000"/>
            </w:tcBorders>
          </w:tcPr>
          <w:p w:rsidR="0084422E" w:rsidRDefault="0084422E">
            <w:pPr>
              <w:spacing w:line="360" w:lineRule="auto"/>
              <w:jc w:val="both"/>
              <w:rPr>
                <w:rFonts w:eastAsia="Calibri"/>
              </w:rPr>
            </w:pPr>
            <w:r>
              <w:rPr>
                <w:rFonts w:eastAsia="Calibri"/>
              </w:rPr>
              <w:t xml:space="preserve">The studies were included in this review and meta-analysis if and only: they met the following criteria:(1) </w:t>
            </w:r>
            <w:proofErr w:type="spellStart"/>
            <w:r>
              <w:rPr>
                <w:rFonts w:eastAsia="Calibri"/>
              </w:rPr>
              <w:t>Crossectional</w:t>
            </w:r>
            <w:proofErr w:type="spellEnd"/>
            <w:r>
              <w:rPr>
                <w:rFonts w:eastAsia="Calibri"/>
              </w:rPr>
              <w:t xml:space="preserve"> observational studies, (2) Studies conducted in Ethiopia,(3) Studies that clearly reported the proportion of male involvement and complication readiness and/or factors  (4) both published and unpublished studies at any time: Those studies with no clear report of the outcome ,program evaluation studies, qualitative studies and citations without full text were excluded from the review and meta-analysis.</w:t>
            </w:r>
          </w:p>
          <w:p w:rsidR="0084422E" w:rsidRDefault="0084422E">
            <w:pPr>
              <w:spacing w:line="360" w:lineRule="auto"/>
              <w:jc w:val="both"/>
            </w:pPr>
          </w:p>
        </w:tc>
        <w:tc>
          <w:tcPr>
            <w:tcW w:w="1204"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5</w:t>
            </w:r>
          </w:p>
        </w:tc>
      </w:tr>
      <w:tr w:rsidR="0084422E" w:rsidTr="0084422E">
        <w:trPr>
          <w:trHeight w:val="578"/>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Information sources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center"/>
              <w:rPr>
                <w:rFonts w:ascii="Arial" w:hAnsi="Arial" w:cs="Arial"/>
                <w:sz w:val="20"/>
                <w:szCs w:val="20"/>
              </w:rPr>
            </w:pPr>
            <w:r>
              <w:rPr>
                <w:rFonts w:ascii="Arial" w:hAnsi="Arial" w:cs="Arial"/>
                <w:sz w:val="20"/>
                <w:szCs w:val="20"/>
              </w:rPr>
              <w:t>7</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Times New Roman" w:hAnsi="Times New Roman" w:cs="Times New Roman"/>
              </w:rPr>
              <w:t xml:space="preserve">We searched through PubMed, Web of Science Excerpt </w:t>
            </w:r>
            <w:proofErr w:type="spellStart"/>
            <w:r>
              <w:rPr>
                <w:rFonts w:ascii="Times New Roman" w:hAnsi="Times New Roman" w:cs="Times New Roman"/>
              </w:rPr>
              <w:t>Medica</w:t>
            </w:r>
            <w:proofErr w:type="spellEnd"/>
            <w:r>
              <w:rPr>
                <w:rFonts w:ascii="Times New Roman" w:hAnsi="Times New Roman" w:cs="Times New Roman"/>
              </w:rPr>
              <w:t xml:space="preserve"> Database (EMBASE), Google Scholar and </w:t>
            </w:r>
            <w:proofErr w:type="spellStart"/>
            <w:r>
              <w:rPr>
                <w:rFonts w:ascii="Times New Roman" w:hAnsi="Times New Roman" w:cs="Times New Roman"/>
              </w:rPr>
              <w:t>psycEXTRA</w:t>
            </w:r>
            <w:proofErr w:type="spellEnd"/>
            <w:r>
              <w:rPr>
                <w:rFonts w:ascii="Times New Roman" w:hAnsi="Times New Roman" w:cs="Times New Roman"/>
              </w:rPr>
              <w:t xml:space="preserve"> database for all available studies. The Gerry literatures were also searched from Ethiopian’s Universities (</w:t>
            </w:r>
            <w:proofErr w:type="spellStart"/>
            <w:r>
              <w:rPr>
                <w:rFonts w:ascii="Times New Roman" w:hAnsi="Times New Roman" w:cs="Times New Roman"/>
              </w:rPr>
              <w:t>Jimma</w:t>
            </w:r>
            <w:proofErr w:type="spellEnd"/>
            <w:r>
              <w:rPr>
                <w:rFonts w:ascii="Times New Roman" w:hAnsi="Times New Roman" w:cs="Times New Roman"/>
              </w:rPr>
              <w:t>, Gondar, and Addis Ababa) research repository online library.</w:t>
            </w: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578"/>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Search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center"/>
              <w:rPr>
                <w:rFonts w:ascii="Arial" w:hAnsi="Arial" w:cs="Arial"/>
                <w:sz w:val="20"/>
                <w:szCs w:val="20"/>
              </w:rPr>
            </w:pPr>
            <w:r>
              <w:rPr>
                <w:rFonts w:ascii="Arial" w:hAnsi="Arial" w:cs="Arial"/>
                <w:sz w:val="20"/>
                <w:szCs w:val="20"/>
              </w:rPr>
              <w:t>8</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Times New Roman" w:hAnsi="Times New Roman" w:cs="Times New Roman"/>
              </w:rPr>
              <w:t xml:space="preserve">Male </w:t>
            </w:r>
            <w:proofErr w:type="spellStart"/>
            <w:r>
              <w:rPr>
                <w:rFonts w:ascii="Times New Roman" w:hAnsi="Times New Roman" w:cs="Times New Roman"/>
              </w:rPr>
              <w:t>involvement”</w:t>
            </w:r>
            <w:proofErr w:type="gramStart"/>
            <w:r>
              <w:rPr>
                <w:rFonts w:ascii="Times New Roman" w:hAnsi="Times New Roman" w:cs="Times New Roman"/>
              </w:rPr>
              <w:t>;“</w:t>
            </w:r>
            <w:proofErr w:type="gramEnd"/>
            <w:r>
              <w:rPr>
                <w:rFonts w:ascii="Times New Roman" w:hAnsi="Times New Roman" w:cs="Times New Roman"/>
              </w:rPr>
              <w:t>Birth</w:t>
            </w:r>
            <w:proofErr w:type="spellEnd"/>
            <w:r>
              <w:rPr>
                <w:rFonts w:ascii="Times New Roman" w:hAnsi="Times New Roman" w:cs="Times New Roman"/>
              </w:rPr>
              <w:t xml:space="preserve"> preparedness”; “Complication readiness”; “Factors”;*determinants*; *predictors*;and “Ethiopia”. In this systematic Reviews and Meta-analysis the search string was developed using “AND” and “OR”.</w:t>
            </w:r>
          </w:p>
        </w:tc>
        <w:tc>
          <w:tcPr>
            <w:tcW w:w="1204"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5</w:t>
            </w:r>
          </w:p>
        </w:tc>
      </w:tr>
      <w:tr w:rsidR="0084422E" w:rsidTr="0084422E">
        <w:trPr>
          <w:trHeight w:hRule="exact" w:val="372"/>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Study selection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center"/>
              <w:rPr>
                <w:rFonts w:ascii="Arial" w:hAnsi="Arial" w:cs="Arial"/>
                <w:sz w:val="20"/>
                <w:szCs w:val="20"/>
              </w:rPr>
            </w:pPr>
            <w:r>
              <w:rPr>
                <w:rFonts w:ascii="Arial" w:hAnsi="Arial" w:cs="Arial"/>
                <w:sz w:val="20"/>
                <w:szCs w:val="20"/>
              </w:rPr>
              <w:t>9</w:t>
            </w:r>
          </w:p>
        </w:tc>
        <w:tc>
          <w:tcPr>
            <w:tcW w:w="0" w:type="auto"/>
            <w:tcBorders>
              <w:top w:val="single" w:sz="6" w:space="0" w:color="000000"/>
              <w:left w:val="single" w:sz="6" w:space="0" w:color="000000"/>
              <w:bottom w:val="single" w:sz="6" w:space="0" w:color="000000"/>
              <w:right w:val="single" w:sz="6" w:space="0" w:color="000000"/>
            </w:tcBorders>
          </w:tcPr>
          <w:p w:rsidR="0084422E" w:rsidRDefault="0084422E">
            <w:pPr>
              <w:spacing w:line="360" w:lineRule="auto"/>
              <w:jc w:val="both"/>
              <w:rPr>
                <w:rFonts w:eastAsia="Calibri"/>
              </w:rPr>
            </w:pPr>
            <w:r>
              <w:rPr>
                <w:rFonts w:eastAsia="Calibri"/>
              </w:rPr>
              <w:t>A total of 614 with (3413 participants) were retrieved through from electronic databases and other sources. The title and abstract of every study was screened and duplicated or irrelevant articles were removed using EndNote Version7 software. Doing these, 146 articles were removed due to duplication and the remaining 468 articles, 460 were removed due to their title and abstracts  was not in-line with our inclusion criteria( did not correctly report the correct outcome, studies conducted outside of Ethiopia). Finally, a total of only 8 articles were included for this systematic review and meta-analysis (</w:t>
            </w:r>
            <w:r>
              <w:rPr>
                <w:rFonts w:eastAsia="Calibri"/>
                <w:color w:val="4F81BD"/>
              </w:rPr>
              <w:t>figure 1</w:t>
            </w:r>
            <w:r>
              <w:rPr>
                <w:rFonts w:eastAsia="Calibri"/>
              </w:rPr>
              <w:t>).</w:t>
            </w:r>
          </w:p>
          <w:p w:rsidR="0084422E" w:rsidRDefault="0084422E">
            <w:pPr>
              <w:pStyle w:val="Default"/>
              <w:spacing w:before="40" w:after="40" w:line="360" w:lineRule="auto"/>
              <w:jc w:val="both"/>
              <w:rPr>
                <w:rFonts w:ascii="Arial" w:hAnsi="Arial" w:cs="Arial"/>
                <w:sz w:val="20"/>
                <w:szCs w:val="20"/>
              </w:rPr>
            </w:pPr>
          </w:p>
        </w:tc>
        <w:tc>
          <w:tcPr>
            <w:tcW w:w="1204"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7</w:t>
            </w:r>
          </w:p>
        </w:tc>
      </w:tr>
      <w:tr w:rsidR="0084422E" w:rsidTr="0084422E">
        <w:trPr>
          <w:trHeight w:hRule="exact" w:val="3612"/>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lastRenderedPageBreak/>
              <w:t xml:space="preserve">Data collection process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10</w:t>
            </w:r>
          </w:p>
        </w:tc>
        <w:tc>
          <w:tcPr>
            <w:tcW w:w="0" w:type="auto"/>
            <w:tcBorders>
              <w:top w:val="single" w:sz="6" w:space="0" w:color="000000"/>
              <w:left w:val="single" w:sz="6" w:space="0" w:color="000000"/>
              <w:bottom w:val="single" w:sz="6" w:space="0" w:color="000000"/>
              <w:right w:val="single" w:sz="6" w:space="0" w:color="000000"/>
            </w:tcBorders>
          </w:tcPr>
          <w:p w:rsidR="0084422E" w:rsidRDefault="0084422E">
            <w:pPr>
              <w:spacing w:line="360" w:lineRule="auto"/>
              <w:jc w:val="both"/>
              <w:rPr>
                <w:rFonts w:eastAsia="Calibri"/>
              </w:rPr>
            </w:pPr>
            <w:r>
              <w:rPr>
                <w:rFonts w:eastAsia="Calibri"/>
              </w:rPr>
              <w:t>Data were independently extracted by two authors using standardized data extraction format that developed according to  2014 Joanna Briggs Institute Reviewers’ Manual</w:t>
            </w:r>
            <w:r>
              <w:rPr>
                <w:rFonts w:eastAsia="Calibri"/>
              </w:rPr>
              <w:fldChar w:fldCharType="begin"/>
            </w:r>
            <w:r>
              <w:rPr>
                <w:rFonts w:eastAsia="Calibri"/>
              </w:rPr>
              <w:instrText xml:space="preserve"> ADDIN EN.CITE &lt;EndNote&gt;&lt;Cite&gt;&lt;Author&gt;Munn&lt;/Author&gt;&lt;Year&gt;2014&lt;/Year&gt;&lt;RecNum&gt;282&lt;/RecNum&gt;&lt;DisplayText&gt;[21]&lt;/DisplayText&gt;&lt;record&gt;&lt;rec-number&gt;282&lt;/rec-number&gt;&lt;foreign-keys&gt;&lt;key app="EN" db-id="zaew0vvez9tvdiedtfkpzzeqs22pp5aaxtxw" timestamp="1577434992"&gt;282&lt;/key&gt;&lt;/foreign-keys&gt;&lt;ref-type name="Journal Article"&gt;17&lt;/ref-type&gt;&lt;contributors&gt;&lt;authors&gt;&lt;author&gt;Munn, Zachary&lt;/author&gt;&lt;author&gt;Moola, Sandeep&lt;/author&gt;&lt;author&gt;Riitano, Dagmara&lt;/author&gt;&lt;author&gt;Lisy, Karolina&lt;/author&gt;&lt;/authors&gt;&lt;/contributors&gt;&lt;titles&gt;&lt;title&gt;The development of a critical appraisal tool for use in systematic reviews addressing questions of prevalence&lt;/title&gt;&lt;secondary-title&gt;International journal of health policy and management&lt;/secondary-title&gt;&lt;/titles&gt;&lt;periodical&gt;&lt;full-title&gt;International journal of health policy and management&lt;/full-title&gt;&lt;/periodical&gt;&lt;pages&gt;123&lt;/pages&gt;&lt;volume&gt;3&lt;/volume&gt;&lt;number&gt;3&lt;/number&gt;&lt;dates&gt;&lt;year&gt;2014&lt;/year&gt;&lt;/dates&gt;&lt;urls&gt;&lt;/urls&gt;&lt;/record&gt;&lt;/Cite&gt;&lt;/EndNote&gt;</w:instrText>
            </w:r>
            <w:r>
              <w:rPr>
                <w:rFonts w:eastAsia="Calibri"/>
              </w:rPr>
              <w:fldChar w:fldCharType="separate"/>
            </w:r>
            <w:r>
              <w:rPr>
                <w:rFonts w:eastAsia="Calibri"/>
                <w:noProof/>
              </w:rPr>
              <w:t>[</w:t>
            </w:r>
            <w:hyperlink r:id="rId5" w:anchor="_ENREF_21" w:tooltip="Munn, 2014 #282" w:history="1">
              <w:r>
                <w:rPr>
                  <w:rStyle w:val="Hyperlink"/>
                  <w:rFonts w:eastAsia="Calibri"/>
                  <w:noProof/>
                  <w:color w:val="auto"/>
                </w:rPr>
                <w:t>21</w:t>
              </w:r>
            </w:hyperlink>
            <w:r>
              <w:rPr>
                <w:rFonts w:eastAsia="Calibri"/>
                <w:noProof/>
              </w:rPr>
              <w:t>]</w:t>
            </w:r>
            <w:r>
              <w:rPr>
                <w:rFonts w:eastAsia="Calibri"/>
              </w:rPr>
              <w:fldChar w:fldCharType="end"/>
            </w:r>
            <w:r>
              <w:rPr>
                <w:rFonts w:eastAsia="Calibri"/>
              </w:rPr>
              <w:t>. The tool includes Authors, Region, country, and study year, study design, sample size and proportion of Male involvement in birth preparedness and complication readiness in Ethiopia as well as associated factors. Articles that fulfilled the predefined criteria were used as a source of data for the final analysis. The three independent reviewers (CKM, HKA and NGD) extracted the data by using Excel spread sheet and cross checked to insure consistency. Any discrepancy was solved through discussion and repeating the procedure to overcome the difference occurred during extracting each single study. The information regarding author, year of publication, study design, sample size, proportion/prevalence of male involvement in birth preparedness and complication readiness, and odds ratio (OR) for associated factors were extracted.</w:t>
            </w:r>
          </w:p>
          <w:p w:rsidR="0084422E" w:rsidRDefault="0084422E">
            <w:pPr>
              <w:pStyle w:val="Default"/>
              <w:spacing w:before="40" w:after="40" w:line="360" w:lineRule="auto"/>
              <w:jc w:val="both"/>
              <w:rPr>
                <w:rFonts w:ascii="Times New Roman" w:hAnsi="Times New Roman" w:cs="Times New Roman"/>
                <w:sz w:val="20"/>
                <w:szCs w:val="20"/>
              </w:rPr>
            </w:pPr>
          </w:p>
        </w:tc>
        <w:tc>
          <w:tcPr>
            <w:tcW w:w="1204"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7</w:t>
            </w:r>
          </w:p>
        </w:tc>
      </w:tr>
      <w:tr w:rsidR="0084422E" w:rsidTr="0084422E">
        <w:trPr>
          <w:trHeight w:val="537"/>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Data items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11</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both"/>
              <w:rPr>
                <w:rFonts w:ascii="Times New Roman" w:hAnsi="Times New Roman" w:cs="Times New Roman"/>
              </w:rPr>
            </w:pPr>
            <w:r>
              <w:rPr>
                <w:rFonts w:ascii="Times New Roman" w:hAnsi="Times New Roman" w:cs="Times New Roman"/>
              </w:rPr>
              <w:t>Overall male involvement, Antenatal, delivery, and post-partum involvement, associated factors.</w:t>
            </w: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hRule="exact" w:val="2064"/>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Risk of bias in individual studies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12</w:t>
            </w:r>
          </w:p>
        </w:tc>
        <w:tc>
          <w:tcPr>
            <w:tcW w:w="0" w:type="auto"/>
            <w:tcBorders>
              <w:top w:val="single" w:sz="6" w:space="0" w:color="000000"/>
              <w:left w:val="single" w:sz="6" w:space="0" w:color="000000"/>
              <w:bottom w:val="single" w:sz="6" w:space="0" w:color="000000"/>
              <w:right w:val="single" w:sz="6" w:space="0" w:color="000000"/>
            </w:tcBorders>
          </w:tcPr>
          <w:p w:rsidR="0084422E" w:rsidRDefault="0084422E">
            <w:pPr>
              <w:spacing w:line="360" w:lineRule="auto"/>
              <w:jc w:val="both"/>
              <w:rPr>
                <w:rFonts w:eastAsia="Calibri"/>
              </w:rPr>
            </w:pPr>
            <w:r>
              <w:rPr>
                <w:rFonts w:eastAsia="Calibri"/>
              </w:rPr>
              <w:t>The percentage of total variation across studies due to heterogeneity was assessed by using I</w:t>
            </w:r>
            <w:r>
              <w:rPr>
                <w:rFonts w:eastAsia="Calibri"/>
                <w:vertAlign w:val="superscript"/>
              </w:rPr>
              <w:t>2</w:t>
            </w:r>
            <w:r>
              <w:rPr>
                <w:rFonts w:eastAsia="Calibri"/>
              </w:rPr>
              <w:t xml:space="preserve"> statistics</w:t>
            </w:r>
            <w:r>
              <w:rPr>
                <w:rFonts w:eastAsia="Calibri"/>
              </w:rPr>
              <w:fldChar w:fldCharType="begin"/>
            </w:r>
            <w:r>
              <w:rPr>
                <w:rFonts w:eastAsia="Calibri"/>
              </w:rPr>
              <w:instrText xml:space="preserve"> ADDIN EN.CITE &lt;EndNote&gt;&lt;Cite&gt;&lt;Author&gt;Huedo-Medina&lt;/Author&gt;&lt;Year&gt;2006&lt;/Year&gt;&lt;RecNum&gt;245&lt;/RecNum&gt;&lt;DisplayText&gt;[22]&lt;/DisplayText&gt;&lt;record&gt;&lt;rec-number&gt;245&lt;/rec-number&gt;&lt;foreign-keys&gt;&lt;key app="EN" db-id="zaew0vvez9tvdiedtfkpzzeqs22pp5aaxtxw" timestamp="1577173682"&gt;245&lt;/key&gt;&lt;/foreign-keys&gt;&lt;ref-type name="Journal Article"&gt;17&lt;/ref-type&gt;&lt;contributors&gt;&lt;authors&gt;&lt;author&gt;Huedo-Medina, Tania B&lt;/author&gt;&lt;author&gt;Sánchez-Meca, Julio&lt;/author&gt;&lt;author&gt;Marín-Martínez, Fulgencio&lt;/author&gt;&lt;author&gt;Botella, Juan&lt;/author&gt;&lt;/authors&gt;&lt;/contributors&gt;&lt;titles&gt;&lt;title&gt;Assessing heterogeneity in meta-analysis: Q statistic or I² index?&lt;/title&gt;&lt;secondary-title&gt;Psychological methods&lt;/secondary-title&gt;&lt;/titles&gt;&lt;periodical&gt;&lt;full-title&gt;Psychological methods&lt;/full-title&gt;&lt;/periodical&gt;&lt;pages&gt;193&lt;/pages&gt;&lt;volume&gt;11&lt;/volume&gt;&lt;number&gt;2&lt;/number&gt;&lt;dates&gt;&lt;year&gt;2006&lt;/year&gt;&lt;/dates&gt;&lt;isbn&gt;1939-1463&lt;/isbn&gt;&lt;urls&gt;&lt;/urls&gt;&lt;/record&gt;&lt;/Cite&gt;&lt;/EndNote&gt;</w:instrText>
            </w:r>
            <w:r>
              <w:rPr>
                <w:rFonts w:eastAsia="Calibri"/>
              </w:rPr>
              <w:fldChar w:fldCharType="separate"/>
            </w:r>
            <w:r>
              <w:rPr>
                <w:rFonts w:eastAsia="Calibri"/>
                <w:noProof/>
              </w:rPr>
              <w:t>[</w:t>
            </w:r>
            <w:hyperlink r:id="rId6" w:anchor="_ENREF_22" w:tooltip="Huedo-Medina, 2006 #245" w:history="1">
              <w:r>
                <w:rPr>
                  <w:rStyle w:val="Hyperlink"/>
                  <w:rFonts w:eastAsia="Calibri"/>
                  <w:noProof/>
                  <w:color w:val="auto"/>
                </w:rPr>
                <w:t>22</w:t>
              </w:r>
            </w:hyperlink>
            <w:r>
              <w:rPr>
                <w:rFonts w:eastAsia="Calibri"/>
                <w:noProof/>
              </w:rPr>
              <w:t>]</w:t>
            </w:r>
            <w:r>
              <w:rPr>
                <w:rFonts w:eastAsia="Calibri"/>
              </w:rPr>
              <w:fldChar w:fldCharType="end"/>
            </w:r>
            <w:r>
              <w:rPr>
                <w:rFonts w:eastAsia="Calibri"/>
              </w:rPr>
              <w:t>. The value of I</w:t>
            </w:r>
            <w:r>
              <w:rPr>
                <w:rFonts w:eastAsia="Calibri"/>
                <w:vertAlign w:val="superscript"/>
              </w:rPr>
              <w:t>2</w:t>
            </w:r>
            <w:r>
              <w:rPr>
                <w:rFonts w:eastAsia="Calibri"/>
              </w:rPr>
              <w:t xml:space="preserve">, 25, 50, and 75% represented low, moderate, and high heterogeneity respectively.  Funnel plot and Egger’s regression test was done to check whether publication bias exists or not across studies </w:t>
            </w:r>
            <w:r>
              <w:rPr>
                <w:rFonts w:eastAsia="Calibri"/>
              </w:rPr>
              <w:fldChar w:fldCharType="begin"/>
            </w:r>
            <w:r>
              <w:rPr>
                <w:rFonts w:eastAsia="Calibri"/>
              </w:rPr>
              <w:instrText xml:space="preserve"> ADDIN EN.CITE &lt;EndNote&gt;&lt;Cite&gt;&lt;Author&gt;Rücker&lt;/Author&gt;&lt;Year&gt;2008&lt;/Year&gt;&lt;RecNum&gt;244&lt;/RecNum&gt;&lt;DisplayText&gt;[23]&lt;/DisplayText&gt;&lt;record&gt;&lt;rec-number&gt;244&lt;/rec-number&gt;&lt;foreign-keys&gt;&lt;key app="EN" db-id="zaew0vvez9tvdiedtfkpzzeqs22pp5aaxtxw" timestamp="1577173447"&gt;244&lt;/key&gt;&lt;/foreign-keys&gt;&lt;ref-type name="Journal Article"&gt;17&lt;/ref-type&gt;&lt;contributors&gt;&lt;authors&gt;&lt;author&gt;Rücker, Gerta&lt;/author&gt;&lt;author&gt;Schwarzer, Guido&lt;/author&gt;&lt;author&gt;Carpenter, James&lt;/author&gt;&lt;/authors&gt;&lt;/contributors&gt;&lt;titles&gt;&lt;title&gt;Arcsine test for publication bias in meta‐analyses with binary outcomes&lt;/title&gt;&lt;secondary-title&gt;Statistics in medicine&lt;/secondary-title&gt;&lt;/titles&gt;&lt;periodical&gt;&lt;full-title&gt;Statistics in medicine&lt;/full-title&gt;&lt;/periodical&gt;&lt;pages&gt;746-763&lt;/pages&gt;&lt;volume&gt;27&lt;/volume&gt;&lt;number&gt;5&lt;/number&gt;&lt;dates&gt;&lt;year&gt;2008&lt;/year&gt;&lt;/dates&gt;&lt;isbn&gt;0277-6715&lt;/isbn&gt;&lt;urls&gt;&lt;/urls&gt;&lt;/record&gt;&lt;/Cite&gt;&lt;/EndNote&gt;</w:instrText>
            </w:r>
            <w:r>
              <w:rPr>
                <w:rFonts w:eastAsia="Calibri"/>
              </w:rPr>
              <w:fldChar w:fldCharType="separate"/>
            </w:r>
            <w:r>
              <w:rPr>
                <w:rFonts w:eastAsia="Calibri"/>
                <w:noProof/>
              </w:rPr>
              <w:t>[</w:t>
            </w:r>
            <w:hyperlink r:id="rId7" w:anchor="_ENREF_23" w:tooltip="Rücker, 2008 #244" w:history="1">
              <w:r>
                <w:rPr>
                  <w:rStyle w:val="Hyperlink"/>
                  <w:rFonts w:eastAsia="Calibri"/>
                  <w:noProof/>
                  <w:color w:val="auto"/>
                </w:rPr>
                <w:t>23</w:t>
              </w:r>
            </w:hyperlink>
            <w:r>
              <w:rPr>
                <w:rFonts w:eastAsia="Calibri"/>
                <w:noProof/>
              </w:rPr>
              <w:t>]</w:t>
            </w:r>
            <w:r>
              <w:rPr>
                <w:rFonts w:eastAsia="Calibri"/>
              </w:rPr>
              <w:fldChar w:fldCharType="end"/>
            </w:r>
            <w:r>
              <w:rPr>
                <w:rFonts w:eastAsia="Calibri"/>
              </w:rPr>
              <w:t xml:space="preserve">.  </w:t>
            </w:r>
            <w:r>
              <w:t xml:space="preserve">Visual examination of funnel plot asymmetry, </w:t>
            </w:r>
            <w:proofErr w:type="spellStart"/>
            <w:r>
              <w:t>Begg-Mazumdar</w:t>
            </w:r>
            <w:proofErr w:type="spellEnd"/>
            <w:r>
              <w:t xml:space="preserve"> Rank correlation tests and Egger’s regression tests were utilized to check for publication bias </w:t>
            </w:r>
            <w:r>
              <w:fldChar w:fldCharType="begin"/>
            </w:r>
            <w:r>
              <w:instrText xml:space="preserve"> ADDIN EN.CITE &lt;EndNote&gt;&lt;Cite&gt;&lt;Author&gt;Rücker&lt;/Author&gt;&lt;Year&gt;2008&lt;/Year&gt;&lt;RecNum&gt;244&lt;/RecNum&gt;&lt;DisplayText&gt;[23]&lt;/DisplayText&gt;&lt;record&gt;&lt;rec-number&gt;244&lt;/rec-number&gt;&lt;foreign-keys&gt;&lt;key app="EN" db-id="zaew0vvez9tvdiedtfkpzzeqs22pp5aaxtxw" timestamp="1577173447"&gt;244&lt;/key&gt;&lt;/foreign-keys&gt;&lt;ref-type name="Journal Article"&gt;17&lt;/ref-type&gt;&lt;contributors&gt;&lt;authors&gt;&lt;author&gt;Rücker, Gerta&lt;/author&gt;&lt;author&gt;Schwarzer, Guido&lt;/author&gt;&lt;author&gt;Carpenter, James&lt;/author&gt;&lt;/authors&gt;&lt;/contributors&gt;&lt;titles&gt;&lt;title&gt;Arcsine test for publication bias in meta‐analyses with binary outcomes&lt;/title&gt;&lt;secondary-title&gt;Statistics in medicine&lt;/secondary-title&gt;&lt;/titles&gt;&lt;periodical&gt;&lt;full-title&gt;Statistics in medicine&lt;/full-title&gt;&lt;/periodical&gt;&lt;pages&gt;746-763&lt;/pages&gt;&lt;volume&gt;27&lt;/volume&gt;&lt;number&gt;5&lt;/number&gt;&lt;dates&gt;&lt;year&gt;2008&lt;/year&gt;&lt;/dates&gt;&lt;isbn&gt;0277-6715&lt;/isbn&gt;&lt;urls&gt;&lt;/urls&gt;&lt;/record&gt;&lt;/Cite&gt;&lt;/EndNote&gt;</w:instrText>
            </w:r>
            <w:r>
              <w:fldChar w:fldCharType="separate"/>
            </w:r>
            <w:r>
              <w:rPr>
                <w:noProof/>
              </w:rPr>
              <w:t>[</w:t>
            </w:r>
            <w:hyperlink r:id="rId8" w:anchor="_ENREF_23" w:tooltip="Rücker, 2008 #244" w:history="1">
              <w:r>
                <w:rPr>
                  <w:rStyle w:val="Hyperlink"/>
                  <w:noProof/>
                  <w:color w:val="auto"/>
                </w:rPr>
                <w:t>23</w:t>
              </w:r>
            </w:hyperlink>
            <w:r>
              <w:rPr>
                <w:noProof/>
              </w:rPr>
              <w:t>]</w:t>
            </w:r>
            <w:r>
              <w:fldChar w:fldCharType="end"/>
            </w:r>
            <w:r>
              <w:t>.</w:t>
            </w:r>
          </w:p>
          <w:p w:rsidR="0084422E" w:rsidRDefault="0084422E">
            <w:pPr>
              <w:pStyle w:val="Default"/>
              <w:spacing w:before="40" w:after="40" w:line="276" w:lineRule="auto"/>
              <w:rPr>
                <w:rFonts w:ascii="Arial" w:hAnsi="Arial" w:cs="Arial"/>
                <w:sz w:val="20"/>
                <w:szCs w:val="20"/>
              </w:rPr>
            </w:pP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333"/>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Summary measures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13</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Odds ratio </w:t>
            </w: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580"/>
          <w:jc w:val="center"/>
        </w:trPr>
        <w:tc>
          <w:tcPr>
            <w:tcW w:w="18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Synthesis of results </w:t>
            </w:r>
          </w:p>
        </w:tc>
        <w:tc>
          <w:tcPr>
            <w:tcW w:w="248"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14</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360" w:lineRule="auto"/>
              <w:jc w:val="both"/>
              <w:rPr>
                <w:rFonts w:ascii="Times New Roman" w:hAnsi="Times New Roman" w:cs="Times New Roman"/>
              </w:rPr>
            </w:pPr>
            <w:r>
              <w:rPr>
                <w:rFonts w:ascii="Times New Roman" w:hAnsi="Times New Roman" w:cs="Times New Roman"/>
              </w:rPr>
              <w:t xml:space="preserve">From a total of </w:t>
            </w:r>
            <w:r>
              <w:rPr>
                <w:rFonts w:ascii="Times New Roman" w:eastAsia="Calibri" w:hAnsi="Times New Roman" w:cs="Times New Roman"/>
              </w:rPr>
              <w:t>614, primary</w:t>
            </w:r>
            <w:r>
              <w:rPr>
                <w:rFonts w:ascii="Times New Roman" w:hAnsi="Times New Roman" w:cs="Times New Roman"/>
              </w:rPr>
              <w:t xml:space="preserve"> studies</w:t>
            </w:r>
            <w:r>
              <w:rPr>
                <w:rFonts w:ascii="Times New Roman" w:eastAsia="Calibri" w:hAnsi="Times New Roman" w:cs="Times New Roman"/>
              </w:rPr>
              <w:t xml:space="preserve"> with (</w:t>
            </w:r>
            <w:r>
              <w:rPr>
                <w:rFonts w:ascii="Times New Roman" w:hAnsi="Times New Roman" w:cs="Times New Roman"/>
              </w:rPr>
              <w:t xml:space="preserve">sample participants </w:t>
            </w:r>
            <w:r>
              <w:rPr>
                <w:rFonts w:ascii="Times New Roman" w:eastAsia="Calibri" w:hAnsi="Times New Roman" w:cs="Times New Roman"/>
              </w:rPr>
              <w:t>3413)</w:t>
            </w:r>
            <w:r>
              <w:rPr>
                <w:rFonts w:ascii="Times New Roman" w:hAnsi="Times New Roman" w:cs="Times New Roman"/>
              </w:rPr>
              <w:t>, 8 were eligible for inclusion in the final systematic Review and meta-analysis. The pooled estimate of male involvement in birth preparedness and complication readiness was found to be 40.17% [95%CI (24.01-56.33).</w:t>
            </w:r>
          </w:p>
        </w:tc>
        <w:tc>
          <w:tcPr>
            <w:tcW w:w="1204"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bl>
    <w:p w:rsidR="0084422E" w:rsidRDefault="0084422E" w:rsidP="0084422E">
      <w:pPr>
        <w:pStyle w:val="CM1"/>
        <w:jc w:val="center"/>
        <w:rPr>
          <w:rFonts w:ascii="Arial" w:hAnsi="Arial" w:cs="Arial"/>
          <w:sz w:val="8"/>
          <w:szCs w:val="8"/>
        </w:rPr>
      </w:pPr>
    </w:p>
    <w:p w:rsidR="0084422E" w:rsidRDefault="0084422E" w:rsidP="0084422E">
      <w:pPr>
        <w:pStyle w:val="CM1"/>
        <w:jc w:val="center"/>
        <w:rPr>
          <w:rFonts w:ascii="Arial" w:hAnsi="Arial" w:cs="Arial"/>
          <w:sz w:val="16"/>
          <w:szCs w:val="16"/>
        </w:rPr>
      </w:pPr>
      <w:r>
        <w:rPr>
          <w:rFonts w:ascii="Arial" w:hAnsi="Arial" w:cs="Arial"/>
          <w:sz w:val="16"/>
          <w:szCs w:val="16"/>
        </w:rPr>
        <w:t xml:space="preserve">Page 1 of 2 </w:t>
      </w:r>
    </w:p>
    <w:tbl>
      <w:tblPr>
        <w:tblW w:w="14400" w:type="dxa"/>
        <w:tblInd w:w="-792" w:type="dxa"/>
        <w:tblLook w:val="04A0" w:firstRow="1" w:lastRow="0" w:firstColumn="1" w:lastColumn="0" w:noHBand="0" w:noVBand="1"/>
      </w:tblPr>
      <w:tblGrid>
        <w:gridCol w:w="2390"/>
        <w:gridCol w:w="439"/>
        <w:gridCol w:w="10265"/>
        <w:gridCol w:w="1182"/>
        <w:gridCol w:w="124"/>
      </w:tblGrid>
      <w:tr w:rsidR="0084422E" w:rsidTr="0084422E">
        <w:trPr>
          <w:trHeight w:val="663"/>
        </w:trPr>
        <w:tc>
          <w:tcPr>
            <w:tcW w:w="2390"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lastRenderedPageBreak/>
              <w:t xml:space="preserve">Section/topic </w:t>
            </w:r>
          </w:p>
        </w:tc>
        <w:tc>
          <w:tcPr>
            <w:tcW w:w="0" w:type="auto"/>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jc w:val="right"/>
              <w:rPr>
                <w:rFonts w:ascii="Arial" w:hAnsi="Arial" w:cs="Arial"/>
                <w:sz w:val="22"/>
                <w:szCs w:val="22"/>
              </w:rPr>
            </w:pPr>
            <w:r>
              <w:rPr>
                <w:rFonts w:ascii="Arial" w:hAnsi="Arial" w:cs="Arial"/>
                <w:b/>
                <w:bCs/>
                <w:color w:val="FFFFFF"/>
                <w:sz w:val="22"/>
                <w:szCs w:val="22"/>
              </w:rPr>
              <w:t>#</w:t>
            </w:r>
          </w:p>
        </w:tc>
        <w:tc>
          <w:tcPr>
            <w:tcW w:w="10265"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t xml:space="preserve">Checklist item </w:t>
            </w:r>
          </w:p>
        </w:tc>
        <w:tc>
          <w:tcPr>
            <w:tcW w:w="1306" w:type="dxa"/>
            <w:gridSpan w:val="2"/>
            <w:tcBorders>
              <w:top w:val="double" w:sz="6" w:space="0" w:color="000000"/>
              <w:left w:val="single" w:sz="6" w:space="0" w:color="000000"/>
              <w:bottom w:val="double" w:sz="6" w:space="0" w:color="000000"/>
              <w:right w:val="single" w:sz="6" w:space="0" w:color="000000"/>
            </w:tcBorders>
            <w:shd w:val="clear" w:color="auto" w:fill="63639A"/>
            <w:vAlign w:val="center"/>
            <w:hideMark/>
          </w:tcPr>
          <w:p w:rsidR="0084422E" w:rsidRDefault="0084422E">
            <w:pPr>
              <w:pStyle w:val="Default"/>
              <w:spacing w:line="276" w:lineRule="auto"/>
              <w:rPr>
                <w:rFonts w:ascii="Arial" w:hAnsi="Arial" w:cs="Arial"/>
                <w:color w:val="FFFFFF"/>
                <w:sz w:val="22"/>
                <w:szCs w:val="22"/>
              </w:rPr>
            </w:pPr>
            <w:r>
              <w:rPr>
                <w:rFonts w:ascii="Arial" w:hAnsi="Arial" w:cs="Arial"/>
                <w:b/>
                <w:bCs/>
                <w:color w:val="FFFFFF"/>
                <w:sz w:val="22"/>
                <w:szCs w:val="22"/>
              </w:rPr>
              <w:t xml:space="preserve">Reported on page # </w:t>
            </w:r>
          </w:p>
        </w:tc>
      </w:tr>
      <w:tr w:rsidR="0084422E" w:rsidTr="0084422E">
        <w:trPr>
          <w:trHeight w:val="575"/>
        </w:trPr>
        <w:tc>
          <w:tcPr>
            <w:tcW w:w="2390" w:type="dxa"/>
            <w:tcBorders>
              <w:top w:val="doub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Risk of bias across studies </w:t>
            </w:r>
          </w:p>
        </w:tc>
        <w:tc>
          <w:tcPr>
            <w:tcW w:w="0" w:type="auto"/>
            <w:tcBorders>
              <w:top w:val="doub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15</w:t>
            </w:r>
          </w:p>
        </w:tc>
        <w:tc>
          <w:tcPr>
            <w:tcW w:w="10265" w:type="dxa"/>
            <w:tcBorders>
              <w:top w:val="doub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There was not risk of bias</w:t>
            </w:r>
          </w:p>
        </w:tc>
        <w:tc>
          <w:tcPr>
            <w:tcW w:w="1306" w:type="dxa"/>
            <w:gridSpan w:val="2"/>
            <w:tcBorders>
              <w:top w:val="doub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402"/>
        </w:trPr>
        <w:tc>
          <w:tcPr>
            <w:tcW w:w="2390"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Additional analyses </w:t>
            </w:r>
          </w:p>
        </w:tc>
        <w:tc>
          <w:tcPr>
            <w:tcW w:w="0" w:type="auto"/>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16</w:t>
            </w:r>
          </w:p>
        </w:tc>
        <w:tc>
          <w:tcPr>
            <w:tcW w:w="10265"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jc w:val="both"/>
              <w:rPr>
                <w:rFonts w:ascii="Times New Roman" w:hAnsi="Times New Roman" w:cs="Times New Roman"/>
              </w:rPr>
            </w:pPr>
            <w:r>
              <w:rPr>
                <w:rFonts w:ascii="Arial" w:hAnsi="Arial" w:cs="Arial"/>
                <w:sz w:val="20"/>
                <w:szCs w:val="20"/>
              </w:rPr>
              <w:t xml:space="preserve"> </w:t>
            </w:r>
            <w:r>
              <w:rPr>
                <w:rFonts w:ascii="Times New Roman" w:hAnsi="Times New Roman" w:cs="Times New Roman"/>
              </w:rPr>
              <w:t xml:space="preserve">Sensitivity ,subgroup analyses, and meta-regression) were done to treat heterogeneity </w:t>
            </w:r>
          </w:p>
        </w:tc>
        <w:tc>
          <w:tcPr>
            <w:tcW w:w="1306" w:type="dxa"/>
            <w:gridSpan w:val="2"/>
            <w:tcBorders>
              <w:top w:val="single" w:sz="6" w:space="0" w:color="000000"/>
              <w:left w:val="single" w:sz="6" w:space="0" w:color="000000"/>
              <w:bottom w:val="doub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335"/>
        </w:trPr>
        <w:tc>
          <w:tcPr>
            <w:tcW w:w="13094"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RESULTS </w:t>
            </w:r>
          </w:p>
        </w:tc>
        <w:tc>
          <w:tcPr>
            <w:tcW w:w="1306" w:type="dxa"/>
            <w:gridSpan w:val="2"/>
            <w:tcBorders>
              <w:top w:val="double" w:sz="6" w:space="0" w:color="000000"/>
              <w:left w:val="single" w:sz="6" w:space="0" w:color="000000"/>
              <w:bottom w:val="single" w:sz="6" w:space="0" w:color="000000"/>
              <w:right w:val="single" w:sz="6" w:space="0" w:color="000000"/>
            </w:tcBorders>
            <w:shd w:val="clear" w:color="auto" w:fill="FFFFCC"/>
            <w:hideMark/>
          </w:tcPr>
          <w:p w:rsidR="0084422E" w:rsidRDefault="0084422E">
            <w:pPr>
              <w:pStyle w:val="Default"/>
              <w:spacing w:line="276" w:lineRule="auto"/>
              <w:rPr>
                <w:rFonts w:ascii="Arial" w:hAnsi="Arial" w:cs="Arial"/>
                <w:color w:val="auto"/>
              </w:rPr>
            </w:pPr>
            <w:r>
              <w:rPr>
                <w:rFonts w:ascii="Arial" w:hAnsi="Arial" w:cs="Arial"/>
                <w:color w:val="auto"/>
              </w:rPr>
              <w:t>9</w:t>
            </w:r>
          </w:p>
        </w:tc>
      </w:tr>
      <w:tr w:rsidR="0084422E" w:rsidTr="0084422E">
        <w:trPr>
          <w:trHeight w:hRule="exact" w:val="777"/>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Study selection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17</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360" w:lineRule="auto"/>
              <w:jc w:val="both"/>
              <w:rPr>
                <w:rFonts w:ascii="Times New Roman" w:hAnsi="Times New Roman" w:cs="Times New Roman"/>
              </w:rPr>
            </w:pPr>
            <w:r>
              <w:rPr>
                <w:rFonts w:ascii="Times New Roman" w:hAnsi="Times New Roman" w:cs="Times New Roman"/>
              </w:rPr>
              <w:t xml:space="preserve">The numbers of studies screened, assessed for eligibility, and included in the review, with reasons for exclusions at each stage, are listed with a flow diagram.(Figure1) </w:t>
            </w:r>
          </w:p>
        </w:tc>
        <w:tc>
          <w:tcPr>
            <w:tcW w:w="1306" w:type="dxa"/>
            <w:gridSpan w:val="2"/>
            <w:tcBorders>
              <w:top w:val="single" w:sz="6" w:space="0" w:color="000000"/>
              <w:left w:val="single" w:sz="6" w:space="0" w:color="000000"/>
              <w:bottom w:val="single" w:sz="6" w:space="0" w:color="000000"/>
              <w:right w:val="single" w:sz="6" w:space="0" w:color="000000"/>
            </w:tcBorders>
          </w:tcPr>
          <w:p w:rsidR="0084422E" w:rsidRDefault="0084422E">
            <w:pPr>
              <w:pStyle w:val="Default"/>
              <w:spacing w:before="40" w:after="40" w:line="276" w:lineRule="auto"/>
              <w:rPr>
                <w:rFonts w:ascii="Arial" w:hAnsi="Arial" w:cs="Arial"/>
                <w:color w:val="auto"/>
              </w:rPr>
            </w:pPr>
          </w:p>
        </w:tc>
      </w:tr>
      <w:tr w:rsidR="0084422E" w:rsidTr="0084422E">
        <w:trPr>
          <w:trHeight w:val="578"/>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Study characteristics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18</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spacing w:line="360" w:lineRule="auto"/>
              <w:jc w:val="both"/>
              <w:rPr>
                <w:rFonts w:eastAsia="Calibri"/>
              </w:rPr>
            </w:pPr>
            <w:r>
              <w:rPr>
                <w:rFonts w:eastAsia="Calibri"/>
              </w:rPr>
              <w:t xml:space="preserve">We included a total of 8 </w:t>
            </w:r>
            <w:proofErr w:type="spellStart"/>
            <w:r>
              <w:rPr>
                <w:rFonts w:eastAsia="Calibri"/>
              </w:rPr>
              <w:t>crossectional</w:t>
            </w:r>
            <w:proofErr w:type="spellEnd"/>
            <w:r>
              <w:rPr>
                <w:rFonts w:eastAsia="Calibri"/>
              </w:rPr>
              <w:t xml:space="preserve"> observational studies with 3413 participants in the final systematic review and meta-analysis. The smallest sample size was 233 in the study conducted from Southern Nations and nationalities region of Ethiopia</w:t>
            </w:r>
            <w:r>
              <w:rPr>
                <w:rFonts w:eastAsia="Calibri"/>
              </w:rPr>
              <w:fldChar w:fldCharType="begin"/>
            </w:r>
            <w:r>
              <w:rPr>
                <w:rFonts w:eastAsia="Calibri"/>
              </w:rPr>
              <w:instrText xml:space="preserve"> ADDIN EN.CITE &lt;EndNote&gt;&lt;Cite&gt;&lt;Author&gt;Paulos&lt;/Author&gt;&lt;Year&gt;2020&lt;/Year&gt;&lt;RecNum&gt;461&lt;/RecNum&gt;&lt;DisplayText&gt;[24]&lt;/DisplayText&gt;&lt;record&gt;&lt;rec-number&gt;461&lt;/rec-number&gt;&lt;foreign-keys&gt;&lt;key app="EN" db-id="zaew0vvez9tvdiedtfkpzzeqs22pp5aaxtxw" timestamp="1589466846"&gt;461&lt;/key&gt;&lt;/foreign-keys&gt;&lt;ref-type name="Journal Article"&gt;17&lt;/ref-type&gt;&lt;contributors&gt;&lt;authors&gt;&lt;author&gt;Paulos, Kebreab&lt;/author&gt;&lt;author&gt;Awoke, Nefsu&lt;/author&gt;&lt;author&gt;Mekonnen, Bazie&lt;/author&gt;&lt;author&gt;Arba, Aseb&lt;/author&gt;&lt;/authors&gt;&lt;/contributors&gt;&lt;titles&gt;&lt;title&gt;Male involvement in birth preparedness and complication readiness for emergency referral at Sodo town of Wolaita zone, South Ethiopia: a cross sectional study&lt;/title&gt;&lt;secondary-title&gt;BMC Pregnancy and Childbirth&lt;/secondary-title&gt;&lt;/titles&gt;&lt;periodical&gt;&lt;full-title&gt;BMC pregnancy and childbirth&lt;/full-title&gt;&lt;/periodical&gt;&lt;pages&gt;62&lt;/pages&gt;&lt;volume&gt;20&lt;/volume&gt;&lt;number&gt;1&lt;/number&gt;&lt;dates&gt;&lt;year&gt;2020&lt;/year&gt;&lt;/dates&gt;&lt;isbn&gt;1471-2393&lt;/isbn&gt;&lt;urls&gt;&lt;/urls&gt;&lt;/record&gt;&lt;/Cite&gt;&lt;/EndNote&gt;</w:instrText>
            </w:r>
            <w:r>
              <w:rPr>
                <w:rFonts w:eastAsia="Calibri"/>
              </w:rPr>
              <w:fldChar w:fldCharType="separate"/>
            </w:r>
            <w:r>
              <w:rPr>
                <w:rFonts w:eastAsia="Calibri"/>
                <w:noProof/>
              </w:rPr>
              <w:t>[</w:t>
            </w:r>
            <w:hyperlink r:id="rId9" w:anchor="_ENREF_24" w:tooltip="Paulos, 2020 #461" w:history="1">
              <w:r>
                <w:rPr>
                  <w:rStyle w:val="Hyperlink"/>
                  <w:rFonts w:eastAsia="Calibri"/>
                  <w:noProof/>
                  <w:color w:val="auto"/>
                </w:rPr>
                <w:t>24</w:t>
              </w:r>
            </w:hyperlink>
            <w:r>
              <w:rPr>
                <w:rFonts w:eastAsia="Calibri"/>
                <w:noProof/>
              </w:rPr>
              <w:t>]</w:t>
            </w:r>
            <w:r>
              <w:rPr>
                <w:rFonts w:eastAsia="Calibri"/>
              </w:rPr>
              <w:fldChar w:fldCharType="end"/>
            </w:r>
            <w:r>
              <w:rPr>
                <w:rFonts w:eastAsia="Calibri"/>
              </w:rPr>
              <w:t>. Whereas, the largest sample size, was 824 from the study conducted in the Amhara region, Ethiopia. The detailed characteristics of the included studies were presented (</w:t>
            </w:r>
            <w:r>
              <w:rPr>
                <w:rFonts w:eastAsia="Calibri"/>
                <w:color w:val="4F81BD"/>
              </w:rPr>
              <w:t>Table1</w:t>
            </w:r>
            <w:r>
              <w:rPr>
                <w:rFonts w:eastAsia="Calibri"/>
              </w:rPr>
              <w:t xml:space="preserve">). In the current systematic review and meta-analysis, four regions and one administrative town in the country were included. Three studies were from Tigray </w:t>
            </w:r>
            <w:r>
              <w:rPr>
                <w:rFonts w:eastAsia="Calibri"/>
              </w:rPr>
              <w:fldChar w:fldCharType="begin">
                <w:fldData xml:space="preserve">PEVuZE5vdGU+PENpdGU+PEF1dGhvcj5XZWxkZWFyZWdheTwvQXV0aG9yPjxZZWFyPjIwMTU8L1ll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</w:fldData>
              </w:fldChar>
            </w:r>
            <w:r>
              <w:rPr>
                <w:rFonts w:eastAsia="Calibri"/>
              </w:rPr>
              <w:instrText xml:space="preserve"> ADDIN EN.CITE </w:instrText>
            </w:r>
            <w:r>
              <w:rPr>
                <w:rFonts w:eastAsia="Calibri"/>
              </w:rPr>
              <w:fldChar w:fldCharType="begin">
                <w:fldData xml:space="preserve">PEVuZE5vdGU+PENpdGU+PEF1dGhvcj5XZWxkZWFyZWdheTwvQXV0aG9yPjxZZWFyPjIwMTU8L1ll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</w:fldData>
              </w:fldChar>
            </w:r>
            <w:r>
              <w:rPr>
                <w:rFonts w:eastAsia="Calibri"/>
              </w:rPr>
              <w:instrText xml:space="preserve"> ADDIN EN.CITE.DATA </w:instrText>
            </w:r>
            <w:r>
              <w:rPr>
                <w:rFonts w:eastAsia="Calibri"/>
              </w:rPr>
            </w:r>
            <w:r>
              <w:rPr>
                <w:rFonts w:eastAsia="Calibri"/>
              </w:rPr>
              <w:fldChar w:fldCharType="end"/>
            </w:r>
            <w:r>
              <w:rPr>
                <w:rFonts w:eastAsia="Calibri"/>
              </w:rPr>
            </w:r>
            <w:r>
              <w:rPr>
                <w:rFonts w:eastAsia="Calibri"/>
              </w:rPr>
              <w:fldChar w:fldCharType="separate"/>
            </w:r>
            <w:r>
              <w:rPr>
                <w:rFonts w:eastAsia="Calibri"/>
                <w:noProof/>
              </w:rPr>
              <w:t>[</w:t>
            </w:r>
            <w:hyperlink r:id="rId10" w:anchor="_ENREF_25" w:tooltip="Weldearegay, 2015 #463" w:history="1">
              <w:r>
                <w:rPr>
                  <w:rStyle w:val="Hyperlink"/>
                  <w:rFonts w:eastAsia="Calibri"/>
                  <w:noProof/>
                  <w:color w:val="auto"/>
                </w:rPr>
                <w:t>25-27</w:t>
              </w:r>
            </w:hyperlink>
            <w:r>
              <w:rPr>
                <w:rFonts w:eastAsia="Calibri"/>
                <w:noProof/>
              </w:rPr>
              <w:t>]</w:t>
            </w:r>
            <w:r>
              <w:rPr>
                <w:rFonts w:eastAsia="Calibri"/>
              </w:rPr>
              <w:fldChar w:fldCharType="end"/>
            </w:r>
            <w:r>
              <w:rPr>
                <w:rFonts w:eastAsia="Calibri"/>
              </w:rPr>
              <w:t xml:space="preserve">, two were from Oromia region </w:t>
            </w:r>
            <w:r>
              <w:rPr>
                <w:rFonts w:eastAsia="Calibri"/>
              </w:rPr>
              <w:fldChar w:fldCharType="begin"/>
            </w:r>
            <w:r>
              <w:rPr>
                <w:rFonts w:eastAsia="Calibri"/>
              </w:rPr>
              <w:instrText xml:space="preserve"> ADDIN EN.CITE &lt;EndNote&gt;&lt;Cite&gt;&lt;Author&gt;Demissie&lt;/Author&gt;&lt;Year&gt;2016&lt;/Year&gt;&lt;RecNum&gt;345&lt;/RecNum&gt;&lt;DisplayText&gt;[28, 29]&lt;/DisplayText&gt;&lt;record&gt;&lt;rec-number&gt;345&lt;/rec-number&gt;&lt;foreign-keys&gt;&lt;key app="EN" db-id="zaew0vvez9tvdiedtfkpzzeqs22pp5aaxtxw" timestamp="1579431925"&gt;345&lt;/key&gt;&lt;/foreign-keys&gt;&lt;ref-type name="Journal Article"&gt;17&lt;/ref-type&gt;&lt;contributors&gt;&lt;authors&gt;&lt;author&gt;Demissie, Dereje Bayissa&lt;/author&gt;&lt;author&gt;Bulto, Gizachew Abdissa&lt;/author&gt;&lt;author&gt;Terfassa, Teka Girma&lt;/author&gt;&lt;/authors&gt;&lt;/contributors&gt;&lt;titles&gt;&lt;title&gt;Involvement of male in antenatal care, birth preparedness and complication readinessand associated factors in Ambo town, Ethiopia&lt;/title&gt;&lt;secondary-title&gt;Journal of Health, Medicine and Nursing&lt;/secondary-title&gt;&lt;/titles&gt;&lt;periodical&gt;&lt;full-title&gt;Journal of Health, Medicine and Nursing&lt;/full-title&gt;&lt;/periodical&gt;&lt;pages&gt;14-23&lt;/pages&gt;&lt;volume&gt;27&lt;/volume&gt;&lt;number&gt;5&lt;/number&gt;&lt;dates&gt;&lt;year&gt;2016&lt;/year&gt;&lt;/dates&gt;&lt;urls&gt;&lt;/urls&gt;&lt;/record&gt;&lt;/Cite&gt;&lt;Cite&gt;&lt;Author&gt;Tantu&lt;/Author&gt;&lt;RecNum&gt;344&lt;/RecNum&gt;&lt;record&gt;&lt;rec-number&gt;344&lt;/rec-number&gt;&lt;foreign-keys&gt;&lt;key app="EN" db-id="zaew0vvez9tvdiedtfkpzzeqs22pp5aaxtxw" timestamp="1579430525"&gt;344&lt;/key&gt;&lt;/foreign-keys&gt;&lt;ref-type name="Journal Article"&gt;17&lt;/ref-type&gt;&lt;contributors&gt;&lt;authors&gt;&lt;author&gt;Tantu, Zinash&lt;/author&gt;&lt;author&gt;Teklemariam Gultie, Wubshet Estifanos&lt;/author&gt;&lt;author&gt;Boti, Negussie&lt;/author&gt;&lt;/authors&gt;&lt;/contributors&gt;&lt;titles&gt;&lt;title&gt;Husbands’ participation in birth preparedness and complication readiness and associated factors in Kucha district, GamoGofa Zone, Southern Ethiopia&lt;/title&gt;&lt;/titles&gt;&lt;dates&gt;&lt;/dates&gt;&lt;urls&gt;&lt;/urls&gt;&lt;/record&gt;&lt;/Cite&gt;&lt;/EndNote&gt;</w:instrText>
            </w:r>
            <w:r>
              <w:rPr>
                <w:rFonts w:eastAsia="Calibri"/>
              </w:rPr>
              <w:fldChar w:fldCharType="separate"/>
            </w:r>
            <w:r>
              <w:rPr>
                <w:rFonts w:eastAsia="Calibri"/>
                <w:noProof/>
              </w:rPr>
              <w:t>[</w:t>
            </w:r>
            <w:hyperlink r:id="rId11" w:anchor="_ENREF_28" w:tooltip="Demissie, 2016 #345" w:history="1">
              <w:r>
                <w:rPr>
                  <w:rStyle w:val="Hyperlink"/>
                  <w:rFonts w:eastAsia="Calibri"/>
                  <w:noProof/>
                  <w:color w:val="auto"/>
                </w:rPr>
                <w:t>28</w:t>
              </w:r>
            </w:hyperlink>
            <w:r>
              <w:rPr>
                <w:rFonts w:eastAsia="Calibri"/>
                <w:noProof/>
              </w:rPr>
              <w:t xml:space="preserve">, </w:t>
            </w:r>
            <w:hyperlink r:id="rId12" w:anchor="_ENREF_29" w:tooltip="Tantu,  #344" w:history="1">
              <w:r>
                <w:rPr>
                  <w:rStyle w:val="Hyperlink"/>
                  <w:rFonts w:eastAsia="Calibri"/>
                  <w:noProof/>
                  <w:color w:val="auto"/>
                </w:rPr>
                <w:t>29</w:t>
              </w:r>
            </w:hyperlink>
            <w:r>
              <w:rPr>
                <w:rFonts w:eastAsia="Calibri"/>
                <w:noProof/>
              </w:rPr>
              <w:t>]</w:t>
            </w:r>
            <w:r>
              <w:rPr>
                <w:rFonts w:eastAsia="Calibri"/>
              </w:rPr>
              <w:fldChar w:fldCharType="end"/>
            </w:r>
            <w:r>
              <w:rPr>
                <w:rFonts w:eastAsia="Calibri"/>
              </w:rPr>
              <w:t>.</w:t>
            </w:r>
          </w:p>
        </w:tc>
        <w:tc>
          <w:tcPr>
            <w:tcW w:w="13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10</w:t>
            </w:r>
          </w:p>
        </w:tc>
      </w:tr>
      <w:tr w:rsidR="0084422E" w:rsidTr="0084422E">
        <w:trPr>
          <w:trHeight w:val="333"/>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Risk of bias within studies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19</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Times New Roman" w:hAnsi="Times New Roman" w:cs="Times New Roman"/>
              </w:rPr>
            </w:pPr>
            <w:r>
              <w:rPr>
                <w:rFonts w:ascii="Times New Roman" w:hAnsi="Times New Roman" w:cs="Times New Roman"/>
              </w:rPr>
              <w:t xml:space="preserve">Assessed using Visual examination of funnel plot asymmetry, </w:t>
            </w:r>
            <w:proofErr w:type="spellStart"/>
            <w:r>
              <w:rPr>
                <w:rFonts w:ascii="Times New Roman" w:hAnsi="Times New Roman" w:cs="Times New Roman"/>
              </w:rPr>
              <w:t>Begg-Mazumdar</w:t>
            </w:r>
            <w:proofErr w:type="spellEnd"/>
            <w:r>
              <w:rPr>
                <w:rFonts w:ascii="Times New Roman" w:hAnsi="Times New Roman" w:cs="Times New Roman"/>
              </w:rPr>
              <w:t xml:space="preserve"> Rank correlation tests and Egger’s regression tests were utilized to check for publication bias</w:t>
            </w:r>
          </w:p>
        </w:tc>
        <w:tc>
          <w:tcPr>
            <w:tcW w:w="13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15</w:t>
            </w:r>
          </w:p>
        </w:tc>
      </w:tr>
      <w:tr w:rsidR="0084422E" w:rsidTr="0084422E">
        <w:trPr>
          <w:trHeight w:val="578"/>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Results of individual studies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20</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Seen at  (table1)</w:t>
            </w:r>
          </w:p>
        </w:tc>
        <w:tc>
          <w:tcPr>
            <w:tcW w:w="1306" w:type="dxa"/>
            <w:gridSpan w:val="2"/>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11</w:t>
            </w:r>
          </w:p>
        </w:tc>
      </w:tr>
      <w:tr w:rsidR="0084422E" w:rsidTr="0084422E">
        <w:trPr>
          <w:gridAfter w:val="2"/>
          <w:wAfter w:w="1306" w:type="dxa"/>
          <w:trHeight w:hRule="exact" w:val="4782"/>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lastRenderedPageBreak/>
              <w:t xml:space="preserve">Synthesis of results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21</w:t>
            </w:r>
          </w:p>
        </w:tc>
        <w:tc>
          <w:tcPr>
            <w:tcW w:w="10265" w:type="dxa"/>
            <w:tcBorders>
              <w:top w:val="single" w:sz="6" w:space="0" w:color="000000"/>
              <w:left w:val="single" w:sz="6" w:space="0" w:color="000000"/>
              <w:bottom w:val="single" w:sz="6" w:space="0" w:color="000000"/>
              <w:right w:val="single" w:sz="6" w:space="0" w:color="000000"/>
            </w:tcBorders>
          </w:tcPr>
          <w:p w:rsidR="0084422E" w:rsidRDefault="0084422E">
            <w:pPr>
              <w:spacing w:line="360" w:lineRule="auto"/>
              <w:jc w:val="both"/>
              <w:rPr>
                <w:rFonts w:eastAsia="Calibri"/>
              </w:rPr>
            </w:pPr>
            <w:r>
              <w:rPr>
                <w:rFonts w:eastAsia="Calibri"/>
              </w:rPr>
              <w:t xml:space="preserve">From a total of 8 studies </w:t>
            </w:r>
            <w:proofErr w:type="spellStart"/>
            <w:r>
              <w:rPr>
                <w:rFonts w:eastAsia="Calibri"/>
              </w:rPr>
              <w:t>crossectional</w:t>
            </w:r>
            <w:proofErr w:type="spellEnd"/>
            <w:r>
              <w:rPr>
                <w:rFonts w:eastAsia="Calibri"/>
              </w:rPr>
              <w:t xml:space="preserve"> observational studies, all studies provided information on overall involvement</w:t>
            </w:r>
            <w:r>
              <w:rPr>
                <w:rFonts w:eastAsia="Calibri"/>
                <w:b/>
                <w:sz w:val="28"/>
                <w:szCs w:val="28"/>
              </w:rPr>
              <w:t xml:space="preserve"> </w:t>
            </w:r>
            <w:r>
              <w:rPr>
                <w:rFonts w:eastAsia="Calibri"/>
              </w:rPr>
              <w:t>of males in birth preparedness and complication readiness. As stated in the forest plot (</w:t>
            </w:r>
            <w:r>
              <w:rPr>
                <w:rFonts w:eastAsia="Calibri"/>
                <w:color w:val="4F81BD"/>
              </w:rPr>
              <w:t>figure2</w:t>
            </w:r>
            <w:r>
              <w:rPr>
                <w:rFonts w:eastAsia="Calibri"/>
              </w:rPr>
              <w:t>), the pooled estimate of overall male involvement was 40.17% [95%CI (24.01-56.33)]. High heterogeneity was observed (I-squared= 99.2%), however there was an evidence to show publication bias using Egger’s statistical test (p-value=0.258). For reducing the potential random variations between the included studies, we conducted a sub-group analysis by region where the primary studies conducted. According to the sub-group analysis the highest proportion of male involvement was observed from Addis Ababa65.5% [95%CI (60.86-70.14)], followed by Tigray 44.71% [95%CI (25.29-64.13)] (</w:t>
            </w:r>
            <w:r>
              <w:rPr>
                <w:rFonts w:eastAsia="Calibri"/>
                <w:color w:val="4F81BD"/>
              </w:rPr>
              <w:t>figure3</w:t>
            </w:r>
            <w:r>
              <w:rPr>
                <w:rFonts w:eastAsia="Calibri"/>
              </w:rPr>
              <w:t xml:space="preserve">). </w:t>
            </w:r>
          </w:p>
          <w:p w:rsidR="0084422E" w:rsidRDefault="0084422E">
            <w:pPr>
              <w:spacing w:line="360" w:lineRule="auto"/>
              <w:jc w:val="both"/>
              <w:rPr>
                <w:rFonts w:eastAsia="Calibri"/>
              </w:rPr>
            </w:pPr>
            <w:r>
              <w:rPr>
                <w:rFonts w:eastAsia="Calibri"/>
              </w:rPr>
              <w:t>A Meta regression analysis was done using year of study and sample size as covariate to explore the possible source of heterogeneity (</w:t>
            </w:r>
            <w:r>
              <w:rPr>
                <w:rFonts w:eastAsia="Calibri"/>
                <w:color w:val="4F81BD"/>
              </w:rPr>
              <w:t>Table3</w:t>
            </w:r>
            <w:r>
              <w:rPr>
                <w:rFonts w:eastAsia="Calibri"/>
              </w:rPr>
              <w:t>). But, there was no significant statistical evidence that show the presence of heterogeneity, which explained by using these two variables</w:t>
            </w:r>
          </w:p>
          <w:p w:rsidR="0084422E" w:rsidRDefault="0084422E">
            <w:pPr>
              <w:spacing w:line="360" w:lineRule="auto"/>
              <w:jc w:val="both"/>
              <w:rPr>
                <w:rFonts w:eastAsia="Calibri"/>
              </w:rPr>
            </w:pPr>
            <w:r>
              <w:rPr>
                <w:rFonts w:eastAsia="Calibri"/>
              </w:rPr>
              <w:t>In addition, sensitivity analysis was conducted by using a random effect model to identify the effect of single study on overall pooled estimate. The analysis showed that there was no evidence of single study influence on overall pooled estimate (</w:t>
            </w:r>
            <w:r>
              <w:rPr>
                <w:rFonts w:eastAsia="Calibri"/>
                <w:color w:val="4F81BD"/>
              </w:rPr>
              <w:t>figure 4</w:t>
            </w:r>
            <w:r>
              <w:rPr>
                <w:rFonts w:eastAsia="Calibri"/>
              </w:rPr>
              <w:t xml:space="preserve">). </w:t>
            </w:r>
          </w:p>
          <w:p w:rsidR="0084422E" w:rsidRDefault="0084422E">
            <w:pPr>
              <w:pStyle w:val="Default"/>
              <w:spacing w:before="40" w:after="40" w:line="276" w:lineRule="auto"/>
              <w:rPr>
                <w:rFonts w:ascii="Arial" w:hAnsi="Arial" w:cs="Arial"/>
                <w:color w:val="auto"/>
              </w:rPr>
            </w:pPr>
          </w:p>
        </w:tc>
      </w:tr>
      <w:tr w:rsidR="0084422E" w:rsidTr="0084422E">
        <w:trPr>
          <w:gridAfter w:val="1"/>
          <w:wAfter w:w="124" w:type="dxa"/>
          <w:trHeight w:val="942"/>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Risk of bias across studies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22</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spacing w:line="480" w:lineRule="auto"/>
              <w:jc w:val="both"/>
              <w:rPr>
                <w:color w:val="000000"/>
              </w:rPr>
            </w:pPr>
            <w:r>
              <w:rPr>
                <w:rFonts w:ascii="Arial" w:hAnsi="Arial" w:cs="Arial"/>
                <w:sz w:val="20"/>
                <w:szCs w:val="20"/>
              </w:rPr>
              <w:t xml:space="preserve">No risk of bias seen through </w:t>
            </w:r>
            <w:proofErr w:type="spellStart"/>
            <w:r>
              <w:rPr>
                <w:color w:val="000000"/>
              </w:rPr>
              <w:t>Begg’s</w:t>
            </w:r>
            <w:proofErr w:type="spellEnd"/>
            <w:r>
              <w:rPr>
                <w:color w:val="000000"/>
              </w:rPr>
              <w:t xml:space="preserve"> and Egger’s test, which showed with p-value of p=0.258 </w:t>
            </w:r>
          </w:p>
        </w:tc>
        <w:tc>
          <w:tcPr>
            <w:tcW w:w="1182"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12</w:t>
            </w:r>
          </w:p>
        </w:tc>
      </w:tr>
      <w:tr w:rsidR="0084422E" w:rsidTr="0084422E">
        <w:trPr>
          <w:gridAfter w:val="1"/>
          <w:wAfter w:w="124" w:type="dxa"/>
          <w:trHeight w:val="393"/>
        </w:trPr>
        <w:tc>
          <w:tcPr>
            <w:tcW w:w="2390"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Additional analysis </w:t>
            </w:r>
          </w:p>
        </w:tc>
        <w:tc>
          <w:tcPr>
            <w:tcW w:w="0" w:type="auto"/>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23</w:t>
            </w:r>
          </w:p>
        </w:tc>
        <w:tc>
          <w:tcPr>
            <w:tcW w:w="10265"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sensitivity , subgroup analyses, and  meta-regression was done</w:t>
            </w:r>
          </w:p>
        </w:tc>
        <w:tc>
          <w:tcPr>
            <w:tcW w:w="1182"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13-14</w:t>
            </w:r>
          </w:p>
        </w:tc>
      </w:tr>
      <w:tr w:rsidR="0084422E" w:rsidTr="0084422E">
        <w:trPr>
          <w:gridAfter w:val="1"/>
          <w:wAfter w:w="124" w:type="dxa"/>
          <w:trHeight w:val="335"/>
        </w:trPr>
        <w:tc>
          <w:tcPr>
            <w:tcW w:w="13094"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DISCUSSION </w:t>
            </w:r>
          </w:p>
        </w:tc>
        <w:tc>
          <w:tcPr>
            <w:tcW w:w="1182" w:type="dxa"/>
            <w:tcBorders>
              <w:top w:val="double" w:sz="6" w:space="0" w:color="000000"/>
              <w:left w:val="single" w:sz="6" w:space="0" w:color="000000"/>
              <w:bottom w:val="single" w:sz="6" w:space="0" w:color="000000"/>
              <w:right w:val="single" w:sz="6" w:space="0" w:color="000000"/>
            </w:tcBorders>
            <w:shd w:val="clear" w:color="auto" w:fill="FFFFCC"/>
          </w:tcPr>
          <w:p w:rsidR="0084422E" w:rsidRDefault="0084422E">
            <w:pPr>
              <w:pStyle w:val="Default"/>
              <w:spacing w:line="276" w:lineRule="auto"/>
              <w:jc w:val="center"/>
              <w:rPr>
                <w:rFonts w:ascii="Arial" w:hAnsi="Arial" w:cs="Arial"/>
                <w:color w:val="auto"/>
              </w:rPr>
            </w:pPr>
          </w:p>
        </w:tc>
      </w:tr>
      <w:tr w:rsidR="0084422E" w:rsidTr="0084422E">
        <w:trPr>
          <w:gridAfter w:val="1"/>
          <w:wAfter w:w="124" w:type="dxa"/>
          <w:trHeight w:hRule="exact" w:val="2082"/>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Summary of evidence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24</w:t>
            </w:r>
          </w:p>
        </w:tc>
        <w:tc>
          <w:tcPr>
            <w:tcW w:w="10265" w:type="dxa"/>
            <w:tcBorders>
              <w:top w:val="single" w:sz="6" w:space="0" w:color="000000"/>
              <w:left w:val="single" w:sz="6" w:space="0" w:color="000000"/>
              <w:bottom w:val="single" w:sz="6" w:space="0" w:color="000000"/>
              <w:right w:val="single" w:sz="6" w:space="0" w:color="000000"/>
            </w:tcBorders>
            <w:hideMark/>
          </w:tcPr>
          <w:p w:rsidR="0084422E" w:rsidRDefault="0084422E">
            <w:pPr>
              <w:spacing w:line="360" w:lineRule="auto"/>
              <w:jc w:val="both"/>
            </w:pPr>
            <w:r>
              <w:t>This systematic review and meta-analysis was conducted to assess male involvement in birth preparedness and complication readiness with its major components. The overall pooled estimate of male involvement in birth preparedness and complication readiness was found to be 40.17</w:t>
            </w:r>
            <w:proofErr w:type="gramStart"/>
            <w:r>
              <w:t>%[</w:t>
            </w:r>
            <w:proofErr w:type="gramEnd"/>
            <w:r>
              <w:t xml:space="preserve">95%CI(24.01-56.33)]. This result was in line with the studies conducted in Uganda (40.82%) and Nepal(50.49%) respectively </w:t>
            </w:r>
            <w:r>
              <w:fldChar w:fldCharType="begin"/>
            </w:r>
            <w:r>
              <w:instrText xml:space="preserve"> ADDIN EN.CITE &lt;EndNote&gt;&lt;Cite&gt;&lt;Author&gt;Kakaire&lt;/Author&gt;&lt;Year&gt;2011&lt;/Year&gt;&lt;RecNum&gt;315&lt;/RecNum&gt;&lt;DisplayText&gt;[33, 34]&lt;/DisplayText&gt;&lt;record&gt;&lt;rec-number&gt;315&lt;/rec-number&gt;&lt;foreign-keys&gt;&lt;key app="EN" db-id="zaew0vvez9tvdiedtfkpzzeqs22pp5aaxtxw" timestamp="1579332905"&gt;315&lt;/key&gt;&lt;/foreign-keys&gt;&lt;ref-type name="Journal Article"&gt;17&lt;/ref-type&gt;&lt;contributors&gt;&lt;authors&gt;&lt;author&gt;Kakaire, Othman&lt;/author&gt;&lt;author&gt;Kaye, Dan K&lt;/author&gt;&lt;author&gt;Osinde, Michael O&lt;/author&gt;&lt;/authors&gt;&lt;/contributors&gt;&lt;titles&gt;&lt;title&gt;Male involvement in birth preparedness and complication readiness for emergency obstetric referrals in rural Uganda&lt;/title&gt;&lt;secondary-title&gt;Reproductive health&lt;/secondary-title&gt;&lt;/titles&gt;&lt;periodical&gt;&lt;full-title&gt;Reproductive health&lt;/full-title&gt;&lt;/periodical&gt;&lt;pages&gt;12&lt;/pages&gt;&lt;volume&gt;8&lt;/volume&gt;&lt;number&gt;1&lt;/number&gt;&lt;dates&gt;&lt;year&gt;2011&lt;/year&gt;&lt;/dates&gt;&lt;isbn&gt;1742-4755&lt;/isbn&gt;&lt;urls&gt;&lt;/urls&gt;&lt;/record&gt;&lt;/Cite&gt;&lt;Cite&gt;&lt;Author&gt;Bhusal&lt;/Author&gt;&lt;Year&gt;2015&lt;/Year&gt;&lt;RecNum&gt;337&lt;/RecNum&gt;&lt;record&gt;&lt;rec-number&gt;337&lt;/rec-number&gt;&lt;foreign-keys&gt;&lt;key app="EN" db-id="zaew0vvez9tvdiedtfkpzzeqs22pp5aaxtxw" timestamp="1579415086"&gt;337&lt;/key&gt;&lt;/foreign-keys&gt;&lt;ref-type name="Journal Article"&gt;17&lt;/ref-type&gt;&lt;contributors&gt;&lt;authors&gt;&lt;author&gt;Bhusal, Chet Kant&lt;/author&gt;&lt;author&gt;Bhattarai, Sigma&lt;/author&gt;&lt;/authors&gt;&lt;/contributors&gt;&lt;titles&gt;&lt;title&gt;Involvement of male in birth preparedness in Tulsipur municipality of dang district, Nepal&lt;/title&gt;&lt;secondary-title&gt;Journal of Chitwan Medical College&lt;/secondary-title&gt;&lt;/titles&gt;&lt;periodical&gt;&lt;full-title&gt;Journal of Chitwan Medical College&lt;/full-title&gt;&lt;/periodical&gt;&lt;pages&gt;33-38&lt;/pages&gt;&lt;volume&gt;5&lt;/volume&gt;&lt;number&gt;4&lt;/number&gt;&lt;dates&gt;&lt;year&gt;2015&lt;/year&gt;&lt;/dates&gt;&lt;isbn&gt;2091-2889&lt;/isbn&gt;&lt;urls&gt;&lt;/urls&gt;&lt;/record&gt;&lt;/Cite&gt;&lt;/EndNote&gt;</w:instrText>
            </w:r>
            <w:r>
              <w:fldChar w:fldCharType="separate"/>
            </w:r>
            <w:r>
              <w:rPr>
                <w:noProof/>
              </w:rPr>
              <w:t>[</w:t>
            </w:r>
            <w:hyperlink r:id="rId13" w:anchor="_ENREF_33" w:tooltip="Kakaire, 2011 #315" w:history="1">
              <w:r>
                <w:rPr>
                  <w:rStyle w:val="Hyperlink"/>
                  <w:noProof/>
                  <w:color w:val="auto"/>
                </w:rPr>
                <w:t>33</w:t>
              </w:r>
            </w:hyperlink>
            <w:r>
              <w:rPr>
                <w:noProof/>
              </w:rPr>
              <w:t xml:space="preserve">, </w:t>
            </w:r>
            <w:hyperlink r:id="rId14" w:anchor="_ENREF_34" w:tooltip="Bhusal, 2015 #337" w:history="1">
              <w:r>
                <w:rPr>
                  <w:rStyle w:val="Hyperlink"/>
                  <w:noProof/>
                  <w:color w:val="auto"/>
                </w:rPr>
                <w:t>34</w:t>
              </w:r>
            </w:hyperlink>
            <w:r>
              <w:rPr>
                <w:noProof/>
              </w:rPr>
              <w:t>]</w:t>
            </w:r>
            <w:r>
              <w:fldChar w:fldCharType="end"/>
            </w:r>
            <w:r>
              <w:t xml:space="preserve">. It was also consistent with another study conducted in Nepal in which (50.07%) of males were involved in birth preparedness </w:t>
            </w:r>
            <w:r>
              <w:fldChar w:fldCharType="begin"/>
            </w:r>
            <w:r>
              <w:instrText xml:space="preserve"> ADDIN EN.CITE &lt;EndNote&gt;&lt;Cite&gt;&lt;Author&gt;Bhatta&lt;/Author&gt;&lt;Year&gt;2013&lt;/Year&gt;&lt;RecNum&gt;339&lt;/RecNum&gt;&lt;DisplayText&gt;[35]&lt;/DisplayText&gt;&lt;record&gt;&lt;rec-number&gt;339&lt;/rec-number&gt;&lt;foreign-keys&gt;&lt;key app="EN" db-id="zaew0vvez9tvdiedtfkpzzeqs22pp5aaxtxw" timestamp="1579429168"&gt;339&lt;/key&gt;&lt;/foreign-keys&gt;&lt;ref-type name="Journal Article"&gt;17&lt;/ref-type&gt;&lt;contributors&gt;&lt;authors&gt;&lt;author&gt;Bhatta, Dharma Nand&lt;/author&gt;&lt;/authors&gt;&lt;/contributors&gt;&lt;titles&gt;&lt;title&gt;Involvement of males in antenatal care, birth preparedness, exclusive breast feeding and immunizations for children in Kathmandu, Nepal&lt;/title&gt;&lt;secondary-title&gt;BMC pregnancy and childbirth&lt;/secondary-title&gt;&lt;/titles&gt;&lt;periodical&gt;&lt;full-title&gt;BMC pregnancy and childbirth&lt;/full-title&gt;&lt;/periodical&gt;&lt;pages&gt;14&lt;/pages&gt;&lt;volume&gt;13&lt;/volume&gt;&lt;number&gt;1&lt;/number&gt;&lt;dates&gt;&lt;year&gt;2013&lt;/year&gt;&lt;/dates&gt;&lt;isbn&gt;1471-2393&lt;/isbn&gt;&lt;urls&gt;&lt;/urls&gt;&lt;/record&gt;&lt;/Cite&gt;&lt;/EndNote&gt;</w:instrText>
            </w:r>
            <w:r>
              <w:fldChar w:fldCharType="separate"/>
            </w:r>
            <w:r>
              <w:rPr>
                <w:noProof/>
              </w:rPr>
              <w:t>[</w:t>
            </w:r>
            <w:hyperlink r:id="rId15" w:anchor="_ENREF_35" w:tooltip="Bhatta, 2013 #339" w:history="1">
              <w:r>
                <w:rPr>
                  <w:rStyle w:val="Hyperlink"/>
                  <w:noProof/>
                  <w:color w:val="auto"/>
                </w:rPr>
                <w:t>35</w:t>
              </w:r>
            </w:hyperlink>
            <w:r>
              <w:rPr>
                <w:noProof/>
              </w:rPr>
              <w:t>]</w:t>
            </w:r>
            <w:r>
              <w:fldChar w:fldCharType="end"/>
            </w:r>
            <w:r>
              <w:t xml:space="preserve">. </w:t>
            </w:r>
          </w:p>
          <w:p w:rsidR="0084422E" w:rsidRDefault="0084422E">
            <w:pPr>
              <w:spacing w:line="360" w:lineRule="auto"/>
              <w:jc w:val="both"/>
            </w:pPr>
            <w:r>
              <w:t>This meta-analysis study result was higher than the study conducted in Northern Nigeria (32.1%) of males were involved in birth preparedness and complication readiness</w:t>
            </w:r>
            <w:r>
              <w:fldChar w:fldCharType="begin"/>
            </w:r>
            <w:r>
              <w:instrText xml:space="preserve"> ADDIN EN.CITE &lt;EndNote&gt;&lt;Cite&gt;&lt;Author&gt;Iliyasu&lt;/Author&gt;&lt;Year&gt;2010&lt;/Year&gt;&lt;RecNum&gt;329&lt;/RecNum&gt;&lt;DisplayText&gt;[27]&lt;/DisplayText&gt;&lt;record&gt;&lt;rec-number&gt;329&lt;/rec-number&gt;&lt;foreign-keys&gt;&lt;key app="EN" db-id="zaew0vvez9tvdiedtfkpzzeqs22pp5aaxtxw" timestamp="1579334763"&gt;329&lt;/key&gt;&lt;/foreign-keys&gt;&lt;ref-type name="Journal Article"&gt;17&lt;/ref-type&gt;&lt;contributors&gt;&lt;authors&gt;&lt;author&gt;Iliyasu, Zubairu&lt;/author&gt;&lt;author&gt;Abubakar, Isa S&lt;/author&gt;&lt;author&gt;Galadanci, Hadiza S&lt;/author&gt;&lt;author&gt;Aliyu, Muktar H&lt;/author&gt;&lt;/authors&gt;&lt;/contributors&gt;&lt;titles&gt;&lt;title&gt;Birth preparedness, complication readiness and fathers’ participation in maternity care in a northern Nigerian community&lt;/title&gt;&lt;secondary-title&gt;African journal of reproductive health&lt;/secondary-title&gt;&lt;/titles&gt;&lt;periodical&gt;&lt;full-title&gt;African Journal of Reproductive Health&lt;/full-title&gt;&lt;/periodical&gt;&lt;volume&gt;14&lt;/volume&gt;&lt;number&gt;1&lt;/number&gt;&lt;dates&gt;&lt;year&gt;2010&lt;/year&gt;&lt;/dates&gt;&lt;isbn&gt;1118-4841&lt;/isbn&gt;&lt;urls&gt;&lt;/urls&gt;&lt;/record&gt;&lt;/Cite&gt;&lt;/EndNote&gt;</w:instrText>
            </w:r>
            <w:r>
              <w:fldChar w:fldCharType="separate"/>
            </w:r>
            <w:r>
              <w:rPr>
                <w:noProof/>
              </w:rPr>
              <w:t>[</w:t>
            </w:r>
            <w:hyperlink r:id="rId16" w:anchor="_ENREF_27" w:tooltip="Iliyasu, 2010 #329" w:history="1">
              <w:r>
                <w:rPr>
                  <w:rStyle w:val="Hyperlink"/>
                  <w:noProof/>
                  <w:color w:val="auto"/>
                </w:rPr>
                <w:t>27</w:t>
              </w:r>
            </w:hyperlink>
            <w:r>
              <w:rPr>
                <w:noProof/>
              </w:rPr>
              <w:t>]</w:t>
            </w:r>
            <w:r>
              <w:fldChar w:fldCharType="end"/>
            </w:r>
            <w:r>
              <w:t xml:space="preserve">. The possible explanation might be due to the fact that there was time gap between the current study and Nigeria that was in 2010. The finding was lower than the study conducted in Per-Urban Northern Uganda in which (65.4%) males were involved in accessing the skilled birth delivery </w:t>
            </w:r>
            <w:r>
              <w:fldChar w:fldCharType="begin"/>
            </w:r>
            <w:r>
              <w:instrText xml:space="preserve"> ADDIN EN.CITE &lt;EndNote&gt;&lt;Cite&gt;&lt;Author&gt;Tweheyo&lt;/Author&gt;&lt;Year&gt;2010&lt;/Year&gt;&lt;RecNum&gt;336&lt;/RecNum&gt;&lt;DisplayText&gt;[36]&lt;/DisplayText&gt;&lt;record&gt;&lt;rec-number&gt;336&lt;/rec-number&gt;&lt;foreign-keys&gt;&lt;key app="EN" db-id="zaew0vvez9tvdiedtfkpzzeqs22pp5aaxtxw" timestamp="1579414574"&gt;336&lt;/key&gt;&lt;/foreign-keys&gt;&lt;ref-type name="Journal Article"&gt;17&lt;/ref-type&gt;&lt;contributors&gt;&lt;authors&gt;&lt;author&gt;Tweheyo, Raymond&lt;/author&gt;&lt;author&gt;Konde-Lule, Joseph&lt;/author&gt;&lt;author&gt;Tumwesigye, Nazarius M&lt;/author&gt;&lt;author&gt;Sekandi, Juliet N&lt;/author&gt;&lt;/authors&gt;&lt;/contributors&gt;&lt;titles&gt;&lt;title&gt;Male partner attendance of skilled antenatal care in peri-urban Gulu district, Northern Uganda&lt;/title&gt;&lt;secondary-title&gt;BMC pregnancy and childbirth&lt;/secondary-title&gt;&lt;/titles&gt;&lt;periodical&gt;&lt;full-title&gt;BMC pregnancy and childbirth&lt;/full-title&gt;&lt;/periodical&gt;&lt;pages&gt;53&lt;/pages&gt;&lt;volume&gt;10&lt;/volume&gt;&lt;number&gt;1&lt;/number&gt;&lt;dates&gt;&lt;year&gt;2010&lt;/year&gt;&lt;/dates&gt;&lt;isbn&gt;1471-2393&lt;/isbn&gt;&lt;urls&gt;&lt;/urls&gt;&lt;/record&gt;&lt;/Cite&gt;&lt;/EndNote&gt;</w:instrText>
            </w:r>
            <w:r>
              <w:fldChar w:fldCharType="separate"/>
            </w:r>
            <w:r>
              <w:rPr>
                <w:noProof/>
              </w:rPr>
              <w:t>[</w:t>
            </w:r>
            <w:hyperlink r:id="rId17" w:anchor="_ENREF_36" w:tooltip="Tweheyo, 2010 #336" w:history="1">
              <w:r>
                <w:rPr>
                  <w:rStyle w:val="Hyperlink"/>
                  <w:noProof/>
                  <w:color w:val="auto"/>
                </w:rPr>
                <w:t>36</w:t>
              </w:r>
            </w:hyperlink>
            <w:r>
              <w:rPr>
                <w:noProof/>
              </w:rPr>
              <w:t>]</w:t>
            </w:r>
            <w:r>
              <w:fldChar w:fldCharType="end"/>
            </w:r>
            <w:r>
              <w:t xml:space="preserve">. The possible explanation might be due to the fact that the socio-demographic variation because the study in Uganda was conducted only in the urban. Male involvement has a great impact on maternal and child health during pregnancy, labor and postpartum </w:t>
            </w:r>
            <w:r>
              <w:fldChar w:fldCharType="begin"/>
            </w:r>
            <w:r>
              <w:instrText xml:space="preserve"> ADDIN EN.CITE &lt;EndNote&gt;&lt;Cite&gt;&lt;Author&gt;Yargawa&lt;/Author&gt;&lt;Year&gt;2015&lt;/Year&gt;&lt;RecNum&gt;362&lt;/RecNum&gt;&lt;DisplayText&gt;[18]&lt;/DisplayText&gt;&lt;record&gt;&lt;rec-number&gt;362&lt;/rec-number&gt;&lt;foreign-keys&gt;&lt;key app="EN" db-id="zaew0vvez9tvdiedtfkpzzeqs22pp5aaxtxw" timestamp="1579591503"&gt;362&lt;/key&gt;&lt;/foreign-keys&gt;&lt;ref-type name="Journal Article"&gt;17&lt;/ref-type&gt;&lt;contributors&gt;&lt;authors&gt;&lt;author&gt;Yargawa, Judith&lt;/author&gt;&lt;author&gt;Leonardi-Bee, Jo&lt;/author&gt;&lt;/authors&gt;&lt;/contributors&gt;&lt;titles&gt;&lt;title&gt;Male involvement and maternal health outcomes: systematic review and meta-analysis&lt;/title&gt;&lt;secondary-title&gt;J Epidemiol Community Health&lt;/secondary-title&gt;&lt;/titles&gt;&lt;periodical&gt;&lt;full-title&gt;J Epidemiol Community Health&lt;/full-title&gt;&lt;/periodical&gt;&lt;pages&gt;604-612&lt;/pages&gt;&lt;volume&gt;69&lt;/volume&gt;&lt;number&gt;6&lt;/number&gt;&lt;dates&gt;&lt;year&gt;2015&lt;/year&gt;&lt;/dates&gt;&lt;isbn&gt;0143-005X&lt;/isbn&gt;&lt;urls&gt;&lt;/urls&gt;&lt;/record&gt;&lt;/Cite&gt;&lt;Cite&gt;&lt;Author&gt;Yargawa&lt;/Author&gt;&lt;Year&gt;2015&lt;/Year&gt;&lt;RecNum&gt;689&lt;/RecNum&gt;&lt;record&gt;&lt;rec-number&gt;689&lt;/rec-number&gt;&lt;foreign-keys&gt;&lt;key app="EN" db-id="zaew0vvez9tvdiedtfkpzzeqs22pp5aaxtxw" timestamp="1596627370"&gt;689&lt;/key&gt;&lt;/foreign-keys&gt;&lt;ref-type name="Journal Article"&gt;17&lt;/ref-type&gt;&lt;contributors&gt;&lt;authors&gt;&lt;author&gt;Yargawa, Judith&lt;/author&gt;&lt;author&gt;Leonardi-Bee, Jo&lt;/author&gt;&lt;/authors&gt;&lt;/contributors&gt;&lt;titles&gt;&lt;title&gt;Male involvement and maternal health outcomes: systematic review and meta-analysis&lt;/title&gt;&lt;secondary-title&gt;J Epidemiol Community Health&lt;/secondary-title&gt;&lt;/titles&gt;&lt;periodical&gt;&lt;full-title&gt;J Epidemiol Community Health&lt;/full-title&gt;&lt;/periodical&gt;&lt;pages&gt;604-612&lt;/pages&gt;&lt;volume&gt;69&lt;/volume&gt;&lt;number&gt;6&lt;/number&gt;&lt;dates&gt;&lt;year&gt;2015&lt;/year&gt;&lt;/dates&gt;&lt;isbn&gt;0143-005X&lt;/isbn&gt;&lt;urls&gt;&lt;/urls&gt;&lt;/record&gt;&lt;/Cite&gt;&lt;/EndNote&gt;</w:instrText>
            </w:r>
            <w:r>
              <w:fldChar w:fldCharType="separate"/>
            </w:r>
            <w:r>
              <w:rPr>
                <w:noProof/>
              </w:rPr>
              <w:t>[</w:t>
            </w:r>
            <w:hyperlink r:id="rId18" w:anchor="_ENREF_18" w:tooltip="Yargawa, 2015 #362" w:history="1">
              <w:r>
                <w:rPr>
                  <w:rStyle w:val="Hyperlink"/>
                  <w:noProof/>
                  <w:color w:val="auto"/>
                </w:rPr>
                <w:t>18</w:t>
              </w:r>
            </w:hyperlink>
            <w:r>
              <w:rPr>
                <w:noProof/>
              </w:rPr>
              <w:t>]</w:t>
            </w:r>
            <w:r>
              <w:fldChar w:fldCharType="end"/>
            </w:r>
            <w:r>
              <w:t xml:space="preserve">. </w:t>
            </w:r>
            <w:r>
              <w:rPr>
                <w:color w:val="000000"/>
              </w:rPr>
              <w:t>The meta-analysis result of male involvement during ANC 41.1%[95%CI(23.68-58.60)] was in line with the study conducted in Rural Uganda which was 29.4% of  males were involved during antenatal care of their wives</w:t>
            </w:r>
            <w:r>
              <w:t>. It was also found consistent with the study conducted in Nepal in which 48.0% of males were involved during ANC period.</w:t>
            </w:r>
            <w:r>
              <w:fldChar w:fldCharType="begin"/>
            </w:r>
            <w:r>
              <w:instrText xml:space="preserve"> ADDIN EN.CITE &lt;EndNote&gt;&lt;Cite&gt;&lt;Author&gt;Bhusal&lt;/Author&gt;&lt;Year&gt;2015&lt;/Year&gt;&lt;RecNum&gt;337&lt;/RecNum&gt;&lt;DisplayText&gt;[34]&lt;/DisplayText&gt;&lt;record&gt;&lt;rec-number&gt;337&lt;/rec-number&gt;&lt;foreign-keys&gt;&lt;key app="EN" db-id="zaew0vvez9tvdiedtfkpzzeqs22pp5aaxtxw" timestamp="1579415086"&gt;337&lt;/key&gt;&lt;/foreign-keys&gt;&lt;ref-type name="Journal Article"&gt;17&lt;/ref-type&gt;&lt;contributors&gt;&lt;authors&gt;&lt;author&gt;Bhusal, Chet Kant&lt;/author&gt;&lt;author&gt;Bhattarai, Sigma&lt;/author&gt;&lt;/authors&gt;&lt;/contributors&gt;&lt;titles&gt;&lt;title&gt;Involvement of male in birth preparedness in Tulsipur municipality of dang district, Nepal&lt;/title&gt;&lt;secondary-title&gt;Journal of Chitwan Medical College&lt;/secondary-title&gt;&lt;/titles&gt;&lt;periodical&gt;&lt;full-title&gt;Journal of Chitwan Medical College&lt;/full-title&gt;&lt;/periodical&gt;&lt;pages&gt;33-38&lt;/pages&gt;&lt;volume&gt;5&lt;/volume&gt;&lt;number&gt;4&lt;/number&gt;&lt;dates&gt;&lt;year&gt;2015&lt;/year&gt;&lt;/dates&gt;&lt;isbn&gt;2091-2889&lt;/isbn&gt;&lt;urls&gt;&lt;/urls&gt;&lt;/record&gt;&lt;/Cite&gt;&lt;/EndNote&gt;</w:instrText>
            </w:r>
            <w:r>
              <w:fldChar w:fldCharType="separate"/>
            </w:r>
            <w:r>
              <w:rPr>
                <w:noProof/>
              </w:rPr>
              <w:t>[</w:t>
            </w:r>
            <w:hyperlink r:id="rId19" w:anchor="_ENREF_34" w:tooltip="Bhusal, 2015 #337" w:history="1">
              <w:r>
                <w:rPr>
                  <w:rStyle w:val="Hyperlink"/>
                  <w:noProof/>
                  <w:color w:val="auto"/>
                </w:rPr>
                <w:t>34</w:t>
              </w:r>
            </w:hyperlink>
            <w:r>
              <w:rPr>
                <w:noProof/>
              </w:rPr>
              <w:t>]</w:t>
            </w:r>
            <w:r>
              <w:fldChar w:fldCharType="end"/>
            </w:r>
            <w:r>
              <w:t>. Similarly the finding of this meta-analysis was in line with another study conducted in Nepal in which 39.3% of husband’s were involved during ANC of their wives</w:t>
            </w:r>
            <w:r>
              <w:fldChar w:fldCharType="begin"/>
            </w:r>
            <w:r>
              <w:instrText xml:space="preserve"> ADDIN EN.CITE &lt;EndNote&gt;&lt;Cite&gt;&lt;Author&gt;Bhatta&lt;/Author&gt;&lt;Year&gt;2013&lt;/Year&gt;&lt;RecNum&gt;339&lt;/RecNum&gt;&lt;DisplayText&gt;[35]&lt;/DisplayText&gt;&lt;record&gt;&lt;rec-number&gt;339&lt;/rec-number&gt;&lt;foreign-keys&gt;&lt;key app="EN" db-id="zaew0vvez9tvdiedtfkpzzeqs22pp5aaxtxw" timestamp="1579429168"&gt;339&lt;/key&gt;&lt;/foreign-keys&gt;&lt;ref-type name="Journal Article"&gt;17&lt;/ref-type&gt;&lt;contributors&gt;&lt;authors&gt;&lt;author&gt;Bhatta, Dharma Nand&lt;/author&gt;&lt;/authors&gt;&lt;/contributors&gt;&lt;titles&gt;&lt;title&gt;Involvement of males in antenatal care, birth preparedness, exclusive breast feeding and immunizations for children in Kathmandu, Nepal&lt;/title&gt;&lt;secondary-title&gt;BMC pregnancy and childbirth&lt;/secondary-title&gt;&lt;/titles&gt;&lt;periodical&gt;&lt;full-title&gt;BMC pregnancy and childbirth&lt;/full-title&gt;&lt;/periodical&gt;&lt;pages&gt;14&lt;/pages&gt;&lt;volume&gt;13&lt;/volume&gt;&lt;number&gt;1&lt;/number&gt;&lt;dates&gt;&lt;year&gt;2013&lt;/year&gt;&lt;/dates&gt;&lt;isbn&gt;1471-2393&lt;/isbn&gt;&lt;urls&gt;&lt;/urls&gt;&lt;/record&gt;&lt;/Cite&gt;&lt;/EndNote&gt;</w:instrText>
            </w:r>
            <w:r>
              <w:fldChar w:fldCharType="separate"/>
            </w:r>
            <w:r>
              <w:rPr>
                <w:noProof/>
              </w:rPr>
              <w:t>[</w:t>
            </w:r>
            <w:hyperlink r:id="rId20" w:anchor="_ENREF_35" w:tooltip="Bhatta, 2013 #339" w:history="1">
              <w:r>
                <w:rPr>
                  <w:rStyle w:val="Hyperlink"/>
                  <w:noProof/>
                  <w:color w:val="auto"/>
                </w:rPr>
                <w:t>35</w:t>
              </w:r>
            </w:hyperlink>
            <w:r>
              <w:rPr>
                <w:noProof/>
              </w:rPr>
              <w:t>]</w:t>
            </w:r>
            <w:r>
              <w:fldChar w:fldCharType="end"/>
            </w:r>
            <w:r>
              <w:t>.</w:t>
            </w:r>
          </w:p>
          <w:p w:rsidR="0084422E" w:rsidRDefault="0084422E">
            <w:pPr>
              <w:spacing w:line="360" w:lineRule="auto"/>
              <w:jc w:val="both"/>
              <w:rPr>
                <w:color w:val="000000"/>
              </w:rPr>
            </w:pPr>
            <w:r>
              <w:t>In this meta-analysis the pooled estimate of male involvement during delivery was found to be 45.56%[95%CI(28.82-62.13)] which was in line with the study conducted with the study conducted in Nepal</w:t>
            </w:r>
            <w:r>
              <w:fldChar w:fldCharType="begin"/>
            </w:r>
            <w:r>
              <w:instrText xml:space="preserve"> ADDIN EN.CITE &lt;EndNote&gt;&lt;Cite&gt;&lt;Author&gt;Bhatta&lt;/Author&gt;&lt;Year&gt;2013&lt;/Year&gt;&lt;RecNum&gt;339&lt;/RecNum&gt;&lt;DisplayText&gt;[35]&lt;/DisplayText&gt;&lt;record&gt;&lt;rec-number&gt;339&lt;/rec-number&gt;&lt;foreign-keys&gt;&lt;key app="EN" db-id="zaew0vvez9tvdiedtfkpzzeqs22pp5aaxtxw" timestamp="1579429168"&gt;339&lt;/key&gt;&lt;/foreign-keys&gt;&lt;ref-type name="Journal Article"&gt;17&lt;/ref-type&gt;&lt;contributors&gt;&lt;authors&gt;&lt;author&gt;Bhatta, Dharma Nand&lt;/author&gt;&lt;/authors&gt;&lt;/contributors&gt;&lt;titles&gt;&lt;title&gt;Involvement of males in antenatal care, birth preparedness, exclusive breast feeding and immunizations for children in Kathmandu, Nepal&lt;/title&gt;&lt;secondary-title&gt;BMC pregnancy and childbirth&lt;/secondary-title&gt;&lt;/titles&gt;&lt;periodical&gt;&lt;full-title&gt;BMC pregnancy and childbirth&lt;/full-title&gt;&lt;/periodical&gt;&lt;pages&gt;14&lt;/pages&gt;&lt;volume&gt;13&lt;/volume&gt;&lt;number&gt;1&lt;/number&gt;&lt;dates&gt;&lt;year&gt;2013&lt;/year&gt;&lt;/dates&gt;&lt;isbn&gt;1471-2393&lt;/isbn&gt;&lt;urls&gt;&lt;/urls&gt;&lt;/record&gt;&lt;/Cite&gt;&lt;/EndNote&gt;</w:instrText>
            </w:r>
            <w:r>
              <w:fldChar w:fldCharType="separate"/>
            </w:r>
            <w:r>
              <w:rPr>
                <w:noProof/>
              </w:rPr>
              <w:t>[</w:t>
            </w:r>
            <w:hyperlink r:id="rId21" w:anchor="_ENREF_35" w:tooltip="Bhatta, 2013 #339" w:history="1">
              <w:r>
                <w:rPr>
                  <w:rStyle w:val="Hyperlink"/>
                  <w:noProof/>
                  <w:color w:val="auto"/>
                </w:rPr>
                <w:t>35</w:t>
              </w:r>
            </w:hyperlink>
            <w:r>
              <w:rPr>
                <w:noProof/>
              </w:rPr>
              <w:t>]</w:t>
            </w:r>
            <w:r>
              <w:fldChar w:fldCharType="end"/>
            </w:r>
            <w:r>
              <w:t xml:space="preserve"> in which 47.9% of males were involved </w:t>
            </w:r>
            <w:r>
              <w:rPr>
                <w:color w:val="C0504D"/>
              </w:rPr>
              <w:t>,</w:t>
            </w:r>
            <w:r>
              <w:rPr>
                <w:color w:val="000000"/>
              </w:rPr>
              <w:t>but higher than the study conducted in Rural Uganda in which (22.3%)of  husbands were involved during delivery</w:t>
            </w:r>
            <w:r>
              <w:rPr>
                <w:color w:val="C0504D"/>
              </w:rPr>
              <w:t xml:space="preserve">. </w:t>
            </w:r>
            <w:r>
              <w:t>The possible explanation might be due to the fact that the study in Uganda was conducted in rural communities only, but not the meta-analysis</w:t>
            </w:r>
            <w:r>
              <w:rPr>
                <w:color w:val="000000"/>
              </w:rPr>
              <w:t>. The finding of this meta-analysis was found lower than the study conducted in India in which 67.7% of males were involved during delivery.</w:t>
            </w:r>
          </w:p>
          <w:p w:rsidR="0084422E" w:rsidRDefault="0084422E">
            <w:pPr>
              <w:spacing w:line="360" w:lineRule="auto"/>
              <w:jc w:val="both"/>
              <w:rPr>
                <w:rFonts w:ascii="Arial" w:hAnsi="Arial" w:cs="Arial"/>
                <w:sz w:val="20"/>
                <w:szCs w:val="20"/>
              </w:rPr>
            </w:pPr>
            <w:r>
              <w:t>In the current meta-analysis post-partum  male involvement was found to be 45.56%[95%CI(28.82-62.13)] which was in line with the study conducted with the study conducted in Nepal</w:t>
            </w:r>
            <w:r>
              <w:fldChar w:fldCharType="begin"/>
            </w:r>
            <w:r>
              <w:instrText xml:space="preserve"> ADDIN EN.CITE &lt;EndNote&gt;&lt;Cite&gt;&lt;Author&gt;Bhatta&lt;/Author&gt;&lt;Year&gt;2013&lt;/Year&gt;&lt;RecNum&gt;339&lt;/RecNum&gt;&lt;DisplayText&gt;[35]&lt;/DisplayText&gt;&lt;record&gt;&lt;rec-number&gt;339&lt;/rec-number&gt;&lt;foreign-keys&gt;&lt;key app="EN" db-id="zaew0vvez9tvdiedtfkpzzeqs22pp5aaxtxw" timestamp="1579429168"&gt;339&lt;/key&gt;&lt;/foreign-keys&gt;&lt;ref-type name="Journal Article"&gt;17&lt;/ref-type&gt;&lt;contributors&gt;&lt;authors&gt;&lt;author&gt;Bhatta, Dharma Nand&lt;/author&gt;&lt;/authors&gt;&lt;/contributors&gt;&lt;titles&gt;&lt;title&gt;Involvement of males in antenatal care, birth preparedness, exclusive breast feeding and immunizations for children in Kathmandu, Nepal&lt;/title&gt;&lt;secondary-title&gt;BMC pregnancy and childbirth&lt;/secondary-title&gt;&lt;/titles&gt;&lt;periodical&gt;&lt;full-title&gt;BMC pregnancy and childbirth&lt;/full-title&gt;&lt;/periodical&gt;&lt;pages&gt;14&lt;/pages&gt;&lt;volume&gt;13&lt;/volume&gt;&lt;number&gt;1&lt;/number&gt;&lt;dates&gt;&lt;year&gt;2013&lt;/year&gt;&lt;/dates&gt;&lt;isbn&gt;1471-2393&lt;/isbn&gt;&lt;urls&gt;&lt;/urls&gt;&lt;/record&gt;&lt;/Cite&gt;&lt;/EndNote&gt;</w:instrText>
            </w:r>
            <w:r>
              <w:fldChar w:fldCharType="separate"/>
            </w:r>
            <w:r>
              <w:rPr>
                <w:noProof/>
              </w:rPr>
              <w:t>[</w:t>
            </w:r>
            <w:hyperlink r:id="rId22" w:anchor="_ENREF_35" w:tooltip="Bhatta, 2013 #339" w:history="1">
              <w:r>
                <w:rPr>
                  <w:rStyle w:val="Hyperlink"/>
                  <w:noProof/>
                  <w:color w:val="auto"/>
                </w:rPr>
                <w:t>35</w:t>
              </w:r>
            </w:hyperlink>
            <w:r>
              <w:rPr>
                <w:noProof/>
              </w:rPr>
              <w:t>]</w:t>
            </w:r>
            <w:r>
              <w:fldChar w:fldCharType="end"/>
            </w:r>
            <w:r>
              <w:t xml:space="preserve"> in which 47.9% of males were involved. </w:t>
            </w:r>
            <w:r>
              <w:rPr>
                <w:color w:val="000000"/>
              </w:rPr>
              <w:t>But, lower than the study conducted in India in which 67.4% of the husbands were involved during post-partum period</w:t>
            </w:r>
            <w:r>
              <w:t xml:space="preserve">. The possible explanation might be socio-demographic variations and the size of the studies could bring the discrepancy. Male involvement during the three domains (ANC, delivery, and post-partum periods) played a significant role to healthy maternal and child outcomes. This claim has been supported by a systematic and meta-analysis studies </w:t>
            </w:r>
            <w:r>
              <w:fldChar w:fldCharType="begin"/>
            </w:r>
            <w:r>
              <w:instrText xml:space="preserve"> ADDIN EN.CITE &lt;EndNote&gt;&lt;Cite&gt;&lt;Author&gt;Yargawa&lt;/Author&gt;&lt;Year&gt;2015&lt;/Year&gt;&lt;RecNum&gt;689&lt;/RecNum&gt;&lt;DisplayText&gt;[18, 39]&lt;/DisplayText&gt;&lt;record&gt;&lt;rec-number&gt;689&lt;/rec-number&gt;&lt;foreign-keys&gt;&lt;key app="EN" db-id="zaew0vvez9tvdiedtfkpzzeqs22pp5aaxtxw" timestamp="1596627370"&gt;689&lt;/key&gt;&lt;/foreign-keys&gt;&lt;ref-type name="Journal Article"&gt;17&lt;/ref-type&gt;&lt;contributors&gt;&lt;authors&gt;&lt;author&gt;Yargawa, Judith&lt;/author&gt;&lt;author&gt;Leonardi-Bee, Jo&lt;/author&gt;&lt;/authors&gt;&lt;/contributors&gt;&lt;titles&gt;&lt;title&gt;Male involvement and maternal health outcomes: systematic review and meta-analysis&lt;/title&gt;&lt;secondary-title&gt;J Epidemiol Community Health&lt;/secondary-title&gt;&lt;/titles&gt;&lt;periodical&gt;&lt;full-title&gt;J Epidemiol Community Health&lt;/full-title&gt;&lt;/periodical&gt;&lt;pages&gt;604-612&lt;/pages&gt;&lt;volume&gt;69&lt;/volume&gt;&lt;number&gt;6&lt;/number&gt;&lt;dates&gt;&lt;year&gt;2015&lt;/year&gt;&lt;/dates&gt;&lt;isbn&gt;0143-005X&lt;/isbn&gt;&lt;urls&gt;&lt;/urls&gt;&lt;/record&gt;&lt;/Cite&gt;&lt;Cite&gt;&lt;Author&gt;Ditekemena&lt;/Author&gt;&lt;Year&gt;2012&lt;/Year&gt;&lt;RecNum&gt;681&lt;/RecNum&gt;&lt;record&gt;&lt;rec-number&gt;681&lt;/rec-number&gt;&lt;foreign-keys&gt;&lt;key app="EN" db-id="zaew0vvez9tvdiedtfkpzzeqs22pp5aaxtxw" timestamp="1596626008"&gt;681&lt;/key&gt;&lt;/foreign-keys&gt;&lt;ref-type name="Journal Article"&gt;17&lt;/ref-type&gt;&lt;contributors&gt;&lt;authors&gt;&lt;author&gt;Ditekemena, John&lt;/author&gt;&lt;author&gt;Koole, Olivier&lt;/author&gt;&lt;author&gt;Engmann, Cyril&lt;/author&gt;&lt;author&gt;Matendo, Richard&lt;/author&gt;&lt;author&gt;Tshefu, Antoinette&lt;/author&gt;&lt;author&gt;Ryder, Robert&lt;/author&gt;&lt;author&gt;Colebunders, Robert&lt;/author&gt;&lt;/authors&gt;&lt;/contributors&gt;&lt;titles&gt;&lt;title&gt;Determinants of male involvement in maternal and child health services in sub-Saharan Africa: a review&lt;/title&gt;&lt;secondary-title&gt;Reproductive health&lt;/secondary-title&gt;&lt;/titles&gt;&lt;periodical&gt;&lt;full-title&gt;Reproductive health&lt;/full-title&gt;&lt;/periodical&gt;&lt;pages&gt;1-8&lt;/pages&gt;&lt;volume&gt;9&lt;/volume&gt;&lt;number&gt;1&lt;/number&gt;&lt;dates&gt;&lt;year&gt;2012&lt;/year&gt;&lt;/dates&gt;&lt;isbn&gt;1742-4755&lt;/isbn&gt;&lt;urls&gt;&lt;/urls&gt;&lt;/record&gt;&lt;/Cite&gt;&lt;/EndNote&gt;</w:instrText>
            </w:r>
            <w:r>
              <w:fldChar w:fldCharType="separate"/>
            </w:r>
            <w:r>
              <w:rPr>
                <w:noProof/>
              </w:rPr>
              <w:t>[</w:t>
            </w:r>
            <w:hyperlink r:id="rId23" w:anchor="_ENREF_18" w:tooltip="Yargawa, 2015 #362" w:history="1">
              <w:r>
                <w:rPr>
                  <w:rStyle w:val="Hyperlink"/>
                  <w:noProof/>
                  <w:color w:val="auto"/>
                </w:rPr>
                <w:t>18</w:t>
              </w:r>
            </w:hyperlink>
            <w:r>
              <w:rPr>
                <w:noProof/>
              </w:rPr>
              <w:t xml:space="preserve">, </w:t>
            </w:r>
            <w:hyperlink r:id="rId24" w:anchor="_ENREF_39" w:tooltip="Ditekemena, 2012 #681" w:history="1">
              <w:r>
                <w:rPr>
                  <w:rStyle w:val="Hyperlink"/>
                  <w:noProof/>
                  <w:color w:val="auto"/>
                </w:rPr>
                <w:t>39</w:t>
              </w:r>
            </w:hyperlink>
            <w:r>
              <w:rPr>
                <w:noProof/>
              </w:rPr>
              <w:t>]</w:t>
            </w:r>
            <w:r>
              <w:fldChar w:fldCharType="end"/>
            </w:r>
            <w:r>
              <w:t>.  Husband’s attendance of at least one ANC visit with their wives was found to be three times more likely to involve as compared with no attended at all.  The possible explanation might be those who attend at least once could have an insight about the importance of their involvement that not attending at all.</w:t>
            </w:r>
          </w:p>
        </w:tc>
        <w:tc>
          <w:tcPr>
            <w:tcW w:w="1182"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17</w:t>
            </w:r>
          </w:p>
        </w:tc>
      </w:tr>
      <w:tr w:rsidR="0084422E" w:rsidTr="0084422E">
        <w:trPr>
          <w:gridAfter w:val="1"/>
          <w:wAfter w:w="124" w:type="dxa"/>
          <w:trHeight w:hRule="exact" w:val="2784"/>
        </w:trPr>
        <w:tc>
          <w:tcPr>
            <w:tcW w:w="2390"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lastRenderedPageBreak/>
              <w:t xml:space="preserve">Limitations </w:t>
            </w:r>
          </w:p>
        </w:tc>
        <w:tc>
          <w:tcPr>
            <w:tcW w:w="0" w:type="auto"/>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25</w:t>
            </w:r>
          </w:p>
        </w:tc>
        <w:tc>
          <w:tcPr>
            <w:tcW w:w="10265" w:type="dxa"/>
            <w:tcBorders>
              <w:top w:val="single" w:sz="6" w:space="0" w:color="000000"/>
              <w:left w:val="single" w:sz="6" w:space="0" w:color="000000"/>
              <w:bottom w:val="single" w:sz="6" w:space="0" w:color="000000"/>
              <w:right w:val="single" w:sz="6" w:space="0" w:color="000000"/>
            </w:tcBorders>
          </w:tcPr>
          <w:p w:rsidR="0084422E" w:rsidRDefault="0084422E">
            <w:pPr>
              <w:spacing w:line="480" w:lineRule="auto"/>
              <w:jc w:val="both"/>
            </w:pPr>
            <w:r>
              <w:t xml:space="preserve">This systematic review and meta-analysis included only articles reporting in English language, which may restrict our findings. The majority of the articles use small sample size, might be affect the prevalence estimation. All included studies were cross sectional study design in which the result might potentially affected by confounding variables. In addition the meta-analysis didn’t include all regions which only include four regions and one administrative city of the country. </w:t>
            </w:r>
          </w:p>
          <w:p w:rsidR="0084422E" w:rsidRDefault="0084422E">
            <w:pPr>
              <w:spacing w:line="480" w:lineRule="auto"/>
              <w:jc w:val="both"/>
            </w:pPr>
            <w:r>
              <w:t>Therefore; further country based studies to assess other factors related to health service, health policy and health care giver related factors for the involvement of males in birth preparedness and complication readiness, in Ethiopia are recommended.</w:t>
            </w:r>
          </w:p>
          <w:p w:rsidR="0084422E" w:rsidRDefault="0084422E">
            <w:pPr>
              <w:spacing w:line="480" w:lineRule="auto"/>
              <w:jc w:val="both"/>
            </w:pPr>
          </w:p>
        </w:tc>
        <w:tc>
          <w:tcPr>
            <w:tcW w:w="1182" w:type="dxa"/>
            <w:tcBorders>
              <w:top w:val="single" w:sz="6" w:space="0" w:color="000000"/>
              <w:left w:val="single" w:sz="6" w:space="0" w:color="000000"/>
              <w:bottom w:val="sing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18</w:t>
            </w:r>
          </w:p>
        </w:tc>
      </w:tr>
      <w:tr w:rsidR="0084422E" w:rsidTr="0084422E">
        <w:trPr>
          <w:gridAfter w:val="1"/>
          <w:wAfter w:w="124" w:type="dxa"/>
          <w:trHeight w:hRule="exact" w:val="2532"/>
        </w:trPr>
        <w:tc>
          <w:tcPr>
            <w:tcW w:w="2390" w:type="dxa"/>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Conclusions </w:t>
            </w:r>
          </w:p>
        </w:tc>
        <w:tc>
          <w:tcPr>
            <w:tcW w:w="0" w:type="auto"/>
            <w:tcBorders>
              <w:top w:val="single" w:sz="6" w:space="0" w:color="000000"/>
              <w:left w:val="single" w:sz="6" w:space="0" w:color="000000"/>
              <w:bottom w:val="double" w:sz="2" w:space="0" w:color="FFFFCC"/>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26</w:t>
            </w:r>
          </w:p>
        </w:tc>
        <w:tc>
          <w:tcPr>
            <w:tcW w:w="10265" w:type="dxa"/>
            <w:tcBorders>
              <w:top w:val="single" w:sz="6" w:space="0" w:color="000000"/>
              <w:left w:val="single" w:sz="6" w:space="0" w:color="000000"/>
              <w:bottom w:val="double" w:sz="6" w:space="0" w:color="000000"/>
              <w:right w:val="single" w:sz="6" w:space="0" w:color="000000"/>
            </w:tcBorders>
            <w:hideMark/>
          </w:tcPr>
          <w:p w:rsidR="0084422E" w:rsidRDefault="0084422E">
            <w:pPr>
              <w:spacing w:line="480" w:lineRule="auto"/>
              <w:jc w:val="both"/>
            </w:pPr>
            <w:r>
              <w:t xml:space="preserve">The overall proportion of male involvement for birth preparedness and complication readiness was found to be low. Husband’s attendance of at least one antenatal visit was found to be significant predictor of male involvement. Therefore, Minister of Health with its stake holders should emphasis on community and institution based programs in the manner to improve male involvement to bring positive maternal and child health outcomes.  </w:t>
            </w:r>
          </w:p>
        </w:tc>
        <w:tc>
          <w:tcPr>
            <w:tcW w:w="1182"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18</w:t>
            </w:r>
          </w:p>
        </w:tc>
      </w:tr>
      <w:tr w:rsidR="0084422E" w:rsidTr="0084422E">
        <w:trPr>
          <w:gridAfter w:val="1"/>
          <w:wAfter w:w="124" w:type="dxa"/>
          <w:trHeight w:val="333"/>
        </w:trPr>
        <w:tc>
          <w:tcPr>
            <w:tcW w:w="13094"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rsidR="0084422E" w:rsidRDefault="0084422E">
            <w:pPr>
              <w:pStyle w:val="Default"/>
              <w:spacing w:line="276" w:lineRule="auto"/>
              <w:rPr>
                <w:rFonts w:ascii="Arial" w:hAnsi="Arial" w:cs="Arial"/>
                <w:sz w:val="22"/>
                <w:szCs w:val="22"/>
              </w:rPr>
            </w:pPr>
            <w:r>
              <w:rPr>
                <w:rFonts w:ascii="Arial" w:hAnsi="Arial" w:cs="Arial"/>
                <w:b/>
                <w:bCs/>
                <w:sz w:val="22"/>
                <w:szCs w:val="22"/>
              </w:rPr>
              <w:t xml:space="preserve">FUNDING </w:t>
            </w:r>
          </w:p>
        </w:tc>
        <w:tc>
          <w:tcPr>
            <w:tcW w:w="1182" w:type="dxa"/>
            <w:tcBorders>
              <w:top w:val="double" w:sz="6" w:space="0" w:color="000000"/>
              <w:left w:val="single" w:sz="6" w:space="0" w:color="000000"/>
              <w:bottom w:val="single" w:sz="6" w:space="0" w:color="000000"/>
              <w:right w:val="single" w:sz="6" w:space="0" w:color="000000"/>
            </w:tcBorders>
            <w:shd w:val="clear" w:color="auto" w:fill="FFFFCC"/>
          </w:tcPr>
          <w:p w:rsidR="0084422E" w:rsidRDefault="0084422E">
            <w:pPr>
              <w:pStyle w:val="Default"/>
              <w:spacing w:line="276" w:lineRule="auto"/>
              <w:jc w:val="center"/>
              <w:rPr>
                <w:rFonts w:ascii="Arial" w:hAnsi="Arial" w:cs="Arial"/>
                <w:color w:val="auto"/>
              </w:rPr>
            </w:pPr>
          </w:p>
        </w:tc>
      </w:tr>
      <w:tr w:rsidR="0084422E" w:rsidTr="0084422E">
        <w:trPr>
          <w:gridAfter w:val="1"/>
          <w:wAfter w:w="124" w:type="dxa"/>
          <w:trHeight w:hRule="exact" w:val="489"/>
        </w:trPr>
        <w:tc>
          <w:tcPr>
            <w:tcW w:w="2390"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sz w:val="20"/>
                <w:szCs w:val="20"/>
              </w:rPr>
            </w:pPr>
            <w:r>
              <w:rPr>
                <w:rFonts w:ascii="Arial" w:hAnsi="Arial" w:cs="Arial"/>
                <w:sz w:val="20"/>
                <w:szCs w:val="20"/>
              </w:rPr>
              <w:t xml:space="preserve">Funding </w:t>
            </w:r>
          </w:p>
        </w:tc>
        <w:tc>
          <w:tcPr>
            <w:tcW w:w="0" w:type="auto"/>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jc w:val="right"/>
              <w:rPr>
                <w:rFonts w:ascii="Arial" w:hAnsi="Arial" w:cs="Arial"/>
                <w:sz w:val="20"/>
                <w:szCs w:val="20"/>
              </w:rPr>
            </w:pPr>
            <w:r>
              <w:rPr>
                <w:rFonts w:ascii="Arial" w:hAnsi="Arial" w:cs="Arial"/>
                <w:sz w:val="20"/>
                <w:szCs w:val="20"/>
              </w:rPr>
              <w:t>27</w:t>
            </w:r>
          </w:p>
        </w:tc>
        <w:tc>
          <w:tcPr>
            <w:tcW w:w="10265" w:type="dxa"/>
            <w:tcBorders>
              <w:top w:val="single" w:sz="6" w:space="0" w:color="000000"/>
              <w:left w:val="single" w:sz="6" w:space="0" w:color="000000"/>
              <w:bottom w:val="double" w:sz="6" w:space="0" w:color="000000"/>
              <w:right w:val="single" w:sz="6" w:space="0" w:color="000000"/>
            </w:tcBorders>
            <w:hideMark/>
          </w:tcPr>
          <w:p w:rsidR="0084422E" w:rsidRDefault="0084422E">
            <w:pPr>
              <w:spacing w:line="480" w:lineRule="auto"/>
              <w:jc w:val="both"/>
            </w:pPr>
            <w:r>
              <w:t xml:space="preserve">No funding was obtained for this study. </w:t>
            </w:r>
          </w:p>
        </w:tc>
        <w:tc>
          <w:tcPr>
            <w:tcW w:w="1182" w:type="dxa"/>
            <w:tcBorders>
              <w:top w:val="single" w:sz="6" w:space="0" w:color="000000"/>
              <w:left w:val="single" w:sz="6" w:space="0" w:color="000000"/>
              <w:bottom w:val="double" w:sz="6" w:space="0" w:color="000000"/>
              <w:right w:val="single" w:sz="6" w:space="0" w:color="000000"/>
            </w:tcBorders>
            <w:hideMark/>
          </w:tcPr>
          <w:p w:rsidR="0084422E" w:rsidRDefault="0084422E">
            <w:pPr>
              <w:pStyle w:val="Default"/>
              <w:spacing w:before="40" w:after="40" w:line="276" w:lineRule="auto"/>
              <w:rPr>
                <w:rFonts w:ascii="Arial" w:hAnsi="Arial" w:cs="Arial"/>
                <w:color w:val="auto"/>
              </w:rPr>
            </w:pPr>
            <w:r>
              <w:rPr>
                <w:rFonts w:ascii="Arial" w:hAnsi="Arial" w:cs="Arial"/>
                <w:color w:val="auto"/>
              </w:rPr>
              <w:t>19</w:t>
            </w:r>
          </w:p>
        </w:tc>
      </w:tr>
    </w:tbl>
    <w:p w:rsidR="0084422E" w:rsidRDefault="0084422E" w:rsidP="0084422E">
      <w:pPr>
        <w:pStyle w:val="Default"/>
        <w:spacing w:line="183" w:lineRule="atLeast"/>
        <w:jc w:val="both"/>
        <w:rPr>
          <w:rFonts w:ascii="Arial" w:hAnsi="Arial" w:cs="Arial"/>
          <w:i/>
          <w:iCs/>
          <w:color w:val="auto"/>
          <w:sz w:val="16"/>
          <w:szCs w:val="16"/>
        </w:rPr>
      </w:pPr>
    </w:p>
    <w:p w:rsidR="0084422E" w:rsidRDefault="0084422E" w:rsidP="0084422E">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w:t>
      </w:r>
      <w:proofErr w:type="spellStart"/>
      <w:r>
        <w:rPr>
          <w:rFonts w:ascii="Arial" w:hAnsi="Arial" w:cs="Arial"/>
          <w:color w:val="auto"/>
          <w:sz w:val="16"/>
          <w:szCs w:val="16"/>
        </w:rPr>
        <w:t>Liberati</w:t>
      </w:r>
      <w:proofErr w:type="spellEnd"/>
      <w:r>
        <w:rPr>
          <w:rFonts w:ascii="Arial" w:hAnsi="Arial" w:cs="Arial"/>
          <w:color w:val="auto"/>
          <w:sz w:val="16"/>
          <w:szCs w:val="16"/>
        </w:rPr>
        <w:t xml:space="preserve"> A, </w:t>
      </w:r>
      <w:proofErr w:type="spellStart"/>
      <w:r>
        <w:rPr>
          <w:rFonts w:ascii="Arial" w:hAnsi="Arial" w:cs="Arial"/>
          <w:color w:val="auto"/>
          <w:sz w:val="16"/>
          <w:szCs w:val="16"/>
        </w:rPr>
        <w:t>Tetzlaff</w:t>
      </w:r>
      <w:proofErr w:type="spellEnd"/>
      <w:r>
        <w:rPr>
          <w:rFonts w:ascii="Arial" w:hAnsi="Arial" w:cs="Arial"/>
          <w:color w:val="auto"/>
          <w:sz w:val="16"/>
          <w:szCs w:val="16"/>
        </w:rPr>
        <w:t xml:space="preserve"> J, Altman DG, </w:t>
      </w:r>
      <w:proofErr w:type="gramStart"/>
      <w:r>
        <w:rPr>
          <w:rFonts w:ascii="Arial" w:hAnsi="Arial" w:cs="Arial"/>
          <w:color w:val="auto"/>
          <w:sz w:val="16"/>
          <w:szCs w:val="16"/>
        </w:rPr>
        <w:t>The</w:t>
      </w:r>
      <w:proofErr w:type="gramEnd"/>
      <w:r>
        <w:rPr>
          <w:rFonts w:ascii="Arial" w:hAnsi="Arial" w:cs="Arial"/>
          <w:color w:val="auto"/>
          <w:sz w:val="16"/>
          <w:szCs w:val="16"/>
        </w:rPr>
        <w:t xml:space="preserve"> PRISMA Group (2009). Preferred Reporting Items </w:t>
      </w:r>
      <w:proofErr w:type="gramStart"/>
      <w:r>
        <w:rPr>
          <w:rFonts w:ascii="Arial" w:hAnsi="Arial" w:cs="Arial"/>
          <w:color w:val="auto"/>
          <w:sz w:val="16"/>
          <w:szCs w:val="16"/>
        </w:rPr>
        <w:t>for  Systematic</w:t>
      </w:r>
      <w:proofErr w:type="gramEnd"/>
      <w:r>
        <w:rPr>
          <w:rFonts w:ascii="Arial" w:hAnsi="Arial" w:cs="Arial"/>
          <w:color w:val="auto"/>
          <w:sz w:val="16"/>
          <w:szCs w:val="16"/>
        </w:rPr>
        <w:t xml:space="preserve"> Reviews and Meta-Analyses: The PRISMA Statement. </w:t>
      </w:r>
      <w:r>
        <w:rPr>
          <w:rFonts w:ascii="Arial" w:hAnsi="Arial" w:cs="Arial"/>
          <w:color w:val="auto"/>
          <w:sz w:val="16"/>
          <w:szCs w:val="16"/>
          <w:lang w:val="da-DK"/>
        </w:rPr>
        <w:t xml:space="preserve">PLoS Med 6(7): e1000097. doi:10.1371/journal.pmed1000097 </w:t>
      </w:r>
    </w:p>
    <w:p w:rsidR="0084422E" w:rsidRDefault="0084422E" w:rsidP="0084422E">
      <w:pPr>
        <w:pStyle w:val="CM1"/>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rsidR="0084422E" w:rsidRDefault="0084422E" w:rsidP="0084422E">
      <w:pPr>
        <w:pStyle w:val="Default"/>
        <w:spacing w:line="183" w:lineRule="atLeast"/>
        <w:jc w:val="center"/>
        <w:rPr>
          <w:rFonts w:ascii="Arial" w:hAnsi="Arial" w:cs="Arial"/>
        </w:rPr>
      </w:pPr>
      <w:r>
        <w:rPr>
          <w:rFonts w:ascii="Arial" w:hAnsi="Arial" w:cs="Arial"/>
          <w:sz w:val="16"/>
          <w:szCs w:val="16"/>
        </w:rPr>
        <w:t xml:space="preserve">Page 2 of 2 </w:t>
      </w:r>
    </w:p>
    <w:p w:rsidR="0084422E" w:rsidRDefault="0084422E" w:rsidP="0084422E">
      <w:pPr>
        <w:rPr>
          <w:b/>
          <w:sz w:val="24"/>
          <w:szCs w:val="24"/>
        </w:rPr>
      </w:pPr>
    </w:p>
    <w:p w:rsidR="0084422E" w:rsidRDefault="0084422E" w:rsidP="0084422E">
      <w:pPr>
        <w:rPr>
          <w:b/>
          <w:sz w:val="24"/>
          <w:szCs w:val="24"/>
        </w:rPr>
      </w:pPr>
    </w:p>
    <w:p w:rsidR="00141544" w:rsidRDefault="00141544">
      <w:bookmarkStart w:id="0" w:name="_GoBack"/>
      <w:bookmarkEnd w:id="0"/>
    </w:p>
    <w:sectPr w:rsidR="00141544" w:rsidSect="0084422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22E"/>
    <w:rsid w:val="00141544"/>
    <w:rsid w:val="0084422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22E"/>
    <w:rPr>
      <w:lang w:val="en-US"/>
    </w:rPr>
  </w:style>
  <w:style w:type="paragraph" w:styleId="Heading2">
    <w:name w:val="heading 2"/>
    <w:basedOn w:val="Normal"/>
    <w:next w:val="Normal"/>
    <w:link w:val="Heading2Char"/>
    <w:uiPriority w:val="9"/>
    <w:semiHidden/>
    <w:unhideWhenUsed/>
    <w:qFormat/>
    <w:rsid w:val="0084422E"/>
    <w:pPr>
      <w:keepNext/>
      <w:keepLines/>
      <w:spacing w:before="200" w:after="100" w:afterAutospacing="1" w:line="360" w:lineRule="auto"/>
      <w:ind w:left="720"/>
      <w:outlineLvl w:val="1"/>
    </w:pPr>
    <w:rPr>
      <w:rFonts w:asciiTheme="majorHAnsi" w:eastAsiaTheme="majorEastAsia" w:hAnsiTheme="majorHAnsi" w:cstheme="majorBidi"/>
      <w:b/>
      <w:bCs/>
      <w:color w:val="4F81BD" w:themeColor="accent1"/>
      <w:sz w:val="26"/>
      <w:szCs w:val="26"/>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4422E"/>
    <w:rPr>
      <w:rFonts w:asciiTheme="majorHAnsi" w:eastAsiaTheme="majorEastAsia" w:hAnsiTheme="majorHAnsi" w:cstheme="majorBidi"/>
      <w:b/>
      <w:bCs/>
      <w:color w:val="4F81BD" w:themeColor="accent1"/>
      <w:sz w:val="26"/>
      <w:szCs w:val="26"/>
      <w:lang w:val="en-US" w:bidi="he-IL"/>
    </w:rPr>
  </w:style>
  <w:style w:type="character" w:styleId="Hyperlink">
    <w:name w:val="Hyperlink"/>
    <w:basedOn w:val="DefaultParagraphFont"/>
    <w:uiPriority w:val="99"/>
    <w:semiHidden/>
    <w:unhideWhenUsed/>
    <w:rsid w:val="0084422E"/>
    <w:rPr>
      <w:color w:val="0000FF" w:themeColor="hyperlink"/>
      <w:u w:val="single"/>
    </w:rPr>
  </w:style>
  <w:style w:type="paragraph" w:customStyle="1" w:styleId="Default">
    <w:name w:val="Default"/>
    <w:rsid w:val="0084422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84422E"/>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22E"/>
    <w:rPr>
      <w:lang w:val="en-US"/>
    </w:rPr>
  </w:style>
  <w:style w:type="paragraph" w:styleId="Heading2">
    <w:name w:val="heading 2"/>
    <w:basedOn w:val="Normal"/>
    <w:next w:val="Normal"/>
    <w:link w:val="Heading2Char"/>
    <w:uiPriority w:val="9"/>
    <w:semiHidden/>
    <w:unhideWhenUsed/>
    <w:qFormat/>
    <w:rsid w:val="0084422E"/>
    <w:pPr>
      <w:keepNext/>
      <w:keepLines/>
      <w:spacing w:before="200" w:after="100" w:afterAutospacing="1" w:line="360" w:lineRule="auto"/>
      <w:ind w:left="720"/>
      <w:outlineLvl w:val="1"/>
    </w:pPr>
    <w:rPr>
      <w:rFonts w:asciiTheme="majorHAnsi" w:eastAsiaTheme="majorEastAsia" w:hAnsiTheme="majorHAnsi" w:cstheme="majorBidi"/>
      <w:b/>
      <w:bCs/>
      <w:color w:val="4F81BD" w:themeColor="accent1"/>
      <w:sz w:val="26"/>
      <w:szCs w:val="26"/>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4422E"/>
    <w:rPr>
      <w:rFonts w:asciiTheme="majorHAnsi" w:eastAsiaTheme="majorEastAsia" w:hAnsiTheme="majorHAnsi" w:cstheme="majorBidi"/>
      <w:b/>
      <w:bCs/>
      <w:color w:val="4F81BD" w:themeColor="accent1"/>
      <w:sz w:val="26"/>
      <w:szCs w:val="26"/>
      <w:lang w:val="en-US" w:bidi="he-IL"/>
    </w:rPr>
  </w:style>
  <w:style w:type="character" w:styleId="Hyperlink">
    <w:name w:val="Hyperlink"/>
    <w:basedOn w:val="DefaultParagraphFont"/>
    <w:uiPriority w:val="99"/>
    <w:semiHidden/>
    <w:unhideWhenUsed/>
    <w:rsid w:val="0084422E"/>
    <w:rPr>
      <w:color w:val="0000FF" w:themeColor="hyperlink"/>
      <w:u w:val="single"/>
    </w:rPr>
  </w:style>
  <w:style w:type="paragraph" w:customStyle="1" w:styleId="Default">
    <w:name w:val="Default"/>
    <w:rsid w:val="0084422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84422E"/>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3182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SagarMhande\Downloads\Work%20Data\PRCH-D-20-01692R1\Maleinvolvementmanuscriptrevised.docx" TargetMode="External"/><Relationship Id="rId13" Type="http://schemas.openxmlformats.org/officeDocument/2006/relationships/hyperlink" Target="file:///C:\Users\SagarMhande\Downloads\Work%20Data\PRCH-D-20-01692R1\Maleinvolvementmanuscriptrevised.docx" TargetMode="External"/><Relationship Id="rId18" Type="http://schemas.openxmlformats.org/officeDocument/2006/relationships/hyperlink" Target="file:///C:\Users\SagarMhande\Downloads\Work%20Data\PRCH-D-20-01692R1\Maleinvolvementmanuscriptrevised.docx"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file:///C:\Users\SagarMhande\Downloads\Work%20Data\PRCH-D-20-01692R1\Maleinvolvementmanuscriptrevised.docx" TargetMode="External"/><Relationship Id="rId7" Type="http://schemas.openxmlformats.org/officeDocument/2006/relationships/hyperlink" Target="file:///C:\Users\SagarMhande\Downloads\Work%20Data\PRCH-D-20-01692R1\Maleinvolvementmanuscriptrevised.docx" TargetMode="External"/><Relationship Id="rId12" Type="http://schemas.openxmlformats.org/officeDocument/2006/relationships/hyperlink" Target="file:///C:\Users\SagarMhande\Downloads\Work%20Data\PRCH-D-20-01692R1\Maleinvolvementmanuscriptrevised.docx" TargetMode="External"/><Relationship Id="rId17" Type="http://schemas.openxmlformats.org/officeDocument/2006/relationships/hyperlink" Target="file:///C:\Users\SagarMhande\Downloads\Work%20Data\PRCH-D-20-01692R1\Maleinvolvementmanuscriptrevised.docx"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file:///C:\Users\SagarMhande\Downloads\Work%20Data\PRCH-D-20-01692R1\Maleinvolvementmanuscriptrevised.docx" TargetMode="External"/><Relationship Id="rId20" Type="http://schemas.openxmlformats.org/officeDocument/2006/relationships/hyperlink" Target="file:///C:\Users\SagarMhande\Downloads\Work%20Data\PRCH-D-20-01692R1\Maleinvolvementmanuscriptrevised.docx" TargetMode="External"/><Relationship Id="rId1" Type="http://schemas.openxmlformats.org/officeDocument/2006/relationships/styles" Target="styles.xml"/><Relationship Id="rId6" Type="http://schemas.openxmlformats.org/officeDocument/2006/relationships/hyperlink" Target="file:///C:\Users\SagarMhande\Downloads\Work%20Data\PRCH-D-20-01692R1\Maleinvolvementmanuscriptrevised.docx" TargetMode="External"/><Relationship Id="rId11" Type="http://schemas.openxmlformats.org/officeDocument/2006/relationships/hyperlink" Target="file:///C:\Users\SagarMhande\Downloads\Work%20Data\PRCH-D-20-01692R1\Maleinvolvementmanuscriptrevised.docx" TargetMode="External"/><Relationship Id="rId24" Type="http://schemas.openxmlformats.org/officeDocument/2006/relationships/hyperlink" Target="file:///C:\Users\SagarMhande\Downloads\Work%20Data\PRCH-D-20-01692R1\Maleinvolvementmanuscriptrevised.docx" TargetMode="External"/><Relationship Id="rId5" Type="http://schemas.openxmlformats.org/officeDocument/2006/relationships/hyperlink" Target="file:///C:\Users\SagarMhande\Downloads\Work%20Data\PRCH-D-20-01692R1\Maleinvolvementmanuscriptrevised.docx" TargetMode="External"/><Relationship Id="rId15" Type="http://schemas.openxmlformats.org/officeDocument/2006/relationships/hyperlink" Target="file:///C:\Users\SagarMhande\Downloads\Work%20Data\PRCH-D-20-01692R1\Maleinvolvementmanuscriptrevised.docx" TargetMode="External"/><Relationship Id="rId23" Type="http://schemas.openxmlformats.org/officeDocument/2006/relationships/hyperlink" Target="file:///C:\Users\SagarMhande\Downloads\Work%20Data\PRCH-D-20-01692R1\Maleinvolvementmanuscriptrevised.docx" TargetMode="External"/><Relationship Id="rId10" Type="http://schemas.openxmlformats.org/officeDocument/2006/relationships/hyperlink" Target="file:///C:\Users\SagarMhande\Downloads\Work%20Data\PRCH-D-20-01692R1\Maleinvolvementmanuscriptrevised.docx" TargetMode="External"/><Relationship Id="rId19" Type="http://schemas.openxmlformats.org/officeDocument/2006/relationships/hyperlink" Target="file:///C:\Users\SagarMhande\Downloads\Work%20Data\PRCH-D-20-01692R1\Maleinvolvementmanuscriptrevised.docx" TargetMode="External"/><Relationship Id="rId4" Type="http://schemas.openxmlformats.org/officeDocument/2006/relationships/webSettings" Target="webSettings.xml"/><Relationship Id="rId9" Type="http://schemas.openxmlformats.org/officeDocument/2006/relationships/hyperlink" Target="file:///C:\Users\SagarMhande\Downloads\Work%20Data\PRCH-D-20-01692R1\Maleinvolvementmanuscriptrevised.docx" TargetMode="External"/><Relationship Id="rId14" Type="http://schemas.openxmlformats.org/officeDocument/2006/relationships/hyperlink" Target="file:///C:\Users\SagarMhande\Downloads\Work%20Data\PRCH-D-20-01692R1\Maleinvolvementmanuscriptrevised.docx" TargetMode="External"/><Relationship Id="rId22" Type="http://schemas.openxmlformats.org/officeDocument/2006/relationships/hyperlink" Target="file:///C:\Users\SagarMhande\Downloads\Work%20Data\PRCH-D-20-01692R1\Maleinvolvementmanuscriptrevised.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5394</Words>
  <Characters>30752</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SagarMhande</dc:creator>
  <cp:lastModifiedBy>SagarMhande</cp:lastModifiedBy>
  <cp:revision>1</cp:revision>
  <dcterms:created xsi:type="dcterms:W3CDTF">2020-08-24T09:01:00Z</dcterms:created>
  <dcterms:modified xsi:type="dcterms:W3CDTF">2020-08-24T09:02:00Z</dcterms:modified>
</cp:coreProperties>
</file>