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158C2D" w14:textId="77777777" w:rsidR="00C84B67" w:rsidRPr="000D68FF" w:rsidRDefault="00C84B67" w:rsidP="00C84B67">
      <w:pPr>
        <w:pStyle w:val="Heading1"/>
        <w:ind w:left="566" w:firstLine="0"/>
        <w:rPr>
          <w:rFonts w:ascii="Times New Roman" w:hAnsi="Times New Roman" w:cs="Times New Roman"/>
          <w:sz w:val="32"/>
          <w:szCs w:val="32"/>
          <w:lang w:val="en-US"/>
        </w:rPr>
      </w:pPr>
      <w:r w:rsidRPr="000D68FF">
        <w:rPr>
          <w:rFonts w:ascii="Times New Roman" w:hAnsi="Times New Roman" w:cs="Times New Roman"/>
          <w:sz w:val="32"/>
          <w:szCs w:val="32"/>
          <w:lang w:val="en-US"/>
        </w:rPr>
        <w:t xml:space="preserve">Supplementary tables </w:t>
      </w:r>
    </w:p>
    <w:p w14:paraId="2BAF6AF9" w14:textId="77777777" w:rsidR="00C84B67" w:rsidRPr="000D68FF" w:rsidRDefault="00C84B67" w:rsidP="00C84B67">
      <w:pPr>
        <w:rPr>
          <w:lang w:val="en-US"/>
        </w:rPr>
      </w:pPr>
    </w:p>
    <w:p w14:paraId="03A79705" w14:textId="77777777" w:rsidR="00C84B67" w:rsidRPr="000D68FF" w:rsidRDefault="00C84B67" w:rsidP="00C84B67">
      <w:pPr>
        <w:pStyle w:val="Heading2"/>
        <w:numPr>
          <w:ilvl w:val="0"/>
          <w:numId w:val="0"/>
        </w:numPr>
        <w:ind w:left="566"/>
        <w:rPr>
          <w:lang w:val="en-US"/>
        </w:rPr>
      </w:pPr>
      <w:r w:rsidRPr="000D68FF">
        <w:rPr>
          <w:lang w:val="en-US"/>
        </w:rPr>
        <w:t>Primary outcome in the FaceYourFears trial. Analyses with adjustment for baseline imbalances</w:t>
      </w:r>
    </w:p>
    <w:tbl>
      <w:tblPr>
        <w:tblStyle w:val="GridTable6Colorful-Accent1"/>
        <w:tblW w:w="0" w:type="auto"/>
        <w:tblLook w:val="04A0" w:firstRow="1" w:lastRow="0" w:firstColumn="1" w:lastColumn="0" w:noHBand="0" w:noVBand="1"/>
      </w:tblPr>
      <w:tblGrid>
        <w:gridCol w:w="2496"/>
        <w:gridCol w:w="2035"/>
        <w:gridCol w:w="1981"/>
        <w:gridCol w:w="1558"/>
        <w:gridCol w:w="1558"/>
      </w:tblGrid>
      <w:tr w:rsidR="00C84B67" w:rsidRPr="000D68FF" w14:paraId="5109FF80" w14:textId="77777777" w:rsidTr="00665F1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28" w:type="dxa"/>
            <w:gridSpan w:val="5"/>
          </w:tcPr>
          <w:p w14:paraId="4F595602" w14:textId="77777777" w:rsidR="00C84B67" w:rsidRPr="000D68FF" w:rsidRDefault="00C84B67" w:rsidP="00665F1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36"/>
                <w:szCs w:val="36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36"/>
                <w:szCs w:val="36"/>
                <w:lang w:val="en-US"/>
              </w:rPr>
              <w:t>Primary outcome</w:t>
            </w:r>
          </w:p>
          <w:p w14:paraId="31457799" w14:textId="77777777" w:rsidR="00C84B67" w:rsidRPr="000D68FF" w:rsidRDefault="00C84B67" w:rsidP="00665F1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C84B67" w:rsidRPr="000D68FF" w14:paraId="2C6AAC78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079B9FF4" w14:textId="77777777" w:rsidR="00C84B67" w:rsidRPr="000D68FF" w:rsidRDefault="00C84B67" w:rsidP="00665F1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bookmarkStart w:id="0" w:name="_Hlk182577130"/>
          </w:p>
        </w:tc>
        <w:tc>
          <w:tcPr>
            <w:tcW w:w="2035" w:type="dxa"/>
          </w:tcPr>
          <w:p w14:paraId="78540DEF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VR-CBT mean (CI 95%)</w:t>
            </w:r>
          </w:p>
        </w:tc>
        <w:tc>
          <w:tcPr>
            <w:tcW w:w="1981" w:type="dxa"/>
          </w:tcPr>
          <w:p w14:paraId="4BA76FCD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Standard CBT mean (CI 95%)</w:t>
            </w:r>
          </w:p>
        </w:tc>
        <w:tc>
          <w:tcPr>
            <w:tcW w:w="1558" w:type="dxa"/>
          </w:tcPr>
          <w:p w14:paraId="7178ED8D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Adjusted mean difference (SE)</w:t>
            </w:r>
          </w:p>
        </w:tc>
        <w:tc>
          <w:tcPr>
            <w:tcW w:w="1558" w:type="dxa"/>
          </w:tcPr>
          <w:p w14:paraId="473E3182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95 % CI; </w:t>
            </w:r>
          </w:p>
          <w:p w14:paraId="37FE28A9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 value</w:t>
            </w:r>
          </w:p>
        </w:tc>
      </w:tr>
      <w:bookmarkEnd w:id="0"/>
      <w:tr w:rsidR="00C84B67" w:rsidRPr="000D68FF" w14:paraId="5BC0D787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13673F9A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GPTS – ideas of persecution </w:t>
            </w:r>
          </w:p>
          <w:p w14:paraId="7AFFBFC6" w14:textId="77777777" w:rsidR="00C84B67" w:rsidRPr="000D68FF" w:rsidRDefault="00C84B67" w:rsidP="00665F1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035" w:type="dxa"/>
          </w:tcPr>
          <w:p w14:paraId="406CFE0C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1" w:type="dxa"/>
          </w:tcPr>
          <w:p w14:paraId="305AFA96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2D4C195F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5B7612EC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530C4CEE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1019302F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Baseline</w:t>
            </w:r>
          </w:p>
        </w:tc>
        <w:tc>
          <w:tcPr>
            <w:tcW w:w="2035" w:type="dxa"/>
          </w:tcPr>
          <w:p w14:paraId="315A4242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41.1 (38.6-43.7) n=126</w:t>
            </w:r>
          </w:p>
        </w:tc>
        <w:tc>
          <w:tcPr>
            <w:tcW w:w="1981" w:type="dxa"/>
          </w:tcPr>
          <w:p w14:paraId="6EACA6E1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41.0 (38.2-43.9) n=128</w:t>
            </w:r>
          </w:p>
        </w:tc>
        <w:tc>
          <w:tcPr>
            <w:tcW w:w="1558" w:type="dxa"/>
          </w:tcPr>
          <w:p w14:paraId="708AFBD3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1EEBB1AF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645D6A70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19F035CF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Treatment cessation (3 months)</w:t>
            </w:r>
          </w:p>
        </w:tc>
        <w:tc>
          <w:tcPr>
            <w:tcW w:w="2035" w:type="dxa"/>
          </w:tcPr>
          <w:p w14:paraId="2F4CF688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29.8 (27.8-31.9)</w:t>
            </w:r>
          </w:p>
        </w:tc>
        <w:tc>
          <w:tcPr>
            <w:tcW w:w="1981" w:type="dxa"/>
          </w:tcPr>
          <w:p w14:paraId="369A78F4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30.7 (28.6-32.8)</w:t>
            </w:r>
          </w:p>
        </w:tc>
        <w:tc>
          <w:tcPr>
            <w:tcW w:w="1558" w:type="dxa"/>
          </w:tcPr>
          <w:p w14:paraId="5F1EEF4C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0.87 (1.52)</w:t>
            </w:r>
          </w:p>
        </w:tc>
        <w:tc>
          <w:tcPr>
            <w:tcW w:w="1558" w:type="dxa"/>
          </w:tcPr>
          <w:p w14:paraId="40CF1B77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(-2.13 to 3.87); 0.57</w:t>
            </w:r>
          </w:p>
        </w:tc>
      </w:tr>
    </w:tbl>
    <w:p w14:paraId="6EC92C17" w14:textId="77777777" w:rsidR="00C84B67" w:rsidRPr="000D68FF" w:rsidRDefault="00C84B67" w:rsidP="00C84B67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0D68FF">
        <w:rPr>
          <w:rFonts w:ascii="Times New Roman" w:hAnsi="Times New Roman" w:cs="Times New Roman"/>
          <w:sz w:val="20"/>
          <w:szCs w:val="20"/>
          <w:lang w:val="en-US"/>
        </w:rPr>
        <w:t>GPTS: Green Paranoid Thought Scale</w:t>
      </w:r>
    </w:p>
    <w:p w14:paraId="36AD73A7" w14:textId="77777777" w:rsidR="00C84B67" w:rsidRPr="000D68FF" w:rsidRDefault="00C84B67" w:rsidP="00C84B67">
      <w:pPr>
        <w:rPr>
          <w:rFonts w:ascii="Times New Roman" w:hAnsi="Times New Roman" w:cs="Times New Roman"/>
          <w:lang w:val="en-US"/>
        </w:rPr>
      </w:pPr>
    </w:p>
    <w:p w14:paraId="373AACE7" w14:textId="77777777" w:rsidR="00C84B67" w:rsidRPr="000D68FF" w:rsidRDefault="00C84B67" w:rsidP="00C84B67">
      <w:pPr>
        <w:pStyle w:val="Heading2"/>
        <w:numPr>
          <w:ilvl w:val="0"/>
          <w:numId w:val="0"/>
        </w:numPr>
        <w:ind w:left="566"/>
        <w:rPr>
          <w:lang w:val="en-US"/>
        </w:rPr>
      </w:pPr>
      <w:r w:rsidRPr="000D68FF">
        <w:rPr>
          <w:lang w:val="en-US"/>
        </w:rPr>
        <w:t>Secondary outcomes in the FaceYourFears trial. Analyses with adjustment for baseline imbalances</w:t>
      </w:r>
    </w:p>
    <w:tbl>
      <w:tblPr>
        <w:tblStyle w:val="GridTable6Colorful-Accent1"/>
        <w:tblW w:w="0" w:type="auto"/>
        <w:tblLook w:val="04A0" w:firstRow="1" w:lastRow="0" w:firstColumn="1" w:lastColumn="0" w:noHBand="0" w:noVBand="1"/>
      </w:tblPr>
      <w:tblGrid>
        <w:gridCol w:w="2496"/>
        <w:gridCol w:w="2035"/>
        <w:gridCol w:w="1981"/>
        <w:gridCol w:w="1558"/>
        <w:gridCol w:w="1558"/>
      </w:tblGrid>
      <w:tr w:rsidR="00C84B67" w:rsidRPr="000D68FF" w14:paraId="52CC9FBD" w14:textId="77777777" w:rsidTr="00665F1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28" w:type="dxa"/>
            <w:gridSpan w:val="5"/>
          </w:tcPr>
          <w:p w14:paraId="6107EE96" w14:textId="77777777" w:rsidR="00C84B67" w:rsidRPr="000D68FF" w:rsidRDefault="00C84B67" w:rsidP="00665F1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36"/>
                <w:szCs w:val="36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36"/>
                <w:szCs w:val="36"/>
                <w:lang w:val="en-US"/>
              </w:rPr>
              <w:t>Secondary outcomes</w:t>
            </w:r>
          </w:p>
          <w:p w14:paraId="0858D413" w14:textId="77777777" w:rsidR="00C84B67" w:rsidRPr="000D68FF" w:rsidRDefault="00C84B67" w:rsidP="00665F1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C84B67" w:rsidRPr="000D68FF" w14:paraId="1A536DC0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0F18F067" w14:textId="77777777" w:rsidR="00C84B67" w:rsidRPr="000D68FF" w:rsidRDefault="00C84B67" w:rsidP="00665F1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bookmarkStart w:id="1" w:name="_Hlk182577285"/>
          </w:p>
        </w:tc>
        <w:tc>
          <w:tcPr>
            <w:tcW w:w="2035" w:type="dxa"/>
          </w:tcPr>
          <w:p w14:paraId="4ACB519F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VR-CBT mean (CI 95%)</w:t>
            </w:r>
          </w:p>
        </w:tc>
        <w:tc>
          <w:tcPr>
            <w:tcW w:w="1981" w:type="dxa"/>
          </w:tcPr>
          <w:p w14:paraId="75070F0F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Standard CBT mean (CI 95%)</w:t>
            </w:r>
          </w:p>
        </w:tc>
        <w:tc>
          <w:tcPr>
            <w:tcW w:w="1558" w:type="dxa"/>
          </w:tcPr>
          <w:p w14:paraId="2AD9AB89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Adjusted mean difference (SE)</w:t>
            </w:r>
          </w:p>
        </w:tc>
        <w:tc>
          <w:tcPr>
            <w:tcW w:w="1558" w:type="dxa"/>
          </w:tcPr>
          <w:p w14:paraId="7B966E9F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95 % CI; </w:t>
            </w:r>
          </w:p>
          <w:p w14:paraId="551ED162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 value</w:t>
            </w:r>
          </w:p>
        </w:tc>
      </w:tr>
      <w:bookmarkEnd w:id="1"/>
      <w:tr w:rsidR="00C84B67" w:rsidRPr="000D68FF" w14:paraId="0101D2A4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0DA62DBA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GPTS – ideas of persecution</w:t>
            </w:r>
          </w:p>
          <w:p w14:paraId="3B34FD48" w14:textId="77777777" w:rsidR="00C84B67" w:rsidRPr="000D68FF" w:rsidRDefault="00C84B67" w:rsidP="00665F1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035" w:type="dxa"/>
          </w:tcPr>
          <w:p w14:paraId="7AE57C48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1" w:type="dxa"/>
          </w:tcPr>
          <w:p w14:paraId="50DDE126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6B13468B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5D86373C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0B6FF931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3DFA88E3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Follow-up (9 months)</w:t>
            </w:r>
          </w:p>
        </w:tc>
        <w:tc>
          <w:tcPr>
            <w:tcW w:w="2035" w:type="dxa"/>
          </w:tcPr>
          <w:p w14:paraId="4F6245DB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29.2 (26.7-31.6)</w:t>
            </w:r>
          </w:p>
        </w:tc>
        <w:tc>
          <w:tcPr>
            <w:tcW w:w="1981" w:type="dxa"/>
          </w:tcPr>
          <w:p w14:paraId="081EBC40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30.5 (27.7-33.2)</w:t>
            </w:r>
          </w:p>
        </w:tc>
        <w:tc>
          <w:tcPr>
            <w:tcW w:w="1558" w:type="dxa"/>
          </w:tcPr>
          <w:p w14:paraId="1E28A6FD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1.29 (1.94)</w:t>
            </w:r>
          </w:p>
        </w:tc>
        <w:tc>
          <w:tcPr>
            <w:tcW w:w="1558" w:type="dxa"/>
          </w:tcPr>
          <w:p w14:paraId="189AF32E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(-2.55 to 5.13); 0.51</w:t>
            </w:r>
          </w:p>
        </w:tc>
      </w:tr>
      <w:tr w:rsidR="00C84B67" w:rsidRPr="000D68FF" w14:paraId="3827499B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61B7793B" w14:textId="77777777" w:rsidR="00C84B67" w:rsidRPr="000D68FF" w:rsidRDefault="00C84B67" w:rsidP="00665F1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GPTS – ideas of social self-reference </w:t>
            </w:r>
          </w:p>
        </w:tc>
        <w:tc>
          <w:tcPr>
            <w:tcW w:w="2035" w:type="dxa"/>
          </w:tcPr>
          <w:p w14:paraId="56B2C19F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1" w:type="dxa"/>
          </w:tcPr>
          <w:p w14:paraId="22BACDE6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7379C1ED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211184FB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01AC1993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563F9088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Baseline</w:t>
            </w:r>
          </w:p>
        </w:tc>
        <w:tc>
          <w:tcPr>
            <w:tcW w:w="2035" w:type="dxa"/>
          </w:tcPr>
          <w:p w14:paraId="5F988759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44.0 (41.7-46.3)</w:t>
            </w:r>
          </w:p>
          <w:p w14:paraId="798D4848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n=126</w:t>
            </w:r>
          </w:p>
        </w:tc>
        <w:tc>
          <w:tcPr>
            <w:tcW w:w="1981" w:type="dxa"/>
          </w:tcPr>
          <w:p w14:paraId="3C1AE206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45.2 (43.0-47.4)</w:t>
            </w:r>
          </w:p>
          <w:p w14:paraId="6E5DE15C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n=128</w:t>
            </w:r>
          </w:p>
        </w:tc>
        <w:tc>
          <w:tcPr>
            <w:tcW w:w="1558" w:type="dxa"/>
          </w:tcPr>
          <w:p w14:paraId="229B76D1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4129F516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790435F4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425DC1F1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Treatment cessation (3 months)</w:t>
            </w:r>
          </w:p>
        </w:tc>
        <w:tc>
          <w:tcPr>
            <w:tcW w:w="2035" w:type="dxa"/>
          </w:tcPr>
          <w:p w14:paraId="21E61478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33.5 (31.7-35.4)</w:t>
            </w:r>
          </w:p>
        </w:tc>
        <w:tc>
          <w:tcPr>
            <w:tcW w:w="1981" w:type="dxa"/>
          </w:tcPr>
          <w:p w14:paraId="12AC08E0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34.1 (32.1-36.1)</w:t>
            </w:r>
          </w:p>
        </w:tc>
        <w:tc>
          <w:tcPr>
            <w:tcW w:w="1558" w:type="dxa"/>
          </w:tcPr>
          <w:p w14:paraId="6CDD4593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0.57 (1.38)</w:t>
            </w:r>
          </w:p>
        </w:tc>
        <w:tc>
          <w:tcPr>
            <w:tcW w:w="1558" w:type="dxa"/>
          </w:tcPr>
          <w:p w14:paraId="7FC30E30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(-2.16 to 3.30); 0.68</w:t>
            </w:r>
          </w:p>
        </w:tc>
      </w:tr>
      <w:tr w:rsidR="00C84B67" w:rsidRPr="000D68FF" w14:paraId="3946793C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3196CED9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Follow-up (9 months)</w:t>
            </w:r>
          </w:p>
        </w:tc>
        <w:tc>
          <w:tcPr>
            <w:tcW w:w="2035" w:type="dxa"/>
          </w:tcPr>
          <w:p w14:paraId="018A2265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32.8 (30.6-35.0)</w:t>
            </w:r>
          </w:p>
        </w:tc>
        <w:tc>
          <w:tcPr>
            <w:tcW w:w="1981" w:type="dxa"/>
          </w:tcPr>
          <w:p w14:paraId="2B561BB7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33.6 (31.3-36.0)</w:t>
            </w:r>
          </w:p>
        </w:tc>
        <w:tc>
          <w:tcPr>
            <w:tcW w:w="1558" w:type="dxa"/>
          </w:tcPr>
          <w:p w14:paraId="2171F69A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0.85 (1.71)</w:t>
            </w:r>
          </w:p>
        </w:tc>
        <w:tc>
          <w:tcPr>
            <w:tcW w:w="1558" w:type="dxa"/>
          </w:tcPr>
          <w:p w14:paraId="2C0E3CFD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(-2.52 to 4.23); 0.62</w:t>
            </w:r>
          </w:p>
        </w:tc>
      </w:tr>
      <w:tr w:rsidR="00C84B67" w:rsidRPr="000D68FF" w14:paraId="386061A9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5FA5C148" w14:textId="77777777" w:rsidR="00C84B67" w:rsidRPr="000D68FF" w:rsidRDefault="00C84B67" w:rsidP="00665F1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PSP</w:t>
            </w:r>
          </w:p>
        </w:tc>
        <w:tc>
          <w:tcPr>
            <w:tcW w:w="2035" w:type="dxa"/>
          </w:tcPr>
          <w:p w14:paraId="74F4DE70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1" w:type="dxa"/>
          </w:tcPr>
          <w:p w14:paraId="7106757B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1FD5E732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6C133836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2895F98E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648F558D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Baseline</w:t>
            </w:r>
          </w:p>
        </w:tc>
        <w:tc>
          <w:tcPr>
            <w:tcW w:w="2035" w:type="dxa"/>
          </w:tcPr>
          <w:p w14:paraId="69D1F529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42.7 (40.5-44.9)</w:t>
            </w:r>
          </w:p>
          <w:p w14:paraId="36B71829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n=126</w:t>
            </w:r>
          </w:p>
        </w:tc>
        <w:tc>
          <w:tcPr>
            <w:tcW w:w="1981" w:type="dxa"/>
          </w:tcPr>
          <w:p w14:paraId="2926B6CF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45.3 (43.0-47.5)</w:t>
            </w:r>
          </w:p>
          <w:p w14:paraId="4D3FFBD7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n=128</w:t>
            </w:r>
          </w:p>
        </w:tc>
        <w:tc>
          <w:tcPr>
            <w:tcW w:w="1558" w:type="dxa"/>
          </w:tcPr>
          <w:p w14:paraId="2AAD3C60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52F1FD79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07CC0AF5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1C9373F6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Treatment cessation (3 months)</w:t>
            </w:r>
          </w:p>
        </w:tc>
        <w:tc>
          <w:tcPr>
            <w:tcW w:w="2035" w:type="dxa"/>
          </w:tcPr>
          <w:p w14:paraId="5FD460C2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48.7 (47.4-50.0)</w:t>
            </w:r>
          </w:p>
        </w:tc>
        <w:tc>
          <w:tcPr>
            <w:tcW w:w="1981" w:type="dxa"/>
          </w:tcPr>
          <w:p w14:paraId="7190DBC0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49.1 (47.8-50.5)</w:t>
            </w:r>
          </w:p>
        </w:tc>
        <w:tc>
          <w:tcPr>
            <w:tcW w:w="1558" w:type="dxa"/>
          </w:tcPr>
          <w:p w14:paraId="5D4B3674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0.44 (0.97)</w:t>
            </w:r>
          </w:p>
        </w:tc>
        <w:tc>
          <w:tcPr>
            <w:tcW w:w="1558" w:type="dxa"/>
          </w:tcPr>
          <w:p w14:paraId="2974FAF3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(-1.48 to 2.36); 0.65</w:t>
            </w:r>
          </w:p>
        </w:tc>
      </w:tr>
      <w:tr w:rsidR="00C84B67" w:rsidRPr="000D68FF" w14:paraId="033BBA2A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39CD01D7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Follow-up (9 months)</w:t>
            </w:r>
          </w:p>
        </w:tc>
        <w:tc>
          <w:tcPr>
            <w:tcW w:w="2035" w:type="dxa"/>
          </w:tcPr>
          <w:p w14:paraId="08CC6EB9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50.5 (48.5-52.5)</w:t>
            </w:r>
          </w:p>
        </w:tc>
        <w:tc>
          <w:tcPr>
            <w:tcW w:w="1981" w:type="dxa"/>
          </w:tcPr>
          <w:p w14:paraId="25C06BFA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52.3 (49.9-54.7)</w:t>
            </w:r>
          </w:p>
        </w:tc>
        <w:tc>
          <w:tcPr>
            <w:tcW w:w="1558" w:type="dxa"/>
          </w:tcPr>
          <w:p w14:paraId="61FB1535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1.74 (1.64)</w:t>
            </w:r>
          </w:p>
        </w:tc>
        <w:tc>
          <w:tcPr>
            <w:tcW w:w="1558" w:type="dxa"/>
          </w:tcPr>
          <w:p w14:paraId="786985B7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(-1.50 to 4.98); 0.29</w:t>
            </w:r>
          </w:p>
        </w:tc>
      </w:tr>
      <w:tr w:rsidR="00C84B67" w:rsidRPr="000D68FF" w14:paraId="6266BC54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25619A54" w14:textId="77777777" w:rsidR="00C84B67" w:rsidRPr="000D68FF" w:rsidRDefault="00C84B67" w:rsidP="00665F1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SBQ total</w:t>
            </w:r>
          </w:p>
        </w:tc>
        <w:tc>
          <w:tcPr>
            <w:tcW w:w="2035" w:type="dxa"/>
          </w:tcPr>
          <w:p w14:paraId="2C6A3D6B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1" w:type="dxa"/>
          </w:tcPr>
          <w:p w14:paraId="02C3057F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0EB68187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0A93C7DA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72EC1D41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1A53BCF5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Baseline</w:t>
            </w:r>
          </w:p>
        </w:tc>
        <w:tc>
          <w:tcPr>
            <w:tcW w:w="2035" w:type="dxa"/>
          </w:tcPr>
          <w:p w14:paraId="1984BFB3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55.1 (51.0-59.2)</w:t>
            </w:r>
          </w:p>
          <w:p w14:paraId="14BAEE74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n=126</w:t>
            </w:r>
          </w:p>
        </w:tc>
        <w:tc>
          <w:tcPr>
            <w:tcW w:w="1981" w:type="dxa"/>
          </w:tcPr>
          <w:p w14:paraId="625A82FF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54.2 (50.0-58.4)</w:t>
            </w:r>
          </w:p>
          <w:p w14:paraId="45606CF1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n=128</w:t>
            </w:r>
          </w:p>
        </w:tc>
        <w:tc>
          <w:tcPr>
            <w:tcW w:w="1558" w:type="dxa"/>
          </w:tcPr>
          <w:p w14:paraId="1F404081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7EF75E5D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453A3816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672B3009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lastRenderedPageBreak/>
              <w:t>Treatment cessation (3 months)</w:t>
            </w:r>
          </w:p>
        </w:tc>
        <w:tc>
          <w:tcPr>
            <w:tcW w:w="2035" w:type="dxa"/>
          </w:tcPr>
          <w:p w14:paraId="7EDEB8FC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36.7 (34.0-39.3)</w:t>
            </w:r>
          </w:p>
        </w:tc>
        <w:tc>
          <w:tcPr>
            <w:tcW w:w="1981" w:type="dxa"/>
          </w:tcPr>
          <w:p w14:paraId="416B9515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38.3 (35.4-41.2)</w:t>
            </w:r>
          </w:p>
        </w:tc>
        <w:tc>
          <w:tcPr>
            <w:tcW w:w="1558" w:type="dxa"/>
          </w:tcPr>
          <w:p w14:paraId="57431215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1.63 (2.06)</w:t>
            </w:r>
          </w:p>
        </w:tc>
        <w:tc>
          <w:tcPr>
            <w:tcW w:w="1558" w:type="dxa"/>
          </w:tcPr>
          <w:p w14:paraId="43198619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(-2.43 to 5.70); 0.43</w:t>
            </w:r>
          </w:p>
        </w:tc>
      </w:tr>
      <w:tr w:rsidR="00C84B67" w:rsidRPr="000D68FF" w14:paraId="5B3FEA7D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65867703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Follow-up (9 months)</w:t>
            </w:r>
          </w:p>
        </w:tc>
        <w:tc>
          <w:tcPr>
            <w:tcW w:w="2035" w:type="dxa"/>
          </w:tcPr>
          <w:p w14:paraId="729091D1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34.9 (31.3-38.4)</w:t>
            </w:r>
          </w:p>
        </w:tc>
        <w:tc>
          <w:tcPr>
            <w:tcW w:w="1981" w:type="dxa"/>
          </w:tcPr>
          <w:p w14:paraId="2F36F610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33.8 (29.4-38.1)</w:t>
            </w:r>
          </w:p>
        </w:tc>
        <w:tc>
          <w:tcPr>
            <w:tcW w:w="1558" w:type="dxa"/>
          </w:tcPr>
          <w:p w14:paraId="6A8A9675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-1.09 (2.86)</w:t>
            </w:r>
          </w:p>
        </w:tc>
        <w:tc>
          <w:tcPr>
            <w:tcW w:w="1558" w:type="dxa"/>
          </w:tcPr>
          <w:p w14:paraId="61BAEDC1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(-6.74 to 4.55); 0.70</w:t>
            </w:r>
          </w:p>
        </w:tc>
      </w:tr>
      <w:tr w:rsidR="00C84B67" w:rsidRPr="000D68FF" w14:paraId="4975A5DC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3E13B466" w14:textId="77777777" w:rsidR="00C84B67" w:rsidRPr="000D68FF" w:rsidRDefault="00C84B67" w:rsidP="00665F1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SBQ sub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score avoidance</w:t>
            </w:r>
          </w:p>
        </w:tc>
        <w:tc>
          <w:tcPr>
            <w:tcW w:w="2035" w:type="dxa"/>
          </w:tcPr>
          <w:p w14:paraId="14FC719E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1" w:type="dxa"/>
          </w:tcPr>
          <w:p w14:paraId="339F7598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076F0EBB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4A94CC7D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56B4CC67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4168C994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Baseline</w:t>
            </w:r>
          </w:p>
        </w:tc>
        <w:tc>
          <w:tcPr>
            <w:tcW w:w="2035" w:type="dxa"/>
          </w:tcPr>
          <w:p w14:paraId="6C0A18BE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38.9 (37.1-40.8) </w:t>
            </w:r>
          </w:p>
          <w:p w14:paraId="5A641307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n=126</w:t>
            </w:r>
          </w:p>
        </w:tc>
        <w:tc>
          <w:tcPr>
            <w:tcW w:w="1981" w:type="dxa"/>
          </w:tcPr>
          <w:p w14:paraId="4C3AE3DC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38.3 (36.4-40.2)</w:t>
            </w:r>
          </w:p>
          <w:p w14:paraId="0A44537B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n=128</w:t>
            </w:r>
          </w:p>
        </w:tc>
        <w:tc>
          <w:tcPr>
            <w:tcW w:w="1558" w:type="dxa"/>
          </w:tcPr>
          <w:p w14:paraId="7A434004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00FBCB59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4D119DA0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711278A9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Treatment cessation (3 months)</w:t>
            </w:r>
          </w:p>
        </w:tc>
        <w:tc>
          <w:tcPr>
            <w:tcW w:w="2035" w:type="dxa"/>
          </w:tcPr>
          <w:p w14:paraId="6CABF09D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9.8 (8.5-11.1)</w:t>
            </w:r>
          </w:p>
        </w:tc>
        <w:tc>
          <w:tcPr>
            <w:tcW w:w="1981" w:type="dxa"/>
          </w:tcPr>
          <w:p w14:paraId="1B3AB5BE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9.8 (8.4-11.2)</w:t>
            </w:r>
          </w:p>
        </w:tc>
        <w:tc>
          <w:tcPr>
            <w:tcW w:w="1558" w:type="dxa"/>
          </w:tcPr>
          <w:p w14:paraId="365AF37F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 (0.98)</w:t>
            </w:r>
          </w:p>
        </w:tc>
        <w:tc>
          <w:tcPr>
            <w:tcW w:w="1558" w:type="dxa"/>
          </w:tcPr>
          <w:p w14:paraId="5A3C0ED3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(-1.92-1.96); 0.98  </w:t>
            </w:r>
          </w:p>
        </w:tc>
      </w:tr>
      <w:tr w:rsidR="00C84B67" w:rsidRPr="000D68FF" w14:paraId="042608C2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37D8EF53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Follow-up (9 months)</w:t>
            </w:r>
          </w:p>
        </w:tc>
        <w:tc>
          <w:tcPr>
            <w:tcW w:w="2035" w:type="dxa"/>
          </w:tcPr>
          <w:p w14:paraId="186201B8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9.8 (8.1-11.6)</w:t>
            </w:r>
          </w:p>
        </w:tc>
        <w:tc>
          <w:tcPr>
            <w:tcW w:w="1981" w:type="dxa"/>
          </w:tcPr>
          <w:p w14:paraId="02E8BD06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9.7 (8.1-11.6)</w:t>
            </w:r>
          </w:p>
        </w:tc>
        <w:tc>
          <w:tcPr>
            <w:tcW w:w="1558" w:type="dxa"/>
          </w:tcPr>
          <w:p w14:paraId="35A8461A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-0.11 (1.40)</w:t>
            </w:r>
          </w:p>
        </w:tc>
        <w:tc>
          <w:tcPr>
            <w:tcW w:w="1558" w:type="dxa"/>
          </w:tcPr>
          <w:p w14:paraId="139632C2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(-2.89 to 2.67); 0.93</w:t>
            </w:r>
          </w:p>
        </w:tc>
      </w:tr>
      <w:tr w:rsidR="00C84B67" w:rsidRPr="000D68FF" w14:paraId="04AA0E2D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422AAA81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bookmarkStart w:id="2" w:name="_Hlk178250931"/>
            <w:bookmarkStart w:id="3" w:name="_Hlk178250945"/>
            <w:bookmarkStart w:id="4" w:name="_Hlk178251098"/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ERT latency overall</w:t>
            </w:r>
          </w:p>
          <w:p w14:paraId="79DC0142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</w:p>
        </w:tc>
        <w:tc>
          <w:tcPr>
            <w:tcW w:w="2035" w:type="dxa"/>
          </w:tcPr>
          <w:p w14:paraId="08293E7C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1" w:type="dxa"/>
          </w:tcPr>
          <w:p w14:paraId="314ED81D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38C5ABCC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125C9418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02A762DA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0AEE8355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Baseline</w:t>
            </w:r>
          </w:p>
        </w:tc>
        <w:tc>
          <w:tcPr>
            <w:tcW w:w="2035" w:type="dxa"/>
          </w:tcPr>
          <w:p w14:paraId="7B310315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3219 (2833-3604)</w:t>
            </w:r>
          </w:p>
        </w:tc>
        <w:tc>
          <w:tcPr>
            <w:tcW w:w="1981" w:type="dxa"/>
          </w:tcPr>
          <w:p w14:paraId="2250271B" w14:textId="77777777" w:rsidR="00C84B67" w:rsidRPr="000D68FF" w:rsidRDefault="00C84B67" w:rsidP="00665F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2882 (2568-3196)</w:t>
            </w:r>
          </w:p>
        </w:tc>
        <w:tc>
          <w:tcPr>
            <w:tcW w:w="1558" w:type="dxa"/>
          </w:tcPr>
          <w:p w14:paraId="77F8EEA1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23E77CB1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197B5CE7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6A8802C9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Treatment cessation (3 months)</w:t>
            </w:r>
          </w:p>
        </w:tc>
        <w:tc>
          <w:tcPr>
            <w:tcW w:w="2035" w:type="dxa"/>
          </w:tcPr>
          <w:p w14:paraId="7EDFBEB2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2310 (2105-2514)</w:t>
            </w:r>
          </w:p>
        </w:tc>
        <w:tc>
          <w:tcPr>
            <w:tcW w:w="1981" w:type="dxa"/>
          </w:tcPr>
          <w:p w14:paraId="68A3B629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2509 (2290-2728)</w:t>
            </w:r>
          </w:p>
        </w:tc>
        <w:tc>
          <w:tcPr>
            <w:tcW w:w="1558" w:type="dxa"/>
          </w:tcPr>
          <w:p w14:paraId="6B903AB4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199.7 (153.8)</w:t>
            </w:r>
          </w:p>
        </w:tc>
        <w:tc>
          <w:tcPr>
            <w:tcW w:w="1558" w:type="dxa"/>
          </w:tcPr>
          <w:p w14:paraId="1728F63E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(-103.8 to 503.2); 0.20</w:t>
            </w:r>
          </w:p>
        </w:tc>
      </w:tr>
      <w:tr w:rsidR="00C84B67" w:rsidRPr="000D68FF" w14:paraId="74980619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2CA7BC1F" w14:textId="77777777" w:rsidR="00C84B67" w:rsidRPr="000D68FF" w:rsidRDefault="00C84B67" w:rsidP="00665F1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Follow-up (9 months)</w:t>
            </w:r>
          </w:p>
        </w:tc>
        <w:tc>
          <w:tcPr>
            <w:tcW w:w="2035" w:type="dxa"/>
          </w:tcPr>
          <w:p w14:paraId="39E8BF90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2350 (2079-2620)</w:t>
            </w:r>
          </w:p>
        </w:tc>
        <w:tc>
          <w:tcPr>
            <w:tcW w:w="1981" w:type="dxa"/>
          </w:tcPr>
          <w:p w14:paraId="3109CA09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1984 (1756-2213)</w:t>
            </w:r>
          </w:p>
        </w:tc>
        <w:tc>
          <w:tcPr>
            <w:tcW w:w="1558" w:type="dxa"/>
          </w:tcPr>
          <w:p w14:paraId="5F988320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-365.4 (181.3)</w:t>
            </w:r>
          </w:p>
        </w:tc>
        <w:tc>
          <w:tcPr>
            <w:tcW w:w="1558" w:type="dxa"/>
          </w:tcPr>
          <w:p w14:paraId="78EB43E1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(-724.1 to -6.7); 0.046</w:t>
            </w:r>
          </w:p>
        </w:tc>
      </w:tr>
      <w:tr w:rsidR="00C84B67" w:rsidRPr="000D68FF" w14:paraId="010D7E5B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072ED490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ERT latency happiness</w:t>
            </w:r>
          </w:p>
          <w:p w14:paraId="2A9D45F2" w14:textId="77777777" w:rsidR="00C84B67" w:rsidRPr="000D68FF" w:rsidRDefault="00C84B67" w:rsidP="00665F1F">
            <w:pPr>
              <w:pStyle w:val="Default"/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</w:p>
        </w:tc>
        <w:tc>
          <w:tcPr>
            <w:tcW w:w="2035" w:type="dxa"/>
          </w:tcPr>
          <w:p w14:paraId="6E912024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1" w:type="dxa"/>
          </w:tcPr>
          <w:p w14:paraId="508AED01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7CB316CD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7D7EB5B3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35E0C70A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7DB512F1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Baseline</w:t>
            </w:r>
          </w:p>
        </w:tc>
        <w:tc>
          <w:tcPr>
            <w:tcW w:w="2035" w:type="dxa"/>
          </w:tcPr>
          <w:p w14:paraId="26A49600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1170 (1073-1267)</w:t>
            </w:r>
          </w:p>
        </w:tc>
        <w:tc>
          <w:tcPr>
            <w:tcW w:w="1981" w:type="dxa"/>
          </w:tcPr>
          <w:p w14:paraId="131B32FA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1077 (1027-1127)</w:t>
            </w:r>
          </w:p>
        </w:tc>
        <w:tc>
          <w:tcPr>
            <w:tcW w:w="1558" w:type="dxa"/>
          </w:tcPr>
          <w:p w14:paraId="157F6469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533BBD7A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5AAFE6D4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0B409CAF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Treatment cessation (3 months)</w:t>
            </w:r>
          </w:p>
        </w:tc>
        <w:tc>
          <w:tcPr>
            <w:tcW w:w="2035" w:type="dxa"/>
          </w:tcPr>
          <w:p w14:paraId="48C79514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1010 (945-1074)</w:t>
            </w:r>
          </w:p>
        </w:tc>
        <w:tc>
          <w:tcPr>
            <w:tcW w:w="1981" w:type="dxa"/>
          </w:tcPr>
          <w:p w14:paraId="2BAF0040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1008 (942-1074)</w:t>
            </w:r>
          </w:p>
        </w:tc>
        <w:tc>
          <w:tcPr>
            <w:tcW w:w="1558" w:type="dxa"/>
          </w:tcPr>
          <w:p w14:paraId="73A964DF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-1.60 (47.4)</w:t>
            </w:r>
          </w:p>
        </w:tc>
        <w:tc>
          <w:tcPr>
            <w:tcW w:w="1558" w:type="dxa"/>
          </w:tcPr>
          <w:p w14:paraId="448FC61C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(-95.19 to 91.99); 0.97</w:t>
            </w:r>
          </w:p>
        </w:tc>
      </w:tr>
      <w:tr w:rsidR="00C84B67" w:rsidRPr="000D68FF" w14:paraId="34F69ADF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293737DF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Follow-up (9 months)</w:t>
            </w:r>
          </w:p>
        </w:tc>
        <w:tc>
          <w:tcPr>
            <w:tcW w:w="2035" w:type="dxa"/>
          </w:tcPr>
          <w:p w14:paraId="46672C38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1053 (974-1132)</w:t>
            </w:r>
          </w:p>
        </w:tc>
        <w:tc>
          <w:tcPr>
            <w:tcW w:w="1981" w:type="dxa"/>
          </w:tcPr>
          <w:p w14:paraId="7F1841BF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1005 (922-1088)</w:t>
            </w:r>
          </w:p>
        </w:tc>
        <w:tc>
          <w:tcPr>
            <w:tcW w:w="1558" w:type="dxa"/>
          </w:tcPr>
          <w:p w14:paraId="609F41AF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-48.4 (60.6)</w:t>
            </w:r>
          </w:p>
        </w:tc>
        <w:tc>
          <w:tcPr>
            <w:tcW w:w="1558" w:type="dxa"/>
          </w:tcPr>
          <w:p w14:paraId="58A7B5CF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(-168.3 to 71.5); 0.43</w:t>
            </w:r>
          </w:p>
        </w:tc>
      </w:tr>
      <w:bookmarkEnd w:id="2"/>
      <w:tr w:rsidR="00C84B67" w:rsidRPr="000D68FF" w14:paraId="3154C889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73A01A3A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ERT latency sadness</w:t>
            </w:r>
          </w:p>
          <w:p w14:paraId="601B0C45" w14:textId="77777777" w:rsidR="00C84B67" w:rsidRPr="000D68FF" w:rsidRDefault="00C84B67" w:rsidP="00665F1F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</w:p>
        </w:tc>
        <w:tc>
          <w:tcPr>
            <w:tcW w:w="2035" w:type="dxa"/>
          </w:tcPr>
          <w:p w14:paraId="08B28DCF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1" w:type="dxa"/>
          </w:tcPr>
          <w:p w14:paraId="44F6F067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50716DB8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2A8AFE91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41C77A11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1C9DEAAA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Baseline</w:t>
            </w:r>
          </w:p>
        </w:tc>
        <w:tc>
          <w:tcPr>
            <w:tcW w:w="2035" w:type="dxa"/>
          </w:tcPr>
          <w:p w14:paraId="71404CC1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2117 (1870-2363)</w:t>
            </w:r>
          </w:p>
        </w:tc>
        <w:tc>
          <w:tcPr>
            <w:tcW w:w="1981" w:type="dxa"/>
          </w:tcPr>
          <w:p w14:paraId="4ACD6F84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1978 (1832-2123)</w:t>
            </w:r>
          </w:p>
        </w:tc>
        <w:tc>
          <w:tcPr>
            <w:tcW w:w="1558" w:type="dxa"/>
          </w:tcPr>
          <w:p w14:paraId="463BE7E8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033C77AB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7455E125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1CA2B8B2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Treatment cessation (3 months)</w:t>
            </w:r>
          </w:p>
        </w:tc>
        <w:tc>
          <w:tcPr>
            <w:tcW w:w="2035" w:type="dxa"/>
          </w:tcPr>
          <w:p w14:paraId="299438F7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1748 (1636-1860)</w:t>
            </w:r>
          </w:p>
        </w:tc>
        <w:tc>
          <w:tcPr>
            <w:tcW w:w="1981" w:type="dxa"/>
          </w:tcPr>
          <w:p w14:paraId="365A2D54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1681 (1568-1794)</w:t>
            </w:r>
          </w:p>
        </w:tc>
        <w:tc>
          <w:tcPr>
            <w:tcW w:w="1558" w:type="dxa"/>
          </w:tcPr>
          <w:p w14:paraId="3C89C1F0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-66.6 (81.2)</w:t>
            </w:r>
          </w:p>
        </w:tc>
        <w:tc>
          <w:tcPr>
            <w:tcW w:w="1558" w:type="dxa"/>
          </w:tcPr>
          <w:p w14:paraId="0BE1E68A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(-226.9 to 93.6); 0.41</w:t>
            </w:r>
          </w:p>
        </w:tc>
      </w:tr>
      <w:tr w:rsidR="00C84B67" w:rsidRPr="000D68FF" w14:paraId="62EE2830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1DAB3E4E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Follow-up (9 months)</w:t>
            </w:r>
          </w:p>
        </w:tc>
        <w:tc>
          <w:tcPr>
            <w:tcW w:w="2035" w:type="dxa"/>
          </w:tcPr>
          <w:p w14:paraId="4D820589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18001 (1611-1991)</w:t>
            </w:r>
          </w:p>
        </w:tc>
        <w:tc>
          <w:tcPr>
            <w:tcW w:w="1981" w:type="dxa"/>
          </w:tcPr>
          <w:p w14:paraId="101B3263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1587 (1403-1771)</w:t>
            </w:r>
          </w:p>
        </w:tc>
        <w:tc>
          <w:tcPr>
            <w:tcW w:w="1558" w:type="dxa"/>
          </w:tcPr>
          <w:p w14:paraId="7E68BCBA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-213.9 (137.7)</w:t>
            </w:r>
          </w:p>
        </w:tc>
        <w:tc>
          <w:tcPr>
            <w:tcW w:w="1558" w:type="dxa"/>
          </w:tcPr>
          <w:p w14:paraId="131D37B0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(-486.3 to 58.6); 0.12</w:t>
            </w:r>
          </w:p>
        </w:tc>
      </w:tr>
      <w:tr w:rsidR="00C84B67" w:rsidRPr="000D68FF" w14:paraId="79FA6FA5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65889DB1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ERT latency fear</w:t>
            </w:r>
          </w:p>
          <w:p w14:paraId="45166A7D" w14:textId="77777777" w:rsidR="00C84B67" w:rsidRPr="000D68FF" w:rsidRDefault="00C84B67" w:rsidP="00665F1F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</w:p>
        </w:tc>
        <w:tc>
          <w:tcPr>
            <w:tcW w:w="2035" w:type="dxa"/>
          </w:tcPr>
          <w:p w14:paraId="0800196D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1" w:type="dxa"/>
          </w:tcPr>
          <w:p w14:paraId="06DC202D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45CB0CF4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19BCC5BC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403080A2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179A0F8B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Baseline</w:t>
            </w:r>
          </w:p>
        </w:tc>
        <w:tc>
          <w:tcPr>
            <w:tcW w:w="2035" w:type="dxa"/>
          </w:tcPr>
          <w:p w14:paraId="0C53120E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2120 (1880-2360)</w:t>
            </w:r>
          </w:p>
        </w:tc>
        <w:tc>
          <w:tcPr>
            <w:tcW w:w="1981" w:type="dxa"/>
          </w:tcPr>
          <w:p w14:paraId="69E84C4B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2104 (1898-2309)</w:t>
            </w:r>
          </w:p>
        </w:tc>
        <w:tc>
          <w:tcPr>
            <w:tcW w:w="1558" w:type="dxa"/>
          </w:tcPr>
          <w:p w14:paraId="0FC3D5B5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66EA28EA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5B85ABDB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1FC3A8B6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Treatment cessation (3 months)</w:t>
            </w:r>
          </w:p>
        </w:tc>
        <w:tc>
          <w:tcPr>
            <w:tcW w:w="2035" w:type="dxa"/>
          </w:tcPr>
          <w:p w14:paraId="302C0A23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1861 (1722-1999)</w:t>
            </w:r>
          </w:p>
        </w:tc>
        <w:tc>
          <w:tcPr>
            <w:tcW w:w="1981" w:type="dxa"/>
          </w:tcPr>
          <w:p w14:paraId="248DA726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1836 (1682-1991)</w:t>
            </w:r>
          </w:p>
        </w:tc>
        <w:tc>
          <w:tcPr>
            <w:tcW w:w="1558" w:type="dxa"/>
          </w:tcPr>
          <w:p w14:paraId="69522CC0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-24.2 (107.4)</w:t>
            </w:r>
          </w:p>
        </w:tc>
        <w:tc>
          <w:tcPr>
            <w:tcW w:w="1558" w:type="dxa"/>
          </w:tcPr>
          <w:p w14:paraId="108BBAB0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(-236.1 to 187.8); 0.82</w:t>
            </w:r>
          </w:p>
        </w:tc>
      </w:tr>
      <w:tr w:rsidR="00C84B67" w:rsidRPr="000D68FF" w14:paraId="7353BCC0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321EDA0F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Follow-up (9 months)</w:t>
            </w:r>
          </w:p>
        </w:tc>
        <w:tc>
          <w:tcPr>
            <w:tcW w:w="2035" w:type="dxa"/>
          </w:tcPr>
          <w:p w14:paraId="64A041B2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1691 (1543-1838)</w:t>
            </w:r>
          </w:p>
        </w:tc>
        <w:tc>
          <w:tcPr>
            <w:tcW w:w="1981" w:type="dxa"/>
          </w:tcPr>
          <w:p w14:paraId="7305381B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1638 (1488-1788)</w:t>
            </w:r>
          </w:p>
        </w:tc>
        <w:tc>
          <w:tcPr>
            <w:tcW w:w="1558" w:type="dxa"/>
          </w:tcPr>
          <w:p w14:paraId="2A4659F9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-53.2 (109.7)</w:t>
            </w:r>
          </w:p>
        </w:tc>
        <w:tc>
          <w:tcPr>
            <w:tcW w:w="1558" w:type="dxa"/>
          </w:tcPr>
          <w:p w14:paraId="67F66A2A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(-270.3 to 163.9); 0.63</w:t>
            </w:r>
          </w:p>
        </w:tc>
      </w:tr>
      <w:bookmarkEnd w:id="3"/>
      <w:tr w:rsidR="00C84B67" w:rsidRPr="000D68FF" w14:paraId="3996EA82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6E7CF660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ERT latency anger</w:t>
            </w:r>
          </w:p>
          <w:p w14:paraId="4B04BEFB" w14:textId="77777777" w:rsidR="00C84B67" w:rsidRPr="000D68FF" w:rsidRDefault="00C84B67" w:rsidP="00665F1F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</w:p>
        </w:tc>
        <w:tc>
          <w:tcPr>
            <w:tcW w:w="2035" w:type="dxa"/>
          </w:tcPr>
          <w:p w14:paraId="101F71A3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1" w:type="dxa"/>
          </w:tcPr>
          <w:p w14:paraId="21573483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29864535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1F19BDE6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0DE02576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6DAF61C7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Baseline</w:t>
            </w:r>
          </w:p>
        </w:tc>
        <w:tc>
          <w:tcPr>
            <w:tcW w:w="2035" w:type="dxa"/>
          </w:tcPr>
          <w:p w14:paraId="7C47065A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1452 (1312-1592)</w:t>
            </w:r>
          </w:p>
        </w:tc>
        <w:tc>
          <w:tcPr>
            <w:tcW w:w="1981" w:type="dxa"/>
          </w:tcPr>
          <w:p w14:paraId="4BCB9CA9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1355 (1266-1443)</w:t>
            </w:r>
          </w:p>
        </w:tc>
        <w:tc>
          <w:tcPr>
            <w:tcW w:w="1558" w:type="dxa"/>
          </w:tcPr>
          <w:p w14:paraId="5D45E3DF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5D43D21A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4539348B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6B09D690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Treatment cessation (3 months)</w:t>
            </w:r>
          </w:p>
        </w:tc>
        <w:tc>
          <w:tcPr>
            <w:tcW w:w="2035" w:type="dxa"/>
          </w:tcPr>
          <w:p w14:paraId="73794314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1311 (1224-1397)</w:t>
            </w:r>
          </w:p>
        </w:tc>
        <w:tc>
          <w:tcPr>
            <w:tcW w:w="1981" w:type="dxa"/>
          </w:tcPr>
          <w:p w14:paraId="0E0F3E58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1220 (1128-1311)</w:t>
            </w:r>
          </w:p>
        </w:tc>
        <w:tc>
          <w:tcPr>
            <w:tcW w:w="1558" w:type="dxa"/>
          </w:tcPr>
          <w:p w14:paraId="79D774FB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-90.8 (64.6)</w:t>
            </w:r>
          </w:p>
        </w:tc>
        <w:tc>
          <w:tcPr>
            <w:tcW w:w="1558" w:type="dxa"/>
          </w:tcPr>
          <w:p w14:paraId="59AFB82B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(-218.3 to 36.7); 0.16</w:t>
            </w:r>
          </w:p>
        </w:tc>
      </w:tr>
      <w:tr w:rsidR="00C84B67" w:rsidRPr="000D68FF" w14:paraId="6E0081FC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3EA19A0E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Follow-up (9 months)</w:t>
            </w:r>
          </w:p>
        </w:tc>
        <w:tc>
          <w:tcPr>
            <w:tcW w:w="2035" w:type="dxa"/>
          </w:tcPr>
          <w:p w14:paraId="589FD198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1330 (1219-1441)</w:t>
            </w:r>
          </w:p>
        </w:tc>
        <w:tc>
          <w:tcPr>
            <w:tcW w:w="1981" w:type="dxa"/>
          </w:tcPr>
          <w:p w14:paraId="06388B24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1215 (1097-1332)</w:t>
            </w:r>
          </w:p>
        </w:tc>
        <w:tc>
          <w:tcPr>
            <w:tcW w:w="1558" w:type="dxa"/>
          </w:tcPr>
          <w:p w14:paraId="423E8C2A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-115.5 (84.0)</w:t>
            </w:r>
          </w:p>
        </w:tc>
        <w:tc>
          <w:tcPr>
            <w:tcW w:w="1558" w:type="dxa"/>
          </w:tcPr>
          <w:p w14:paraId="749407EA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(-281.6 to 50.6); 0.17</w:t>
            </w:r>
          </w:p>
        </w:tc>
      </w:tr>
      <w:tr w:rsidR="00C84B67" w:rsidRPr="000D68FF" w14:paraId="753E3FCF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248782A1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ERT latency surprise</w:t>
            </w:r>
          </w:p>
          <w:p w14:paraId="7DAB2B7B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</w:p>
        </w:tc>
        <w:tc>
          <w:tcPr>
            <w:tcW w:w="2035" w:type="dxa"/>
          </w:tcPr>
          <w:p w14:paraId="2AB01B73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1" w:type="dxa"/>
          </w:tcPr>
          <w:p w14:paraId="4119D7BB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1775E951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21848DBD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447CA7E9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7022D238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Baseline</w:t>
            </w:r>
          </w:p>
        </w:tc>
        <w:tc>
          <w:tcPr>
            <w:tcW w:w="2035" w:type="dxa"/>
          </w:tcPr>
          <w:p w14:paraId="02E7AF73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1336.1 (1203.0-1449.2)</w:t>
            </w:r>
          </w:p>
        </w:tc>
        <w:tc>
          <w:tcPr>
            <w:tcW w:w="1981" w:type="dxa"/>
          </w:tcPr>
          <w:p w14:paraId="0D42810F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1222.8 (1140.2-1305.3)</w:t>
            </w:r>
          </w:p>
        </w:tc>
        <w:tc>
          <w:tcPr>
            <w:tcW w:w="1558" w:type="dxa"/>
          </w:tcPr>
          <w:p w14:paraId="4B5DCB5B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684F47A6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37921A9F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7D42721A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Treatment cessation (3 months)</w:t>
            </w:r>
          </w:p>
        </w:tc>
        <w:tc>
          <w:tcPr>
            <w:tcW w:w="2035" w:type="dxa"/>
          </w:tcPr>
          <w:p w14:paraId="79205530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1128.8 (1050.5-1207.0)</w:t>
            </w:r>
          </w:p>
        </w:tc>
        <w:tc>
          <w:tcPr>
            <w:tcW w:w="1981" w:type="dxa"/>
          </w:tcPr>
          <w:p w14:paraId="68711B7B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1124.1 (1044.6-1203.6)</w:t>
            </w:r>
          </w:p>
        </w:tc>
        <w:tc>
          <w:tcPr>
            <w:tcW w:w="1558" w:type="dxa"/>
          </w:tcPr>
          <w:p w14:paraId="56382010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-4.64 (58.37)</w:t>
            </w:r>
          </w:p>
        </w:tc>
        <w:tc>
          <w:tcPr>
            <w:tcW w:w="1558" w:type="dxa"/>
          </w:tcPr>
          <w:p w14:paraId="4232F29C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(-119.82 to 110.54); 0.94</w:t>
            </w:r>
          </w:p>
        </w:tc>
      </w:tr>
      <w:tr w:rsidR="00C84B67" w:rsidRPr="000D68FF" w14:paraId="3F6B44EE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7B141854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Follow-up (9 months)</w:t>
            </w:r>
          </w:p>
        </w:tc>
        <w:tc>
          <w:tcPr>
            <w:tcW w:w="2035" w:type="dxa"/>
          </w:tcPr>
          <w:p w14:paraId="4CF65529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1125.6 (1051.5-1199.6)</w:t>
            </w:r>
          </w:p>
        </w:tc>
        <w:tc>
          <w:tcPr>
            <w:tcW w:w="1981" w:type="dxa"/>
          </w:tcPr>
          <w:p w14:paraId="212DEF78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1029.0 (955.0-1109.0)</w:t>
            </w:r>
          </w:p>
        </w:tc>
        <w:tc>
          <w:tcPr>
            <w:tcW w:w="1558" w:type="dxa"/>
          </w:tcPr>
          <w:p w14:paraId="7A48A5CF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-96.58 (54.79)</w:t>
            </w:r>
          </w:p>
        </w:tc>
        <w:tc>
          <w:tcPr>
            <w:tcW w:w="1558" w:type="dxa"/>
          </w:tcPr>
          <w:p w14:paraId="500DE086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(-204.86 to 11.69); 0.08</w:t>
            </w:r>
          </w:p>
        </w:tc>
      </w:tr>
      <w:tr w:rsidR="00C84B67" w:rsidRPr="000D68FF" w14:paraId="32A23329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1140268C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ERT latency disgust</w:t>
            </w:r>
          </w:p>
          <w:p w14:paraId="6513724B" w14:textId="77777777" w:rsidR="00C84B67" w:rsidRPr="000D68FF" w:rsidRDefault="00C84B67" w:rsidP="00665F1F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</w:p>
        </w:tc>
        <w:tc>
          <w:tcPr>
            <w:tcW w:w="2035" w:type="dxa"/>
          </w:tcPr>
          <w:p w14:paraId="3614923F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1" w:type="dxa"/>
          </w:tcPr>
          <w:p w14:paraId="4E3B3D0C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51A1DE1C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49D2AF77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7192BD44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139177F3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lastRenderedPageBreak/>
              <w:t>Baseline</w:t>
            </w:r>
          </w:p>
        </w:tc>
        <w:tc>
          <w:tcPr>
            <w:tcW w:w="2035" w:type="dxa"/>
          </w:tcPr>
          <w:p w14:paraId="4EB366C4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2145 (1939-2351)</w:t>
            </w:r>
          </w:p>
        </w:tc>
        <w:tc>
          <w:tcPr>
            <w:tcW w:w="1981" w:type="dxa"/>
          </w:tcPr>
          <w:p w14:paraId="537A3D9A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1960 (1804-2116)</w:t>
            </w:r>
          </w:p>
        </w:tc>
        <w:tc>
          <w:tcPr>
            <w:tcW w:w="1558" w:type="dxa"/>
          </w:tcPr>
          <w:p w14:paraId="139A12F7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18D6554A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342CC084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2573BB30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Treatment cessation (3 months)</w:t>
            </w:r>
          </w:p>
        </w:tc>
        <w:tc>
          <w:tcPr>
            <w:tcW w:w="2035" w:type="dxa"/>
          </w:tcPr>
          <w:p w14:paraId="63E0E00D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1663 (1547-1779)</w:t>
            </w:r>
          </w:p>
        </w:tc>
        <w:tc>
          <w:tcPr>
            <w:tcW w:w="1981" w:type="dxa"/>
          </w:tcPr>
          <w:p w14:paraId="450034BB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1768 (1639-1896)</w:t>
            </w:r>
          </w:p>
        </w:tc>
        <w:tc>
          <w:tcPr>
            <w:tcW w:w="1558" w:type="dxa"/>
          </w:tcPr>
          <w:p w14:paraId="33F3B3E4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105.1 (91.0)</w:t>
            </w:r>
          </w:p>
        </w:tc>
        <w:tc>
          <w:tcPr>
            <w:tcW w:w="1558" w:type="dxa"/>
          </w:tcPr>
          <w:p w14:paraId="2748F005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(-74.6 to 284.7); 0.25</w:t>
            </w:r>
          </w:p>
        </w:tc>
      </w:tr>
      <w:tr w:rsidR="00C84B67" w:rsidRPr="000D68FF" w14:paraId="246FA6CF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33E2537B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Follow-up (9 months)</w:t>
            </w:r>
          </w:p>
        </w:tc>
        <w:tc>
          <w:tcPr>
            <w:tcW w:w="2035" w:type="dxa"/>
          </w:tcPr>
          <w:p w14:paraId="0CA9731F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1638 (1504-1772)</w:t>
            </w:r>
          </w:p>
        </w:tc>
        <w:tc>
          <w:tcPr>
            <w:tcW w:w="1981" w:type="dxa"/>
          </w:tcPr>
          <w:p w14:paraId="5BB23324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1569 (1438-1700)</w:t>
            </w:r>
          </w:p>
        </w:tc>
        <w:tc>
          <w:tcPr>
            <w:tcW w:w="1558" w:type="dxa"/>
          </w:tcPr>
          <w:p w14:paraId="5E60E5D6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-68.9 (95.8)</w:t>
            </w:r>
          </w:p>
        </w:tc>
        <w:tc>
          <w:tcPr>
            <w:tcW w:w="1558" w:type="dxa"/>
          </w:tcPr>
          <w:p w14:paraId="465E22F3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(-258.3 to 120.4); 0.47</w:t>
            </w:r>
          </w:p>
        </w:tc>
      </w:tr>
      <w:bookmarkEnd w:id="4"/>
      <w:tr w:rsidR="00C84B67" w:rsidRPr="000D68FF" w14:paraId="17470CC9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6A5F2791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ERT accuracy overall</w:t>
            </w:r>
          </w:p>
          <w:p w14:paraId="5F7DD3BE" w14:textId="77777777" w:rsidR="00C84B67" w:rsidRPr="000D68FF" w:rsidRDefault="00C84B67" w:rsidP="00665F1F">
            <w:pPr>
              <w:pStyle w:val="Default"/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</w:p>
        </w:tc>
        <w:tc>
          <w:tcPr>
            <w:tcW w:w="2035" w:type="dxa"/>
          </w:tcPr>
          <w:p w14:paraId="793119B4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1" w:type="dxa"/>
          </w:tcPr>
          <w:p w14:paraId="6BB40DFE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7589AFFF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3E31CB0A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57DEA3F7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1BC23FCE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Baseline</w:t>
            </w:r>
          </w:p>
        </w:tc>
        <w:tc>
          <w:tcPr>
            <w:tcW w:w="2035" w:type="dxa"/>
          </w:tcPr>
          <w:p w14:paraId="061691F0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56.6 (54.8-58.3)</w:t>
            </w:r>
          </w:p>
        </w:tc>
        <w:tc>
          <w:tcPr>
            <w:tcW w:w="1981" w:type="dxa"/>
          </w:tcPr>
          <w:p w14:paraId="2AE95E55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56.1 (54.5-57.6)</w:t>
            </w:r>
          </w:p>
        </w:tc>
        <w:tc>
          <w:tcPr>
            <w:tcW w:w="1558" w:type="dxa"/>
          </w:tcPr>
          <w:p w14:paraId="55D4BAEB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5D13B39E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03532900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13452655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Treatment cessation (3 months)</w:t>
            </w:r>
          </w:p>
        </w:tc>
        <w:tc>
          <w:tcPr>
            <w:tcW w:w="2035" w:type="dxa"/>
          </w:tcPr>
          <w:p w14:paraId="5EDC380F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57.8 (56.4-59.3)</w:t>
            </w:r>
          </w:p>
        </w:tc>
        <w:tc>
          <w:tcPr>
            <w:tcW w:w="1981" w:type="dxa"/>
          </w:tcPr>
          <w:p w14:paraId="415F8598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58.1 (56.6-59.5)</w:t>
            </w:r>
          </w:p>
        </w:tc>
        <w:tc>
          <w:tcPr>
            <w:tcW w:w="1558" w:type="dxa"/>
          </w:tcPr>
          <w:p w14:paraId="0894F283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0.23 (1.03)</w:t>
            </w:r>
          </w:p>
        </w:tc>
        <w:tc>
          <w:tcPr>
            <w:tcW w:w="1558" w:type="dxa"/>
          </w:tcPr>
          <w:p w14:paraId="55283A58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(-1.79 to 2.26); 0.82</w:t>
            </w:r>
          </w:p>
        </w:tc>
      </w:tr>
      <w:tr w:rsidR="00C84B67" w:rsidRPr="000D68FF" w14:paraId="7EDC38E4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28588F1D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Follow-up (9 months)</w:t>
            </w:r>
          </w:p>
        </w:tc>
        <w:tc>
          <w:tcPr>
            <w:tcW w:w="2035" w:type="dxa"/>
          </w:tcPr>
          <w:p w14:paraId="68770228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57.4 (56.0-58.9)</w:t>
            </w:r>
          </w:p>
        </w:tc>
        <w:tc>
          <w:tcPr>
            <w:tcW w:w="1981" w:type="dxa"/>
          </w:tcPr>
          <w:p w14:paraId="389AB955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58.7 (57.0-60.3)</w:t>
            </w:r>
          </w:p>
        </w:tc>
        <w:tc>
          <w:tcPr>
            <w:tcW w:w="1558" w:type="dxa"/>
          </w:tcPr>
          <w:p w14:paraId="22C4D4F0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1.23 (1.10)</w:t>
            </w:r>
          </w:p>
        </w:tc>
        <w:tc>
          <w:tcPr>
            <w:tcW w:w="1558" w:type="dxa"/>
          </w:tcPr>
          <w:p w14:paraId="7429B39B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(-0.93 to 3.40); 0.26</w:t>
            </w:r>
          </w:p>
        </w:tc>
      </w:tr>
      <w:tr w:rsidR="00C84B67" w:rsidRPr="000D68FF" w14:paraId="0DB2EF0D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617F7F22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ERT accuracy happiness</w:t>
            </w:r>
          </w:p>
          <w:p w14:paraId="733D2260" w14:textId="77777777" w:rsidR="00C84B67" w:rsidRPr="000D68FF" w:rsidRDefault="00C84B67" w:rsidP="00665F1F">
            <w:pPr>
              <w:pStyle w:val="Default"/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</w:p>
        </w:tc>
        <w:tc>
          <w:tcPr>
            <w:tcW w:w="2035" w:type="dxa"/>
          </w:tcPr>
          <w:p w14:paraId="0B5CB3B7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1" w:type="dxa"/>
          </w:tcPr>
          <w:p w14:paraId="7E672A40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56CCD0FC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0A7A3794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56CB5C88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248987BD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Baseline</w:t>
            </w:r>
          </w:p>
        </w:tc>
        <w:tc>
          <w:tcPr>
            <w:tcW w:w="2035" w:type="dxa"/>
          </w:tcPr>
          <w:p w14:paraId="4B29121C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11.4 (11.0-11.7)</w:t>
            </w:r>
          </w:p>
        </w:tc>
        <w:tc>
          <w:tcPr>
            <w:tcW w:w="1981" w:type="dxa"/>
          </w:tcPr>
          <w:p w14:paraId="01A89BB6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11.5 (11.2-11.9)</w:t>
            </w:r>
          </w:p>
        </w:tc>
        <w:tc>
          <w:tcPr>
            <w:tcW w:w="1558" w:type="dxa"/>
          </w:tcPr>
          <w:p w14:paraId="3C6A38EF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5216FBEC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6A89E7E7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52A9B867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Treatment cessation (3 months)</w:t>
            </w:r>
          </w:p>
        </w:tc>
        <w:tc>
          <w:tcPr>
            <w:tcW w:w="2035" w:type="dxa"/>
          </w:tcPr>
          <w:p w14:paraId="54142FF1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11.7 (11.4-12.1)</w:t>
            </w:r>
          </w:p>
        </w:tc>
        <w:tc>
          <w:tcPr>
            <w:tcW w:w="1981" w:type="dxa"/>
          </w:tcPr>
          <w:p w14:paraId="2580194D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11.5 (11.1-11.8)</w:t>
            </w:r>
          </w:p>
        </w:tc>
        <w:tc>
          <w:tcPr>
            <w:tcW w:w="1558" w:type="dxa"/>
          </w:tcPr>
          <w:p w14:paraId="3E577644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-0.25 (0.26)</w:t>
            </w:r>
          </w:p>
        </w:tc>
        <w:tc>
          <w:tcPr>
            <w:tcW w:w="1558" w:type="dxa"/>
          </w:tcPr>
          <w:p w14:paraId="3C60D9A2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(-0.77 to 0.26); 0.33</w:t>
            </w:r>
          </w:p>
        </w:tc>
      </w:tr>
      <w:tr w:rsidR="00C84B67" w:rsidRPr="000D68FF" w14:paraId="64F6BA42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479270C5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Follow-up (9 months)</w:t>
            </w:r>
          </w:p>
        </w:tc>
        <w:tc>
          <w:tcPr>
            <w:tcW w:w="2035" w:type="dxa"/>
          </w:tcPr>
          <w:p w14:paraId="57FD05F7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11.7 (11.3-12.1)</w:t>
            </w:r>
          </w:p>
        </w:tc>
        <w:tc>
          <w:tcPr>
            <w:tcW w:w="1981" w:type="dxa"/>
          </w:tcPr>
          <w:p w14:paraId="20DAAAC0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11.5 (11.0-12.0)</w:t>
            </w:r>
          </w:p>
        </w:tc>
        <w:tc>
          <w:tcPr>
            <w:tcW w:w="1558" w:type="dxa"/>
          </w:tcPr>
          <w:p w14:paraId="7FD54F4E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-0.19 (0.34)</w:t>
            </w:r>
          </w:p>
        </w:tc>
        <w:tc>
          <w:tcPr>
            <w:tcW w:w="1558" w:type="dxa"/>
          </w:tcPr>
          <w:p w14:paraId="35504F15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(-0.86 to 0.48); 0.58</w:t>
            </w:r>
          </w:p>
        </w:tc>
      </w:tr>
      <w:tr w:rsidR="00C84B67" w:rsidRPr="000D68FF" w14:paraId="359E1941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685469D0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ERT accuracy sadness</w:t>
            </w:r>
          </w:p>
          <w:p w14:paraId="096C49BA" w14:textId="77777777" w:rsidR="00C84B67" w:rsidRPr="000D68FF" w:rsidRDefault="00C84B67" w:rsidP="00665F1F">
            <w:pPr>
              <w:pStyle w:val="Default"/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</w:p>
        </w:tc>
        <w:tc>
          <w:tcPr>
            <w:tcW w:w="2035" w:type="dxa"/>
          </w:tcPr>
          <w:p w14:paraId="1A550D09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1" w:type="dxa"/>
          </w:tcPr>
          <w:p w14:paraId="4BE1C90B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2FEA7C5F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51B20607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48016FDB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0D3B9CDF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Baseline</w:t>
            </w:r>
          </w:p>
        </w:tc>
        <w:tc>
          <w:tcPr>
            <w:tcW w:w="2035" w:type="dxa"/>
          </w:tcPr>
          <w:p w14:paraId="42FDCAB6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10.1 (9.5-10.6)</w:t>
            </w:r>
          </w:p>
        </w:tc>
        <w:tc>
          <w:tcPr>
            <w:tcW w:w="1981" w:type="dxa"/>
          </w:tcPr>
          <w:p w14:paraId="1D568EB2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9.4 (8.8-9.9)</w:t>
            </w:r>
          </w:p>
        </w:tc>
        <w:tc>
          <w:tcPr>
            <w:tcW w:w="1558" w:type="dxa"/>
          </w:tcPr>
          <w:p w14:paraId="1CAD0FB1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363FC8A7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48C20A20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7A2CFF72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Treatment cessation (3 months)</w:t>
            </w:r>
          </w:p>
        </w:tc>
        <w:tc>
          <w:tcPr>
            <w:tcW w:w="2035" w:type="dxa"/>
          </w:tcPr>
          <w:p w14:paraId="2B509EEB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9.4 (8.9-9.9)</w:t>
            </w:r>
          </w:p>
        </w:tc>
        <w:tc>
          <w:tcPr>
            <w:tcW w:w="1981" w:type="dxa"/>
          </w:tcPr>
          <w:p w14:paraId="4EED636E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10.1 (9.6-10.6)</w:t>
            </w:r>
          </w:p>
        </w:tc>
        <w:tc>
          <w:tcPr>
            <w:tcW w:w="1558" w:type="dxa"/>
          </w:tcPr>
          <w:p w14:paraId="040C466F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0.66 (0.36)</w:t>
            </w:r>
          </w:p>
        </w:tc>
        <w:tc>
          <w:tcPr>
            <w:tcW w:w="1558" w:type="dxa"/>
          </w:tcPr>
          <w:p w14:paraId="65F6D123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(-0.06 to 1.37); 0.07</w:t>
            </w:r>
          </w:p>
        </w:tc>
      </w:tr>
      <w:tr w:rsidR="00C84B67" w:rsidRPr="000D68FF" w14:paraId="4A00BC9C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570B425E" w14:textId="77777777" w:rsidR="00C84B67" w:rsidRPr="000D68FF" w:rsidRDefault="00C84B67" w:rsidP="00665F1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Follow-up (9 months)</w:t>
            </w:r>
          </w:p>
        </w:tc>
        <w:tc>
          <w:tcPr>
            <w:tcW w:w="2035" w:type="dxa"/>
          </w:tcPr>
          <w:p w14:paraId="65FDFAB2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9.6 (9.0-10.1)</w:t>
            </w:r>
          </w:p>
        </w:tc>
        <w:tc>
          <w:tcPr>
            <w:tcW w:w="1981" w:type="dxa"/>
          </w:tcPr>
          <w:p w14:paraId="5B8763BE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10.6 (10.0-11.1)</w:t>
            </w:r>
          </w:p>
        </w:tc>
        <w:tc>
          <w:tcPr>
            <w:tcW w:w="1558" w:type="dxa"/>
          </w:tcPr>
          <w:p w14:paraId="740A4B22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1.01 (0.40)</w:t>
            </w:r>
          </w:p>
        </w:tc>
        <w:tc>
          <w:tcPr>
            <w:tcW w:w="1558" w:type="dxa"/>
          </w:tcPr>
          <w:p w14:paraId="49F152C2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(0.21 to 1.81); 0.01</w:t>
            </w:r>
          </w:p>
        </w:tc>
      </w:tr>
      <w:tr w:rsidR="00C84B67" w:rsidRPr="000D68FF" w14:paraId="552D487B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1950883D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ERT accuracy fear</w:t>
            </w:r>
          </w:p>
          <w:p w14:paraId="41873E4A" w14:textId="77777777" w:rsidR="00C84B67" w:rsidRPr="000D68FF" w:rsidRDefault="00C84B67" w:rsidP="00665F1F">
            <w:pPr>
              <w:pStyle w:val="Default"/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</w:p>
        </w:tc>
        <w:tc>
          <w:tcPr>
            <w:tcW w:w="2035" w:type="dxa"/>
          </w:tcPr>
          <w:p w14:paraId="7C6D6436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1" w:type="dxa"/>
          </w:tcPr>
          <w:p w14:paraId="0BAA68D3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23842E36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20ED9301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4FE49CFF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45427C96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Baseline</w:t>
            </w:r>
          </w:p>
        </w:tc>
        <w:tc>
          <w:tcPr>
            <w:tcW w:w="2035" w:type="dxa"/>
          </w:tcPr>
          <w:p w14:paraId="22B26188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6.3 (5.8-6.9)</w:t>
            </w:r>
          </w:p>
        </w:tc>
        <w:tc>
          <w:tcPr>
            <w:tcW w:w="1981" w:type="dxa"/>
          </w:tcPr>
          <w:p w14:paraId="30546C7C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6.1 (5.6-6.7)</w:t>
            </w:r>
          </w:p>
        </w:tc>
        <w:tc>
          <w:tcPr>
            <w:tcW w:w="1558" w:type="dxa"/>
          </w:tcPr>
          <w:p w14:paraId="31D28EDD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75BF8880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0897B999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1067BE47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Treatment cessation (3 months)</w:t>
            </w:r>
          </w:p>
        </w:tc>
        <w:tc>
          <w:tcPr>
            <w:tcW w:w="2035" w:type="dxa"/>
          </w:tcPr>
          <w:p w14:paraId="76FB62E3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6.6 (6.0-7.1)</w:t>
            </w:r>
          </w:p>
        </w:tc>
        <w:tc>
          <w:tcPr>
            <w:tcW w:w="1981" w:type="dxa"/>
          </w:tcPr>
          <w:p w14:paraId="250D880A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7.2 (6.6-7.7)</w:t>
            </w:r>
          </w:p>
        </w:tc>
        <w:tc>
          <w:tcPr>
            <w:tcW w:w="1558" w:type="dxa"/>
          </w:tcPr>
          <w:p w14:paraId="1328BEED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0.59 (0.42)</w:t>
            </w:r>
          </w:p>
        </w:tc>
        <w:tc>
          <w:tcPr>
            <w:tcW w:w="1558" w:type="dxa"/>
          </w:tcPr>
          <w:p w14:paraId="1D315507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(-0.23 to 1.42); 0.16</w:t>
            </w:r>
          </w:p>
        </w:tc>
      </w:tr>
      <w:tr w:rsidR="00C84B67" w:rsidRPr="000D68FF" w14:paraId="0BA50466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3FB7E412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Follow-up (9 months)</w:t>
            </w:r>
          </w:p>
        </w:tc>
        <w:tc>
          <w:tcPr>
            <w:tcW w:w="2035" w:type="dxa"/>
          </w:tcPr>
          <w:p w14:paraId="0CB556F1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6.4 (5.7-7.0)</w:t>
            </w:r>
          </w:p>
        </w:tc>
        <w:tc>
          <w:tcPr>
            <w:tcW w:w="1981" w:type="dxa"/>
          </w:tcPr>
          <w:p w14:paraId="23D50B35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7.0 (6.3-7.7)</w:t>
            </w:r>
          </w:p>
        </w:tc>
        <w:tc>
          <w:tcPr>
            <w:tcW w:w="1558" w:type="dxa"/>
          </w:tcPr>
          <w:p w14:paraId="3F1BB7D0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0.62 (0.49)</w:t>
            </w:r>
          </w:p>
        </w:tc>
        <w:tc>
          <w:tcPr>
            <w:tcW w:w="1558" w:type="dxa"/>
          </w:tcPr>
          <w:p w14:paraId="25676BF3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(-0.35 to 1.58); 0.21</w:t>
            </w:r>
          </w:p>
        </w:tc>
      </w:tr>
      <w:tr w:rsidR="00C84B67" w:rsidRPr="000D68FF" w14:paraId="6A375E78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54A67C98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ERT accuracy anger</w:t>
            </w:r>
          </w:p>
          <w:p w14:paraId="1206AE42" w14:textId="77777777" w:rsidR="00C84B67" w:rsidRPr="000D68FF" w:rsidRDefault="00C84B67" w:rsidP="00665F1F">
            <w:pPr>
              <w:pStyle w:val="Default"/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</w:p>
        </w:tc>
        <w:tc>
          <w:tcPr>
            <w:tcW w:w="2035" w:type="dxa"/>
          </w:tcPr>
          <w:p w14:paraId="2557E80E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1" w:type="dxa"/>
          </w:tcPr>
          <w:p w14:paraId="386E1EE7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73A45822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02D616DA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270068CB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6930010D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Baseline</w:t>
            </w:r>
          </w:p>
        </w:tc>
        <w:tc>
          <w:tcPr>
            <w:tcW w:w="2035" w:type="dxa"/>
          </w:tcPr>
          <w:p w14:paraId="71A5504C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7.9 (7.4-8.4)</w:t>
            </w:r>
          </w:p>
        </w:tc>
        <w:tc>
          <w:tcPr>
            <w:tcW w:w="1981" w:type="dxa"/>
          </w:tcPr>
          <w:p w14:paraId="6E06681F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7.9 (7.5-8.3)</w:t>
            </w:r>
          </w:p>
        </w:tc>
        <w:tc>
          <w:tcPr>
            <w:tcW w:w="1558" w:type="dxa"/>
          </w:tcPr>
          <w:p w14:paraId="06D5587D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41B06430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6B7459CB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55C1080A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Treatment cessation (3 months)</w:t>
            </w:r>
          </w:p>
        </w:tc>
        <w:tc>
          <w:tcPr>
            <w:tcW w:w="2035" w:type="dxa"/>
          </w:tcPr>
          <w:p w14:paraId="695E4EBB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8.4 (8.0-8.8)</w:t>
            </w:r>
          </w:p>
        </w:tc>
        <w:tc>
          <w:tcPr>
            <w:tcW w:w="1981" w:type="dxa"/>
          </w:tcPr>
          <w:p w14:paraId="61FF59BD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8.4 (8.0-8.8)</w:t>
            </w:r>
          </w:p>
        </w:tc>
        <w:tc>
          <w:tcPr>
            <w:tcW w:w="1558" w:type="dxa"/>
          </w:tcPr>
          <w:p w14:paraId="1C228087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-0.01 (0.27)</w:t>
            </w:r>
          </w:p>
        </w:tc>
        <w:tc>
          <w:tcPr>
            <w:tcW w:w="1558" w:type="dxa"/>
          </w:tcPr>
          <w:p w14:paraId="72A97EDA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(-0.55 to 0.52); 0.96</w:t>
            </w:r>
          </w:p>
        </w:tc>
      </w:tr>
      <w:tr w:rsidR="00C84B67" w:rsidRPr="000D68FF" w14:paraId="0C6B61ED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69A5B076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Follow-up (9 months)</w:t>
            </w:r>
          </w:p>
        </w:tc>
        <w:tc>
          <w:tcPr>
            <w:tcW w:w="2035" w:type="dxa"/>
          </w:tcPr>
          <w:p w14:paraId="146F987B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8.4 (7.9-8.9)</w:t>
            </w:r>
          </w:p>
        </w:tc>
        <w:tc>
          <w:tcPr>
            <w:tcW w:w="1981" w:type="dxa"/>
          </w:tcPr>
          <w:p w14:paraId="18395298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8.8 (8.2-9.3)</w:t>
            </w:r>
          </w:p>
        </w:tc>
        <w:tc>
          <w:tcPr>
            <w:tcW w:w="1558" w:type="dxa"/>
          </w:tcPr>
          <w:p w14:paraId="6A2255A0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0.38 (0.38)</w:t>
            </w:r>
          </w:p>
        </w:tc>
        <w:tc>
          <w:tcPr>
            <w:tcW w:w="1558" w:type="dxa"/>
          </w:tcPr>
          <w:p w14:paraId="423BD51C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(-0.36 to 1.13); 0.31</w:t>
            </w:r>
          </w:p>
        </w:tc>
      </w:tr>
      <w:tr w:rsidR="00C84B67" w:rsidRPr="000D68FF" w14:paraId="1CD41309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0E9870E8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ERT accuracy surprise</w:t>
            </w:r>
          </w:p>
          <w:p w14:paraId="0930236A" w14:textId="77777777" w:rsidR="00C84B67" w:rsidRPr="000D68FF" w:rsidRDefault="00C84B67" w:rsidP="00665F1F">
            <w:pPr>
              <w:pStyle w:val="Default"/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</w:p>
        </w:tc>
        <w:tc>
          <w:tcPr>
            <w:tcW w:w="2035" w:type="dxa"/>
          </w:tcPr>
          <w:p w14:paraId="16CB56A7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1" w:type="dxa"/>
          </w:tcPr>
          <w:p w14:paraId="11C8008A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40C966A1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097306AF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4A98EBFD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0EEB013C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Baseline</w:t>
            </w:r>
          </w:p>
        </w:tc>
        <w:tc>
          <w:tcPr>
            <w:tcW w:w="2035" w:type="dxa"/>
          </w:tcPr>
          <w:p w14:paraId="689B20C7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11.4 (11.1-11.8)</w:t>
            </w:r>
          </w:p>
        </w:tc>
        <w:tc>
          <w:tcPr>
            <w:tcW w:w="1981" w:type="dxa"/>
          </w:tcPr>
          <w:p w14:paraId="22456529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11.4 (11.1-11.7)</w:t>
            </w:r>
          </w:p>
        </w:tc>
        <w:tc>
          <w:tcPr>
            <w:tcW w:w="1558" w:type="dxa"/>
          </w:tcPr>
          <w:p w14:paraId="5B469AD4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3EAE950D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48E37824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67A221B3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Treatment cessation (3 months)</w:t>
            </w:r>
          </w:p>
        </w:tc>
        <w:tc>
          <w:tcPr>
            <w:tcW w:w="2035" w:type="dxa"/>
          </w:tcPr>
          <w:p w14:paraId="51F3B33B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11.6 (11.3-12.0)</w:t>
            </w:r>
          </w:p>
        </w:tc>
        <w:tc>
          <w:tcPr>
            <w:tcW w:w="1981" w:type="dxa"/>
          </w:tcPr>
          <w:p w14:paraId="0D2FCB28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11.2 (10.8-11.5)</w:t>
            </w:r>
          </w:p>
        </w:tc>
        <w:tc>
          <w:tcPr>
            <w:tcW w:w="1558" w:type="dxa"/>
          </w:tcPr>
          <w:p w14:paraId="7D918682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-0.47 (0.27)</w:t>
            </w:r>
          </w:p>
        </w:tc>
        <w:tc>
          <w:tcPr>
            <w:tcW w:w="1558" w:type="dxa"/>
          </w:tcPr>
          <w:p w14:paraId="52E22648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(-1.00 to 0.06); 0.08</w:t>
            </w:r>
          </w:p>
        </w:tc>
      </w:tr>
      <w:tr w:rsidR="00C84B67" w:rsidRPr="000D68FF" w14:paraId="70CBC6C2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5984CAB4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Follow-up (9 months)</w:t>
            </w:r>
          </w:p>
        </w:tc>
        <w:tc>
          <w:tcPr>
            <w:tcW w:w="2035" w:type="dxa"/>
          </w:tcPr>
          <w:p w14:paraId="56613C1F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11.4 (11.0-11.8)</w:t>
            </w:r>
          </w:p>
        </w:tc>
        <w:tc>
          <w:tcPr>
            <w:tcW w:w="1981" w:type="dxa"/>
          </w:tcPr>
          <w:p w14:paraId="6B4C5E35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11.1 (10.7-11.6)</w:t>
            </w:r>
          </w:p>
        </w:tc>
        <w:tc>
          <w:tcPr>
            <w:tcW w:w="1558" w:type="dxa"/>
          </w:tcPr>
          <w:p w14:paraId="6BC6F523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-0.31 (0.33)</w:t>
            </w:r>
          </w:p>
        </w:tc>
        <w:tc>
          <w:tcPr>
            <w:tcW w:w="1558" w:type="dxa"/>
          </w:tcPr>
          <w:p w14:paraId="4AB7307B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(-0.96 to 0.33); 0.34</w:t>
            </w:r>
          </w:p>
        </w:tc>
      </w:tr>
      <w:tr w:rsidR="00C84B67" w:rsidRPr="000D68FF" w14:paraId="6DD861EF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5494E5C7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ERT accuracy disgust</w:t>
            </w:r>
          </w:p>
          <w:p w14:paraId="6F3FF34F" w14:textId="77777777" w:rsidR="00C84B67" w:rsidRPr="000D68FF" w:rsidRDefault="00C84B67" w:rsidP="00665F1F">
            <w:pPr>
              <w:pStyle w:val="Default"/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</w:p>
        </w:tc>
        <w:tc>
          <w:tcPr>
            <w:tcW w:w="2035" w:type="dxa"/>
          </w:tcPr>
          <w:p w14:paraId="03660CBF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1" w:type="dxa"/>
          </w:tcPr>
          <w:p w14:paraId="7D03B65A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12779907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11365E9D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659BDF36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2131F0CF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Baseline</w:t>
            </w:r>
          </w:p>
        </w:tc>
        <w:tc>
          <w:tcPr>
            <w:tcW w:w="2035" w:type="dxa"/>
          </w:tcPr>
          <w:p w14:paraId="13EFE6BB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9.4 (8.8-10.1)</w:t>
            </w:r>
          </w:p>
        </w:tc>
        <w:tc>
          <w:tcPr>
            <w:tcW w:w="1981" w:type="dxa"/>
          </w:tcPr>
          <w:p w14:paraId="757349E1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9.8 (9.1-10.4)</w:t>
            </w:r>
          </w:p>
        </w:tc>
        <w:tc>
          <w:tcPr>
            <w:tcW w:w="1558" w:type="dxa"/>
          </w:tcPr>
          <w:p w14:paraId="62E6348C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347AC9C8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657C534C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27CF077D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Treatment cessation (3 months)</w:t>
            </w:r>
          </w:p>
        </w:tc>
        <w:tc>
          <w:tcPr>
            <w:tcW w:w="2035" w:type="dxa"/>
          </w:tcPr>
          <w:p w14:paraId="4C5F1D54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10.0 (9.5-10.6)</w:t>
            </w:r>
          </w:p>
        </w:tc>
        <w:tc>
          <w:tcPr>
            <w:tcW w:w="1981" w:type="dxa"/>
          </w:tcPr>
          <w:p w14:paraId="77F4EDF6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9.8 (9.2-10.4)</w:t>
            </w:r>
          </w:p>
        </w:tc>
        <w:tc>
          <w:tcPr>
            <w:tcW w:w="1558" w:type="dxa"/>
          </w:tcPr>
          <w:p w14:paraId="0A59FD64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-0.20 (0.42)</w:t>
            </w:r>
          </w:p>
        </w:tc>
        <w:tc>
          <w:tcPr>
            <w:tcW w:w="1558" w:type="dxa"/>
          </w:tcPr>
          <w:p w14:paraId="395AA518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(-1.02 to 0.62); 0.63</w:t>
            </w:r>
          </w:p>
        </w:tc>
      </w:tr>
      <w:tr w:rsidR="00C84B67" w:rsidRPr="000D68FF" w14:paraId="6CDA5974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6D9472AF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Follow-up (9 months)</w:t>
            </w:r>
          </w:p>
        </w:tc>
        <w:tc>
          <w:tcPr>
            <w:tcW w:w="2035" w:type="dxa"/>
          </w:tcPr>
          <w:p w14:paraId="730088E0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10.0 (9.5-10.5)</w:t>
            </w:r>
          </w:p>
        </w:tc>
        <w:tc>
          <w:tcPr>
            <w:tcW w:w="1981" w:type="dxa"/>
          </w:tcPr>
          <w:p w14:paraId="768FE964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9.7 (9.1-10.3)</w:t>
            </w:r>
          </w:p>
        </w:tc>
        <w:tc>
          <w:tcPr>
            <w:tcW w:w="1558" w:type="dxa"/>
          </w:tcPr>
          <w:p w14:paraId="09F99073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-0.30 (0.40)</w:t>
            </w:r>
          </w:p>
        </w:tc>
        <w:tc>
          <w:tcPr>
            <w:tcW w:w="1558" w:type="dxa"/>
          </w:tcPr>
          <w:p w14:paraId="46274DA4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(-1.10 to 0.49); 0.45</w:t>
            </w:r>
          </w:p>
        </w:tc>
      </w:tr>
      <w:tr w:rsidR="00C84B67" w:rsidRPr="000D68FF" w14:paraId="138FF559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0FA69EEB" w14:textId="77777777" w:rsidR="00C84B67" w:rsidRPr="000D68FF" w:rsidRDefault="00C84B67" w:rsidP="00665F1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SIAS</w:t>
            </w:r>
          </w:p>
        </w:tc>
        <w:tc>
          <w:tcPr>
            <w:tcW w:w="2035" w:type="dxa"/>
          </w:tcPr>
          <w:p w14:paraId="062B66E1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1" w:type="dxa"/>
          </w:tcPr>
          <w:p w14:paraId="4A16807B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5C4BD81B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64AE7373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5A580D13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14C40065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Baseline</w:t>
            </w:r>
          </w:p>
        </w:tc>
        <w:tc>
          <w:tcPr>
            <w:tcW w:w="2035" w:type="dxa"/>
          </w:tcPr>
          <w:p w14:paraId="3E4FEAD9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46.8 (44.3-49.4)</w:t>
            </w:r>
          </w:p>
          <w:p w14:paraId="1AF15D9A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n=126</w:t>
            </w:r>
          </w:p>
        </w:tc>
        <w:tc>
          <w:tcPr>
            <w:tcW w:w="1981" w:type="dxa"/>
          </w:tcPr>
          <w:p w14:paraId="38A09D76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47.8 (45.2-50.5)</w:t>
            </w:r>
          </w:p>
          <w:p w14:paraId="04C57A68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n=127</w:t>
            </w:r>
          </w:p>
        </w:tc>
        <w:tc>
          <w:tcPr>
            <w:tcW w:w="1558" w:type="dxa"/>
          </w:tcPr>
          <w:p w14:paraId="26F5A6A6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3906F0FE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1BE7DA68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7EFA72B5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Treatment cessation (3 months)</w:t>
            </w:r>
          </w:p>
        </w:tc>
        <w:tc>
          <w:tcPr>
            <w:tcW w:w="2035" w:type="dxa"/>
          </w:tcPr>
          <w:p w14:paraId="690F7DAA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41.8 (39.8-43.9)</w:t>
            </w:r>
          </w:p>
        </w:tc>
        <w:tc>
          <w:tcPr>
            <w:tcW w:w="1981" w:type="dxa"/>
          </w:tcPr>
          <w:p w14:paraId="1254E2F7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42.1 (39.8-44.4)</w:t>
            </w:r>
          </w:p>
        </w:tc>
        <w:tc>
          <w:tcPr>
            <w:tcW w:w="1558" w:type="dxa"/>
          </w:tcPr>
          <w:p w14:paraId="5D93C90A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0.25 (1.60)</w:t>
            </w:r>
          </w:p>
        </w:tc>
        <w:tc>
          <w:tcPr>
            <w:tcW w:w="1558" w:type="dxa"/>
          </w:tcPr>
          <w:p w14:paraId="09945E07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(-2.90 to 3.40); 0.88</w:t>
            </w:r>
          </w:p>
        </w:tc>
      </w:tr>
      <w:tr w:rsidR="00C84B67" w:rsidRPr="000D68FF" w14:paraId="476536DE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28B29389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Follow-up (9 months)</w:t>
            </w:r>
          </w:p>
        </w:tc>
        <w:tc>
          <w:tcPr>
            <w:tcW w:w="2035" w:type="dxa"/>
          </w:tcPr>
          <w:p w14:paraId="65D2BABF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39.7 (37.1-42.3)</w:t>
            </w:r>
          </w:p>
        </w:tc>
        <w:tc>
          <w:tcPr>
            <w:tcW w:w="1981" w:type="dxa"/>
          </w:tcPr>
          <w:p w14:paraId="60531244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38.3 (35.4-41.2)</w:t>
            </w:r>
          </w:p>
        </w:tc>
        <w:tc>
          <w:tcPr>
            <w:tcW w:w="1558" w:type="dxa"/>
          </w:tcPr>
          <w:p w14:paraId="6DF0B595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-1.37 (1.96)</w:t>
            </w:r>
          </w:p>
        </w:tc>
        <w:tc>
          <w:tcPr>
            <w:tcW w:w="1558" w:type="dxa"/>
          </w:tcPr>
          <w:p w14:paraId="46731123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(-5.24 to 2.51); 0.49</w:t>
            </w:r>
          </w:p>
        </w:tc>
      </w:tr>
    </w:tbl>
    <w:p w14:paraId="10F6C39C" w14:textId="77777777" w:rsidR="00C84B67" w:rsidRPr="000D68FF" w:rsidRDefault="00C84B67" w:rsidP="00C84B67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0D68FF">
        <w:rPr>
          <w:rFonts w:ascii="Times New Roman" w:hAnsi="Times New Roman" w:cs="Times New Roman"/>
          <w:sz w:val="20"/>
          <w:szCs w:val="20"/>
          <w:lang w:val="en-US"/>
        </w:rPr>
        <w:t xml:space="preserve">GPTS: Green Paranoid Thought Scale. PSP: </w:t>
      </w:r>
      <w:r w:rsidRPr="000D68FF">
        <w:rPr>
          <w:rStyle w:val="apple-converted-space"/>
          <w:rFonts w:ascii="Times New Roman" w:hAnsi="Times New Roman" w:cs="Times New Roman"/>
          <w:sz w:val="20"/>
          <w:szCs w:val="20"/>
          <w:lang w:val="en-US"/>
        </w:rPr>
        <w:t xml:space="preserve">Personal and Social Performance scale. SBQ: Safety Behavior Questionnaire. ERT: Emotion Recognition Task. SIAS: </w:t>
      </w:r>
      <w:r w:rsidRPr="000D68FF">
        <w:rPr>
          <w:rStyle w:val="apple-converted-space"/>
          <w:rFonts w:ascii="Tahoma" w:hAnsi="Tahoma" w:cs="Tahoma"/>
          <w:sz w:val="20"/>
          <w:szCs w:val="20"/>
          <w:lang w:val="en-US"/>
        </w:rPr>
        <w:t>﻿</w:t>
      </w:r>
      <w:r w:rsidRPr="000D68FF">
        <w:rPr>
          <w:rStyle w:val="apple-converted-space"/>
          <w:rFonts w:ascii="Times New Roman" w:hAnsi="Times New Roman" w:cs="Times New Roman"/>
          <w:sz w:val="20"/>
          <w:szCs w:val="20"/>
          <w:lang w:val="en-US"/>
        </w:rPr>
        <w:t>Social Interaction Anxiety Scale.</w:t>
      </w:r>
    </w:p>
    <w:p w14:paraId="65BAECCB" w14:textId="77777777" w:rsidR="00C84B67" w:rsidRPr="000D68FF" w:rsidRDefault="00C84B67" w:rsidP="00C84B67">
      <w:pPr>
        <w:rPr>
          <w:rFonts w:ascii="Times New Roman" w:hAnsi="Times New Roman" w:cs="Times New Roman"/>
          <w:lang w:val="en-US"/>
        </w:rPr>
      </w:pPr>
    </w:p>
    <w:p w14:paraId="4F1B1FA1" w14:textId="77777777" w:rsidR="00C84B67" w:rsidRPr="000D68FF" w:rsidRDefault="00C84B67" w:rsidP="00C84B67">
      <w:pPr>
        <w:pStyle w:val="Heading2"/>
        <w:numPr>
          <w:ilvl w:val="0"/>
          <w:numId w:val="0"/>
        </w:numPr>
        <w:ind w:left="566"/>
        <w:rPr>
          <w:lang w:val="en-US"/>
        </w:rPr>
      </w:pPr>
      <w:r w:rsidRPr="000D68FF">
        <w:rPr>
          <w:lang w:val="en-US"/>
        </w:rPr>
        <w:t>Exploratory outcomes in the FaceYourFears trial. Analyses with adjustment for baseline imbalances</w:t>
      </w:r>
    </w:p>
    <w:tbl>
      <w:tblPr>
        <w:tblStyle w:val="GridTable6Colorful-Accent1"/>
        <w:tblW w:w="0" w:type="auto"/>
        <w:tblLook w:val="04A0" w:firstRow="1" w:lastRow="0" w:firstColumn="1" w:lastColumn="0" w:noHBand="0" w:noVBand="1"/>
      </w:tblPr>
      <w:tblGrid>
        <w:gridCol w:w="2496"/>
        <w:gridCol w:w="2035"/>
        <w:gridCol w:w="1981"/>
        <w:gridCol w:w="1558"/>
        <w:gridCol w:w="1558"/>
      </w:tblGrid>
      <w:tr w:rsidR="00C84B67" w:rsidRPr="000D68FF" w14:paraId="3B6A67CE" w14:textId="77777777" w:rsidTr="00665F1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28" w:type="dxa"/>
            <w:gridSpan w:val="5"/>
          </w:tcPr>
          <w:p w14:paraId="5E99554E" w14:textId="77777777" w:rsidR="00C84B67" w:rsidRPr="000D68FF" w:rsidRDefault="00C84B67" w:rsidP="00665F1F">
            <w:pPr>
              <w:jc w:val="center"/>
              <w:rPr>
                <w:rFonts w:ascii="Times New Roman" w:hAnsi="Times New Roman" w:cs="Times New Roman"/>
                <w:sz w:val="36"/>
                <w:szCs w:val="36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36"/>
                <w:szCs w:val="36"/>
                <w:lang w:val="en-US"/>
              </w:rPr>
              <w:t>Exploratory outcomes</w:t>
            </w:r>
          </w:p>
        </w:tc>
      </w:tr>
      <w:tr w:rsidR="00C84B67" w:rsidRPr="000D68FF" w14:paraId="6053950E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7C1D14D6" w14:textId="77777777" w:rsidR="00C84B67" w:rsidRPr="000D68FF" w:rsidRDefault="00C84B67" w:rsidP="00665F1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035" w:type="dxa"/>
          </w:tcPr>
          <w:p w14:paraId="02B54F21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VR-CBT mean (CI 95%)</w:t>
            </w:r>
          </w:p>
        </w:tc>
        <w:tc>
          <w:tcPr>
            <w:tcW w:w="1981" w:type="dxa"/>
          </w:tcPr>
          <w:p w14:paraId="00A9625C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Standard CBT mean (CI 95%)</w:t>
            </w:r>
          </w:p>
        </w:tc>
        <w:tc>
          <w:tcPr>
            <w:tcW w:w="1558" w:type="dxa"/>
          </w:tcPr>
          <w:p w14:paraId="7D2F0DD5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Adjusted mean difference (SE)</w:t>
            </w:r>
          </w:p>
        </w:tc>
        <w:tc>
          <w:tcPr>
            <w:tcW w:w="1558" w:type="dxa"/>
          </w:tcPr>
          <w:p w14:paraId="11328DE0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95 % CI; </w:t>
            </w:r>
          </w:p>
          <w:p w14:paraId="5B798797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 value</w:t>
            </w:r>
          </w:p>
        </w:tc>
      </w:tr>
      <w:tr w:rsidR="00C84B67" w:rsidRPr="000D68FF" w14:paraId="6CEC149E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018A14D4" w14:textId="77777777" w:rsidR="00C84B67" w:rsidRPr="000D68FF" w:rsidRDefault="00C84B67" w:rsidP="00665F1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SAPS Global</w:t>
            </w:r>
          </w:p>
        </w:tc>
        <w:tc>
          <w:tcPr>
            <w:tcW w:w="2035" w:type="dxa"/>
          </w:tcPr>
          <w:p w14:paraId="294DBB38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1" w:type="dxa"/>
          </w:tcPr>
          <w:p w14:paraId="261421A6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6D5B9529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6D7642C3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4CD7F548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37DFF340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Baseline</w:t>
            </w:r>
          </w:p>
        </w:tc>
        <w:tc>
          <w:tcPr>
            <w:tcW w:w="2035" w:type="dxa"/>
          </w:tcPr>
          <w:p w14:paraId="2583AFD9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7.8 (7.4-8.3)</w:t>
            </w:r>
          </w:p>
          <w:p w14:paraId="47FDEA41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n=126</w:t>
            </w:r>
          </w:p>
        </w:tc>
        <w:tc>
          <w:tcPr>
            <w:tcW w:w="1981" w:type="dxa"/>
          </w:tcPr>
          <w:p w14:paraId="731091F5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7.7 (7.1-8.2)</w:t>
            </w:r>
          </w:p>
          <w:p w14:paraId="5DBC55BE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n=128</w:t>
            </w:r>
          </w:p>
        </w:tc>
        <w:tc>
          <w:tcPr>
            <w:tcW w:w="1558" w:type="dxa"/>
          </w:tcPr>
          <w:p w14:paraId="1D32500A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2E354655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39A93E44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13E9B329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Treatment cessation (3 months)</w:t>
            </w:r>
          </w:p>
        </w:tc>
        <w:tc>
          <w:tcPr>
            <w:tcW w:w="2035" w:type="dxa"/>
          </w:tcPr>
          <w:p w14:paraId="078AE3DF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6.4 (6.0-7.8)</w:t>
            </w:r>
          </w:p>
        </w:tc>
        <w:tc>
          <w:tcPr>
            <w:tcW w:w="1981" w:type="dxa"/>
          </w:tcPr>
          <w:p w14:paraId="7654896C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6.4 (6.0-6.8)</w:t>
            </w:r>
          </w:p>
        </w:tc>
        <w:tc>
          <w:tcPr>
            <w:tcW w:w="1558" w:type="dxa"/>
          </w:tcPr>
          <w:p w14:paraId="2428E2E8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-0.01 (0.27)</w:t>
            </w:r>
          </w:p>
        </w:tc>
        <w:tc>
          <w:tcPr>
            <w:tcW w:w="1558" w:type="dxa"/>
          </w:tcPr>
          <w:p w14:paraId="4F959CB2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(-0.54 to 0.53); 0.98</w:t>
            </w:r>
          </w:p>
        </w:tc>
      </w:tr>
      <w:tr w:rsidR="00C84B67" w:rsidRPr="000D68FF" w14:paraId="4B209F18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2CC69C3C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Follow-up (9 months)</w:t>
            </w:r>
          </w:p>
        </w:tc>
        <w:tc>
          <w:tcPr>
            <w:tcW w:w="2035" w:type="dxa"/>
          </w:tcPr>
          <w:p w14:paraId="5A6461FE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5.8 (5.2-6.3)</w:t>
            </w:r>
          </w:p>
        </w:tc>
        <w:tc>
          <w:tcPr>
            <w:tcW w:w="1981" w:type="dxa"/>
          </w:tcPr>
          <w:p w14:paraId="58102FF4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5.8 (5.2-6.3)</w:t>
            </w:r>
          </w:p>
        </w:tc>
        <w:tc>
          <w:tcPr>
            <w:tcW w:w="1558" w:type="dxa"/>
          </w:tcPr>
          <w:p w14:paraId="000C85F3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0.03 (0.39)</w:t>
            </w:r>
          </w:p>
        </w:tc>
        <w:tc>
          <w:tcPr>
            <w:tcW w:w="1558" w:type="dxa"/>
          </w:tcPr>
          <w:p w14:paraId="7B7B7ABD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(-0.74 to 0.80); 0.94</w:t>
            </w:r>
          </w:p>
        </w:tc>
      </w:tr>
      <w:tr w:rsidR="00C84B67" w:rsidRPr="000D68FF" w14:paraId="4F09FCB8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3D843BB4" w14:textId="77777777" w:rsidR="00C84B67" w:rsidRPr="000D68FF" w:rsidRDefault="00C84B67" w:rsidP="00665F1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SAPS Composite</w:t>
            </w:r>
          </w:p>
        </w:tc>
        <w:tc>
          <w:tcPr>
            <w:tcW w:w="2035" w:type="dxa"/>
          </w:tcPr>
          <w:p w14:paraId="14F33605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1" w:type="dxa"/>
          </w:tcPr>
          <w:p w14:paraId="516C182F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3AE8B005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0BB58DB4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5A26BD0B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4D30FFE0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Baseline</w:t>
            </w:r>
          </w:p>
        </w:tc>
        <w:tc>
          <w:tcPr>
            <w:tcW w:w="2035" w:type="dxa"/>
          </w:tcPr>
          <w:p w14:paraId="6BD516D4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22.9 (20.6-25.0)</w:t>
            </w:r>
          </w:p>
          <w:p w14:paraId="68D9B6C7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n=126</w:t>
            </w:r>
          </w:p>
        </w:tc>
        <w:tc>
          <w:tcPr>
            <w:tcW w:w="1981" w:type="dxa"/>
          </w:tcPr>
          <w:p w14:paraId="0345E290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21.8 (19.7-23.9)</w:t>
            </w:r>
          </w:p>
          <w:p w14:paraId="2B1161DD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n=128</w:t>
            </w:r>
          </w:p>
        </w:tc>
        <w:tc>
          <w:tcPr>
            <w:tcW w:w="1558" w:type="dxa"/>
          </w:tcPr>
          <w:p w14:paraId="54E433ED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51A8F75E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22C79A12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1B2F3E6B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Treatment cessation (3 months)</w:t>
            </w:r>
          </w:p>
        </w:tc>
        <w:tc>
          <w:tcPr>
            <w:tcW w:w="2035" w:type="dxa"/>
          </w:tcPr>
          <w:p w14:paraId="7E7A462A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16.6 (15.5-17.8)</w:t>
            </w:r>
          </w:p>
        </w:tc>
        <w:tc>
          <w:tcPr>
            <w:tcW w:w="1981" w:type="dxa"/>
          </w:tcPr>
          <w:p w14:paraId="33E2BB69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17.3 (16.0-18.6)</w:t>
            </w:r>
          </w:p>
        </w:tc>
        <w:tc>
          <w:tcPr>
            <w:tcW w:w="1558" w:type="dxa"/>
          </w:tcPr>
          <w:p w14:paraId="1C3C7241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0.66 (0.90)</w:t>
            </w:r>
          </w:p>
        </w:tc>
        <w:tc>
          <w:tcPr>
            <w:tcW w:w="1558" w:type="dxa"/>
          </w:tcPr>
          <w:p w14:paraId="55F7E98D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(-1.12 to 2.44); 0.47</w:t>
            </w:r>
          </w:p>
        </w:tc>
      </w:tr>
      <w:tr w:rsidR="00C84B67" w:rsidRPr="000D68FF" w14:paraId="35329D74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5E6E61D4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Follow-up (9 months)</w:t>
            </w:r>
          </w:p>
        </w:tc>
        <w:tc>
          <w:tcPr>
            <w:tcW w:w="2035" w:type="dxa"/>
          </w:tcPr>
          <w:p w14:paraId="4BABF22F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14.5 (13.1-15.8)</w:t>
            </w:r>
          </w:p>
        </w:tc>
        <w:tc>
          <w:tcPr>
            <w:tcW w:w="1981" w:type="dxa"/>
          </w:tcPr>
          <w:p w14:paraId="1E76CBB2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15.1 (13.6-16.7)</w:t>
            </w:r>
          </w:p>
        </w:tc>
        <w:tc>
          <w:tcPr>
            <w:tcW w:w="1558" w:type="dxa"/>
          </w:tcPr>
          <w:p w14:paraId="4E711E3D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0.70 (1.11)</w:t>
            </w:r>
          </w:p>
        </w:tc>
        <w:tc>
          <w:tcPr>
            <w:tcW w:w="1558" w:type="dxa"/>
          </w:tcPr>
          <w:p w14:paraId="64A1FB4D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(-1.49 to 2.89); 0.53 </w:t>
            </w:r>
          </w:p>
        </w:tc>
      </w:tr>
      <w:tr w:rsidR="00C84B67" w:rsidRPr="000D68FF" w14:paraId="43F1046F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71CF34DE" w14:textId="77777777" w:rsidR="00C84B67" w:rsidRPr="000D68FF" w:rsidRDefault="00C84B67" w:rsidP="00665F1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BNSS</w:t>
            </w:r>
          </w:p>
        </w:tc>
        <w:tc>
          <w:tcPr>
            <w:tcW w:w="2035" w:type="dxa"/>
          </w:tcPr>
          <w:p w14:paraId="352C1EA9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1" w:type="dxa"/>
          </w:tcPr>
          <w:p w14:paraId="78A11687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56EA30C7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715E2652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6DA03BC7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1043FEDA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Baseline</w:t>
            </w:r>
          </w:p>
        </w:tc>
        <w:tc>
          <w:tcPr>
            <w:tcW w:w="2035" w:type="dxa"/>
          </w:tcPr>
          <w:p w14:paraId="1B94B396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23.4 (21.7-25.2)</w:t>
            </w:r>
          </w:p>
          <w:p w14:paraId="32BA326C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n=126</w:t>
            </w:r>
          </w:p>
        </w:tc>
        <w:tc>
          <w:tcPr>
            <w:tcW w:w="1981" w:type="dxa"/>
          </w:tcPr>
          <w:p w14:paraId="2C2D242A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23.4 (21.4-25.3)</w:t>
            </w:r>
          </w:p>
          <w:p w14:paraId="5AD12B4F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n=126</w:t>
            </w:r>
          </w:p>
        </w:tc>
        <w:tc>
          <w:tcPr>
            <w:tcW w:w="1558" w:type="dxa"/>
          </w:tcPr>
          <w:p w14:paraId="25775D8D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6F4CBA9E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58A6EDC6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37222F37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Treatment cessation (3 months)</w:t>
            </w:r>
          </w:p>
        </w:tc>
        <w:tc>
          <w:tcPr>
            <w:tcW w:w="2035" w:type="dxa"/>
          </w:tcPr>
          <w:p w14:paraId="357A1671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20.5 (19.4-21.7)</w:t>
            </w:r>
          </w:p>
        </w:tc>
        <w:tc>
          <w:tcPr>
            <w:tcW w:w="1981" w:type="dxa"/>
          </w:tcPr>
          <w:p w14:paraId="27BBAF24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21.2 (20.0-22.4)</w:t>
            </w:r>
          </w:p>
        </w:tc>
        <w:tc>
          <w:tcPr>
            <w:tcW w:w="1558" w:type="dxa"/>
          </w:tcPr>
          <w:p w14:paraId="663AB37F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0.66 (0.85)</w:t>
            </w:r>
          </w:p>
        </w:tc>
        <w:tc>
          <w:tcPr>
            <w:tcW w:w="1558" w:type="dxa"/>
          </w:tcPr>
          <w:p w14:paraId="7504EA8C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(-1.02 to 2.33); 0.44</w:t>
            </w:r>
          </w:p>
        </w:tc>
      </w:tr>
      <w:tr w:rsidR="00C84B67" w:rsidRPr="000D68FF" w14:paraId="5D324C18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16FCBAF2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Follow-up (9 months)</w:t>
            </w:r>
          </w:p>
        </w:tc>
        <w:tc>
          <w:tcPr>
            <w:tcW w:w="2035" w:type="dxa"/>
          </w:tcPr>
          <w:p w14:paraId="789C8C9C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19.7 (18.2-21.3)</w:t>
            </w:r>
          </w:p>
        </w:tc>
        <w:tc>
          <w:tcPr>
            <w:tcW w:w="1981" w:type="dxa"/>
          </w:tcPr>
          <w:p w14:paraId="28CB2D71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18.3 (16.5-20.1)</w:t>
            </w:r>
          </w:p>
        </w:tc>
        <w:tc>
          <w:tcPr>
            <w:tcW w:w="1558" w:type="dxa"/>
          </w:tcPr>
          <w:p w14:paraId="159B09C4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-1.42 (1.25)</w:t>
            </w:r>
          </w:p>
        </w:tc>
        <w:tc>
          <w:tcPr>
            <w:tcW w:w="1558" w:type="dxa"/>
          </w:tcPr>
          <w:p w14:paraId="77D26324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(-3.88 to 1.05); 0.26</w:t>
            </w:r>
          </w:p>
        </w:tc>
      </w:tr>
      <w:tr w:rsidR="00C84B67" w:rsidRPr="000D68FF" w14:paraId="779D4D39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6D9E23D6" w14:textId="77777777" w:rsidR="00C84B67" w:rsidRPr="000D68FF" w:rsidRDefault="00C84B67" w:rsidP="00665F1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CDSS</w:t>
            </w:r>
          </w:p>
        </w:tc>
        <w:tc>
          <w:tcPr>
            <w:tcW w:w="2035" w:type="dxa"/>
          </w:tcPr>
          <w:p w14:paraId="66D1B0E4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1" w:type="dxa"/>
          </w:tcPr>
          <w:p w14:paraId="157C0741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522EF5B8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6E957B04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40E2B7E7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68A87ED0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Baseline</w:t>
            </w:r>
          </w:p>
        </w:tc>
        <w:tc>
          <w:tcPr>
            <w:tcW w:w="2035" w:type="dxa"/>
          </w:tcPr>
          <w:p w14:paraId="2315DC30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6.1 (5.4-6.8) </w:t>
            </w:r>
          </w:p>
          <w:p w14:paraId="18ACE320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n=124</w:t>
            </w:r>
          </w:p>
        </w:tc>
        <w:tc>
          <w:tcPr>
            <w:tcW w:w="1981" w:type="dxa"/>
          </w:tcPr>
          <w:p w14:paraId="3B91F341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5.7 (5.1-6.3)</w:t>
            </w:r>
          </w:p>
          <w:p w14:paraId="692DDA08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n=126</w:t>
            </w:r>
          </w:p>
        </w:tc>
        <w:tc>
          <w:tcPr>
            <w:tcW w:w="1558" w:type="dxa"/>
          </w:tcPr>
          <w:p w14:paraId="1F124172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1A657268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3BECB345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54B5F4A1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Treatment cessation (3 months)</w:t>
            </w:r>
          </w:p>
        </w:tc>
        <w:tc>
          <w:tcPr>
            <w:tcW w:w="2035" w:type="dxa"/>
          </w:tcPr>
          <w:p w14:paraId="6376AAEA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4.5 (3.9-5.0)</w:t>
            </w:r>
          </w:p>
        </w:tc>
        <w:tc>
          <w:tcPr>
            <w:tcW w:w="1981" w:type="dxa"/>
          </w:tcPr>
          <w:p w14:paraId="5A87B876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4.9 (4.2-5.5)</w:t>
            </w:r>
          </w:p>
        </w:tc>
        <w:tc>
          <w:tcPr>
            <w:tcW w:w="1558" w:type="dxa"/>
          </w:tcPr>
          <w:p w14:paraId="23BC5E76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0.41 (0.45)</w:t>
            </w:r>
          </w:p>
        </w:tc>
        <w:tc>
          <w:tcPr>
            <w:tcW w:w="1558" w:type="dxa"/>
          </w:tcPr>
          <w:p w14:paraId="0C80954F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(-0.48 to 1.29); 0.37</w:t>
            </w:r>
          </w:p>
        </w:tc>
      </w:tr>
      <w:tr w:rsidR="00C84B67" w:rsidRPr="000D68FF" w14:paraId="469D1C7F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02A6210E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Follow-up (9 months)</w:t>
            </w:r>
          </w:p>
        </w:tc>
        <w:tc>
          <w:tcPr>
            <w:tcW w:w="2035" w:type="dxa"/>
          </w:tcPr>
          <w:p w14:paraId="3A4ED866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4.8 (4.1-5.5)</w:t>
            </w:r>
          </w:p>
        </w:tc>
        <w:tc>
          <w:tcPr>
            <w:tcW w:w="1981" w:type="dxa"/>
          </w:tcPr>
          <w:p w14:paraId="7DD09160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4.8 (3.9-5.6)</w:t>
            </w:r>
          </w:p>
        </w:tc>
        <w:tc>
          <w:tcPr>
            <w:tcW w:w="1558" w:type="dxa"/>
          </w:tcPr>
          <w:p w14:paraId="45661C4A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-0.01 (0.59)</w:t>
            </w:r>
          </w:p>
        </w:tc>
        <w:tc>
          <w:tcPr>
            <w:tcW w:w="1558" w:type="dxa"/>
          </w:tcPr>
          <w:p w14:paraId="79582C01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(-1.17 to 1.16); 0.99</w:t>
            </w:r>
          </w:p>
        </w:tc>
      </w:tr>
      <w:tr w:rsidR="00C84B67" w:rsidRPr="000D68FF" w14:paraId="5DD1F1B5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145B10FA" w14:textId="77777777" w:rsidR="00C84B67" w:rsidRPr="000D68FF" w:rsidRDefault="00C84B67" w:rsidP="00665F1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COGDIS total</w:t>
            </w:r>
          </w:p>
        </w:tc>
        <w:tc>
          <w:tcPr>
            <w:tcW w:w="2035" w:type="dxa"/>
          </w:tcPr>
          <w:p w14:paraId="04A6FC53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1" w:type="dxa"/>
          </w:tcPr>
          <w:p w14:paraId="152AA3CB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1FDA5999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16ABF490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088008E7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5A328BD6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Baseline</w:t>
            </w:r>
          </w:p>
        </w:tc>
        <w:tc>
          <w:tcPr>
            <w:tcW w:w="2035" w:type="dxa"/>
          </w:tcPr>
          <w:p w14:paraId="602B7DD6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18.1 (16.3-19.8)</w:t>
            </w:r>
          </w:p>
          <w:p w14:paraId="7F87668F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n=126</w:t>
            </w:r>
          </w:p>
        </w:tc>
        <w:tc>
          <w:tcPr>
            <w:tcW w:w="1981" w:type="dxa"/>
          </w:tcPr>
          <w:p w14:paraId="08768AC4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17.7 (16.0-19.3)</w:t>
            </w:r>
          </w:p>
          <w:p w14:paraId="46B63CC5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n=127</w:t>
            </w:r>
          </w:p>
        </w:tc>
        <w:tc>
          <w:tcPr>
            <w:tcW w:w="1558" w:type="dxa"/>
          </w:tcPr>
          <w:p w14:paraId="58463AEA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194F0BAF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0911A0FC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32E22E9B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Treatment cessation (3 months)</w:t>
            </w:r>
          </w:p>
        </w:tc>
        <w:tc>
          <w:tcPr>
            <w:tcW w:w="2035" w:type="dxa"/>
          </w:tcPr>
          <w:p w14:paraId="2A22BBFD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16.2 (14.8-17.6)</w:t>
            </w:r>
          </w:p>
        </w:tc>
        <w:tc>
          <w:tcPr>
            <w:tcW w:w="1981" w:type="dxa"/>
          </w:tcPr>
          <w:p w14:paraId="11929DEC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17.9 (16.4-19.5)</w:t>
            </w:r>
          </w:p>
        </w:tc>
        <w:tc>
          <w:tcPr>
            <w:tcW w:w="1558" w:type="dxa"/>
          </w:tcPr>
          <w:p w14:paraId="40C12560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1.72 (1.07)</w:t>
            </w:r>
          </w:p>
        </w:tc>
        <w:tc>
          <w:tcPr>
            <w:tcW w:w="1558" w:type="dxa"/>
          </w:tcPr>
          <w:p w14:paraId="4CC3A805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(-0.39 to 3.84); 0.11</w:t>
            </w:r>
          </w:p>
        </w:tc>
      </w:tr>
      <w:tr w:rsidR="00C84B67" w:rsidRPr="000D68FF" w14:paraId="58B7FA27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04599CDF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Follow-up (9 months)</w:t>
            </w:r>
          </w:p>
        </w:tc>
        <w:tc>
          <w:tcPr>
            <w:tcW w:w="2035" w:type="dxa"/>
          </w:tcPr>
          <w:p w14:paraId="7CE3C8C3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16.2 (14.3-18.0)</w:t>
            </w:r>
          </w:p>
        </w:tc>
        <w:tc>
          <w:tcPr>
            <w:tcW w:w="1981" w:type="dxa"/>
          </w:tcPr>
          <w:p w14:paraId="4999D20E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16.4 (14.3-18.5)</w:t>
            </w:r>
          </w:p>
        </w:tc>
        <w:tc>
          <w:tcPr>
            <w:tcW w:w="1558" w:type="dxa"/>
          </w:tcPr>
          <w:p w14:paraId="2D1C4E9C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0.21 (1.47)</w:t>
            </w:r>
          </w:p>
        </w:tc>
        <w:tc>
          <w:tcPr>
            <w:tcW w:w="1558" w:type="dxa"/>
          </w:tcPr>
          <w:p w14:paraId="32008340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(-2.70 to 3.12); 0.89</w:t>
            </w:r>
          </w:p>
        </w:tc>
      </w:tr>
      <w:tr w:rsidR="00C84B67" w:rsidRPr="000D68FF" w14:paraId="773DE5C2" w14:textId="77777777" w:rsidTr="00665F1F">
        <w:trPr>
          <w:trHeight w:val="1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25048415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</w:p>
        </w:tc>
        <w:tc>
          <w:tcPr>
            <w:tcW w:w="2035" w:type="dxa"/>
          </w:tcPr>
          <w:p w14:paraId="394BF245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1" w:type="dxa"/>
          </w:tcPr>
          <w:p w14:paraId="319A1656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7F57AFD7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6201B9B3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66312DB1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1CA44C99" w14:textId="77777777" w:rsidR="00C84B67" w:rsidRPr="000D68FF" w:rsidRDefault="00C84B67" w:rsidP="00665F1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Trustworthiness</w:t>
            </w:r>
          </w:p>
        </w:tc>
        <w:tc>
          <w:tcPr>
            <w:tcW w:w="2035" w:type="dxa"/>
          </w:tcPr>
          <w:p w14:paraId="661B4CA4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1" w:type="dxa"/>
          </w:tcPr>
          <w:p w14:paraId="40581F39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0FB299EA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51C74F11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6F1F7412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07B2DC6F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Baseline</w:t>
            </w:r>
          </w:p>
        </w:tc>
        <w:tc>
          <w:tcPr>
            <w:tcW w:w="2035" w:type="dxa"/>
          </w:tcPr>
          <w:p w14:paraId="73BF4ED6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-0.22 (-0.33 to -0.13) </w:t>
            </w:r>
          </w:p>
          <w:p w14:paraId="0D4050A5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n=126</w:t>
            </w:r>
          </w:p>
        </w:tc>
        <w:tc>
          <w:tcPr>
            <w:tcW w:w="1981" w:type="dxa"/>
          </w:tcPr>
          <w:p w14:paraId="776288CE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-0.30 (-0.42 to -0.18) </w:t>
            </w:r>
          </w:p>
          <w:p w14:paraId="1A272FE3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n=128</w:t>
            </w:r>
          </w:p>
        </w:tc>
        <w:tc>
          <w:tcPr>
            <w:tcW w:w="1558" w:type="dxa"/>
          </w:tcPr>
          <w:p w14:paraId="6C64E46A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759BA540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02076BB6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24B4BF11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lastRenderedPageBreak/>
              <w:t>Treatment cessation (3 months)</w:t>
            </w:r>
          </w:p>
        </w:tc>
        <w:tc>
          <w:tcPr>
            <w:tcW w:w="2035" w:type="dxa"/>
          </w:tcPr>
          <w:p w14:paraId="4512B1A3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-0.18 (-0.28 to -0.07)</w:t>
            </w:r>
          </w:p>
        </w:tc>
        <w:tc>
          <w:tcPr>
            <w:tcW w:w="1981" w:type="dxa"/>
          </w:tcPr>
          <w:p w14:paraId="79359879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-0.10 (-0.21 to 0.02)</w:t>
            </w:r>
          </w:p>
        </w:tc>
        <w:tc>
          <w:tcPr>
            <w:tcW w:w="1558" w:type="dxa"/>
          </w:tcPr>
          <w:p w14:paraId="18274721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0.08 (0.08)</w:t>
            </w:r>
          </w:p>
        </w:tc>
        <w:tc>
          <w:tcPr>
            <w:tcW w:w="1558" w:type="dxa"/>
          </w:tcPr>
          <w:p w14:paraId="35E0897E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(-0.08 to 0.23); 0.32</w:t>
            </w:r>
          </w:p>
        </w:tc>
      </w:tr>
      <w:tr w:rsidR="00C84B67" w:rsidRPr="000D68FF" w14:paraId="38D251F1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71BBDCC9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Follow-up (9 months)</w:t>
            </w:r>
          </w:p>
        </w:tc>
        <w:tc>
          <w:tcPr>
            <w:tcW w:w="2035" w:type="dxa"/>
          </w:tcPr>
          <w:p w14:paraId="4F1209A6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-0.13 (-0.24 to -0.01)</w:t>
            </w:r>
          </w:p>
        </w:tc>
        <w:tc>
          <w:tcPr>
            <w:tcW w:w="1981" w:type="dxa"/>
          </w:tcPr>
          <w:p w14:paraId="0209152D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-1.11 (-0.25 to 0.02)</w:t>
            </w:r>
          </w:p>
        </w:tc>
        <w:tc>
          <w:tcPr>
            <w:tcW w:w="1558" w:type="dxa"/>
          </w:tcPr>
          <w:p w14:paraId="317E1A18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 (0.09)</w:t>
            </w:r>
          </w:p>
        </w:tc>
        <w:tc>
          <w:tcPr>
            <w:tcW w:w="1558" w:type="dxa"/>
          </w:tcPr>
          <w:p w14:paraId="4DBBCDC8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(-0.17 to 0.20); 0.86</w:t>
            </w:r>
          </w:p>
        </w:tc>
      </w:tr>
      <w:tr w:rsidR="00C84B67" w:rsidRPr="000D68FF" w14:paraId="5EF37535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779E4DAF" w14:textId="77777777" w:rsidR="00C84B67" w:rsidRPr="000D68FF" w:rsidRDefault="00C84B67" w:rsidP="00665F1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SSPA (SCOPE variables) </w:t>
            </w:r>
          </w:p>
        </w:tc>
        <w:tc>
          <w:tcPr>
            <w:tcW w:w="2035" w:type="dxa"/>
          </w:tcPr>
          <w:p w14:paraId="0F172930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1" w:type="dxa"/>
          </w:tcPr>
          <w:p w14:paraId="0693DE99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71CF43FC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3770016D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0972A1D1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3CE45E73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Baseline</w:t>
            </w:r>
          </w:p>
        </w:tc>
        <w:tc>
          <w:tcPr>
            <w:tcW w:w="2035" w:type="dxa"/>
          </w:tcPr>
          <w:p w14:paraId="200846B5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4.09 (3.99-4.20)</w:t>
            </w:r>
          </w:p>
          <w:p w14:paraId="788D5AED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n=125</w:t>
            </w:r>
          </w:p>
        </w:tc>
        <w:tc>
          <w:tcPr>
            <w:tcW w:w="1981" w:type="dxa"/>
          </w:tcPr>
          <w:p w14:paraId="61E639BF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4.14 (4.05-4.24)</w:t>
            </w:r>
          </w:p>
          <w:p w14:paraId="584233C5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n=126</w:t>
            </w:r>
          </w:p>
        </w:tc>
        <w:tc>
          <w:tcPr>
            <w:tcW w:w="1558" w:type="dxa"/>
          </w:tcPr>
          <w:p w14:paraId="7EC8EF2B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7D8C4652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44E3753D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0DB6834E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Treatment cessation (3 months)</w:t>
            </w:r>
          </w:p>
        </w:tc>
        <w:tc>
          <w:tcPr>
            <w:tcW w:w="2035" w:type="dxa"/>
          </w:tcPr>
          <w:p w14:paraId="2DD7F98A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4.38 (4.30-4.46)</w:t>
            </w:r>
          </w:p>
        </w:tc>
        <w:tc>
          <w:tcPr>
            <w:tcW w:w="1981" w:type="dxa"/>
          </w:tcPr>
          <w:p w14:paraId="518CF16F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4.30 (4.20-4.40)</w:t>
            </w:r>
          </w:p>
        </w:tc>
        <w:tc>
          <w:tcPr>
            <w:tcW w:w="1558" w:type="dxa"/>
          </w:tcPr>
          <w:p w14:paraId="2717020C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-0.08 (0.07)</w:t>
            </w:r>
          </w:p>
        </w:tc>
        <w:tc>
          <w:tcPr>
            <w:tcW w:w="1558" w:type="dxa"/>
          </w:tcPr>
          <w:p w14:paraId="38B64E37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(-0.21 to 0.5); 0.24</w:t>
            </w:r>
          </w:p>
        </w:tc>
      </w:tr>
      <w:tr w:rsidR="00C84B67" w:rsidRPr="000D68FF" w14:paraId="2E6970CA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65157628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Follow-up (9 months)</w:t>
            </w:r>
          </w:p>
        </w:tc>
        <w:tc>
          <w:tcPr>
            <w:tcW w:w="2035" w:type="dxa"/>
          </w:tcPr>
          <w:p w14:paraId="0362C3F0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4.42 (4.34-4.49)</w:t>
            </w:r>
          </w:p>
        </w:tc>
        <w:tc>
          <w:tcPr>
            <w:tcW w:w="1981" w:type="dxa"/>
          </w:tcPr>
          <w:p w14:paraId="7F0374C6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4.39 (4.29-4.50)</w:t>
            </w:r>
          </w:p>
        </w:tc>
        <w:tc>
          <w:tcPr>
            <w:tcW w:w="1558" w:type="dxa"/>
          </w:tcPr>
          <w:p w14:paraId="42A3BEAD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-0.02 (0.07)</w:t>
            </w:r>
          </w:p>
        </w:tc>
        <w:tc>
          <w:tcPr>
            <w:tcW w:w="1558" w:type="dxa"/>
          </w:tcPr>
          <w:p w14:paraId="1ED6B84F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(-0.15 to 0.11); 0.74</w:t>
            </w:r>
          </w:p>
        </w:tc>
      </w:tr>
      <w:tr w:rsidR="00C84B67" w:rsidRPr="000D68FF" w14:paraId="72118CC2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1E18B0CE" w14:textId="77777777" w:rsidR="00C84B67" w:rsidRPr="000D68FF" w:rsidRDefault="00C84B67" w:rsidP="00665F1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IBT total </w:t>
            </w:r>
          </w:p>
        </w:tc>
        <w:tc>
          <w:tcPr>
            <w:tcW w:w="2035" w:type="dxa"/>
          </w:tcPr>
          <w:p w14:paraId="344383E3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1" w:type="dxa"/>
          </w:tcPr>
          <w:p w14:paraId="1D276605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0B819D65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067FDB6D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39F6C77C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2651D61B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Baseline</w:t>
            </w:r>
          </w:p>
        </w:tc>
        <w:tc>
          <w:tcPr>
            <w:tcW w:w="2035" w:type="dxa"/>
          </w:tcPr>
          <w:p w14:paraId="2C8F8561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0.53 (0.51-0.56)</w:t>
            </w:r>
          </w:p>
          <w:p w14:paraId="18FC9D3A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n=124</w:t>
            </w:r>
          </w:p>
        </w:tc>
        <w:tc>
          <w:tcPr>
            <w:tcW w:w="1981" w:type="dxa"/>
          </w:tcPr>
          <w:p w14:paraId="2E287C62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0.57 (0.55-0.60) n=127</w:t>
            </w:r>
          </w:p>
        </w:tc>
        <w:tc>
          <w:tcPr>
            <w:tcW w:w="1558" w:type="dxa"/>
          </w:tcPr>
          <w:p w14:paraId="62388BEC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2E5CD226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7EEB182A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4B4FA50E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Treatment cessation (3 months)</w:t>
            </w:r>
          </w:p>
        </w:tc>
        <w:tc>
          <w:tcPr>
            <w:tcW w:w="2035" w:type="dxa"/>
          </w:tcPr>
          <w:p w14:paraId="497BEF17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0.52 (0.50-0.54)</w:t>
            </w:r>
          </w:p>
        </w:tc>
        <w:tc>
          <w:tcPr>
            <w:tcW w:w="1981" w:type="dxa"/>
          </w:tcPr>
          <w:p w14:paraId="32901980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0.54 (0.51-0.56)</w:t>
            </w:r>
          </w:p>
        </w:tc>
        <w:tc>
          <w:tcPr>
            <w:tcW w:w="1558" w:type="dxa"/>
          </w:tcPr>
          <w:p w14:paraId="5D2F1CAA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 (0.02)</w:t>
            </w:r>
          </w:p>
        </w:tc>
        <w:tc>
          <w:tcPr>
            <w:tcW w:w="1558" w:type="dxa"/>
          </w:tcPr>
          <w:p w14:paraId="736B8570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(-0.01 to 0.05); 0.23</w:t>
            </w:r>
          </w:p>
        </w:tc>
      </w:tr>
      <w:tr w:rsidR="00C84B67" w:rsidRPr="000D68FF" w14:paraId="0D96371D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1C0AF47A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Follow-up (9 months)</w:t>
            </w:r>
          </w:p>
        </w:tc>
        <w:tc>
          <w:tcPr>
            <w:tcW w:w="2035" w:type="dxa"/>
          </w:tcPr>
          <w:p w14:paraId="6B51B17A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0.52 (0.49-0.54)</w:t>
            </w:r>
          </w:p>
        </w:tc>
        <w:tc>
          <w:tcPr>
            <w:tcW w:w="1981" w:type="dxa"/>
          </w:tcPr>
          <w:p w14:paraId="38128843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0.53 (0.51-0.56)</w:t>
            </w:r>
          </w:p>
        </w:tc>
        <w:tc>
          <w:tcPr>
            <w:tcW w:w="1558" w:type="dxa"/>
          </w:tcPr>
          <w:p w14:paraId="3A023E65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 (0.02)</w:t>
            </w:r>
          </w:p>
        </w:tc>
        <w:tc>
          <w:tcPr>
            <w:tcW w:w="1558" w:type="dxa"/>
          </w:tcPr>
          <w:p w14:paraId="03206A2F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(-0.03 to 0.05); 0.47</w:t>
            </w:r>
          </w:p>
        </w:tc>
      </w:tr>
      <w:tr w:rsidR="00C84B67" w:rsidRPr="000D68FF" w14:paraId="57DE98D6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56CD0331" w14:textId="77777777" w:rsidR="00C84B67" w:rsidRPr="000D68FF" w:rsidRDefault="00C84B67" w:rsidP="00665F1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IBT automatic</w:t>
            </w:r>
          </w:p>
        </w:tc>
        <w:tc>
          <w:tcPr>
            <w:tcW w:w="2035" w:type="dxa"/>
          </w:tcPr>
          <w:p w14:paraId="12004D5D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1" w:type="dxa"/>
          </w:tcPr>
          <w:p w14:paraId="30A4A51B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375EB8C1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47E28394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2269CDE1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119A1BF1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Baseline</w:t>
            </w:r>
          </w:p>
        </w:tc>
        <w:tc>
          <w:tcPr>
            <w:tcW w:w="2035" w:type="dxa"/>
          </w:tcPr>
          <w:p w14:paraId="602EA9FE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0.58 (0.54-0.63)</w:t>
            </w:r>
          </w:p>
          <w:p w14:paraId="793C4D03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n=124</w:t>
            </w:r>
          </w:p>
        </w:tc>
        <w:tc>
          <w:tcPr>
            <w:tcW w:w="1981" w:type="dxa"/>
          </w:tcPr>
          <w:p w14:paraId="196360D5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0.65 (0.61-0.70)</w:t>
            </w:r>
          </w:p>
          <w:p w14:paraId="14867EDC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n=127</w:t>
            </w:r>
          </w:p>
        </w:tc>
        <w:tc>
          <w:tcPr>
            <w:tcW w:w="1558" w:type="dxa"/>
          </w:tcPr>
          <w:p w14:paraId="06BD693C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2B7AD5D3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580BB780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500BFC7D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Treatment cessation (3 months)</w:t>
            </w:r>
          </w:p>
        </w:tc>
        <w:tc>
          <w:tcPr>
            <w:tcW w:w="2035" w:type="dxa"/>
          </w:tcPr>
          <w:p w14:paraId="76E239BF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0.56 (0.52-0.60)</w:t>
            </w:r>
          </w:p>
        </w:tc>
        <w:tc>
          <w:tcPr>
            <w:tcW w:w="1981" w:type="dxa"/>
          </w:tcPr>
          <w:p w14:paraId="5FCE5BA1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0.61 (0.56-0.65)</w:t>
            </w:r>
          </w:p>
        </w:tc>
        <w:tc>
          <w:tcPr>
            <w:tcW w:w="1558" w:type="dxa"/>
          </w:tcPr>
          <w:p w14:paraId="0A9E2A73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0.05 (0.03) </w:t>
            </w:r>
          </w:p>
        </w:tc>
        <w:tc>
          <w:tcPr>
            <w:tcW w:w="1558" w:type="dxa"/>
          </w:tcPr>
          <w:p w14:paraId="70CF3406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(-0.01 to 0.11); 0.37</w:t>
            </w:r>
          </w:p>
        </w:tc>
      </w:tr>
      <w:tr w:rsidR="00C84B67" w:rsidRPr="000D68FF" w14:paraId="364C87CD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548B83F0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Follow-up (9 months)</w:t>
            </w:r>
          </w:p>
        </w:tc>
        <w:tc>
          <w:tcPr>
            <w:tcW w:w="2035" w:type="dxa"/>
          </w:tcPr>
          <w:p w14:paraId="0751713F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0.57 (0.52-0.61)</w:t>
            </w:r>
          </w:p>
        </w:tc>
        <w:tc>
          <w:tcPr>
            <w:tcW w:w="1981" w:type="dxa"/>
          </w:tcPr>
          <w:p w14:paraId="5A72364E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0.58 (0.52-0.63)</w:t>
            </w:r>
          </w:p>
        </w:tc>
        <w:tc>
          <w:tcPr>
            <w:tcW w:w="1558" w:type="dxa"/>
          </w:tcPr>
          <w:p w14:paraId="6A9A45EB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 (0.04)</w:t>
            </w:r>
          </w:p>
        </w:tc>
        <w:tc>
          <w:tcPr>
            <w:tcW w:w="1558" w:type="dxa"/>
          </w:tcPr>
          <w:p w14:paraId="3B7944AD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(-0.06 to 0.08); 0.85</w:t>
            </w:r>
          </w:p>
        </w:tc>
      </w:tr>
      <w:tr w:rsidR="00C84B67" w:rsidRPr="000D68FF" w14:paraId="3D995E8A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31028CFB" w14:textId="77777777" w:rsidR="00C84B67" w:rsidRPr="000D68FF" w:rsidRDefault="00C84B67" w:rsidP="00665F1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IBT Control</w:t>
            </w:r>
          </w:p>
        </w:tc>
        <w:tc>
          <w:tcPr>
            <w:tcW w:w="2035" w:type="dxa"/>
          </w:tcPr>
          <w:p w14:paraId="49E733ED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1" w:type="dxa"/>
          </w:tcPr>
          <w:p w14:paraId="45BFF486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701481F5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5DCA8691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2F2B91B3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3FCCA342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Baseline</w:t>
            </w:r>
          </w:p>
        </w:tc>
        <w:tc>
          <w:tcPr>
            <w:tcW w:w="2035" w:type="dxa"/>
          </w:tcPr>
          <w:p w14:paraId="289FEDA0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0.38 (0.34-0.43)</w:t>
            </w:r>
          </w:p>
          <w:p w14:paraId="1A6BD404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n=124</w:t>
            </w:r>
          </w:p>
        </w:tc>
        <w:tc>
          <w:tcPr>
            <w:tcW w:w="1981" w:type="dxa"/>
          </w:tcPr>
          <w:p w14:paraId="35B15C78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0.38 (0.34-0.42)</w:t>
            </w:r>
          </w:p>
          <w:p w14:paraId="70353837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n=127</w:t>
            </w:r>
          </w:p>
        </w:tc>
        <w:tc>
          <w:tcPr>
            <w:tcW w:w="1558" w:type="dxa"/>
          </w:tcPr>
          <w:p w14:paraId="44BA80E7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41EFFF8D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41729E53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358152D3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Treatment cessation (3 months)</w:t>
            </w:r>
          </w:p>
        </w:tc>
        <w:tc>
          <w:tcPr>
            <w:tcW w:w="2035" w:type="dxa"/>
          </w:tcPr>
          <w:p w14:paraId="3D53377A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0.42 (0.37-0.46)</w:t>
            </w:r>
          </w:p>
        </w:tc>
        <w:tc>
          <w:tcPr>
            <w:tcW w:w="1981" w:type="dxa"/>
          </w:tcPr>
          <w:p w14:paraId="3C842075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0.40 (0.35-0.46)</w:t>
            </w:r>
          </w:p>
        </w:tc>
        <w:tc>
          <w:tcPr>
            <w:tcW w:w="1558" w:type="dxa"/>
          </w:tcPr>
          <w:p w14:paraId="33DDF9E1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-0.01 (0.03)</w:t>
            </w:r>
          </w:p>
        </w:tc>
        <w:tc>
          <w:tcPr>
            <w:tcW w:w="1558" w:type="dxa"/>
          </w:tcPr>
          <w:p w14:paraId="65C7EA41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(-0.08 to 0.05); 0.68</w:t>
            </w:r>
          </w:p>
        </w:tc>
      </w:tr>
      <w:tr w:rsidR="00C84B67" w:rsidRPr="000D68FF" w14:paraId="163B0E9E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6530A068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Follow-up (9 months)</w:t>
            </w:r>
          </w:p>
        </w:tc>
        <w:tc>
          <w:tcPr>
            <w:tcW w:w="2035" w:type="dxa"/>
          </w:tcPr>
          <w:p w14:paraId="15868FD9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0.39 (0.35-0.44)</w:t>
            </w:r>
          </w:p>
        </w:tc>
        <w:tc>
          <w:tcPr>
            <w:tcW w:w="1981" w:type="dxa"/>
          </w:tcPr>
          <w:p w14:paraId="6649380B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0.38 (0.33-0.42)</w:t>
            </w:r>
          </w:p>
        </w:tc>
        <w:tc>
          <w:tcPr>
            <w:tcW w:w="1558" w:type="dxa"/>
          </w:tcPr>
          <w:p w14:paraId="21F7F163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-0.02 (0.03)</w:t>
            </w:r>
          </w:p>
        </w:tc>
        <w:tc>
          <w:tcPr>
            <w:tcW w:w="1558" w:type="dxa"/>
          </w:tcPr>
          <w:p w14:paraId="3FF43250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(-0.08 to 0.05); 0.60</w:t>
            </w:r>
          </w:p>
        </w:tc>
      </w:tr>
      <w:tr w:rsidR="00C84B67" w:rsidRPr="000D68FF" w14:paraId="502A2B25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72AC77EC" w14:textId="77777777" w:rsidR="00C84B67" w:rsidRPr="000D68FF" w:rsidRDefault="00C84B67" w:rsidP="00665F1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SIDAS</w:t>
            </w:r>
          </w:p>
        </w:tc>
        <w:tc>
          <w:tcPr>
            <w:tcW w:w="2035" w:type="dxa"/>
          </w:tcPr>
          <w:p w14:paraId="5D817F3C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1" w:type="dxa"/>
          </w:tcPr>
          <w:p w14:paraId="4BFB0D38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7936F0D0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4BC142BD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7A6EE54B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7CC60626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Baseline</w:t>
            </w:r>
          </w:p>
        </w:tc>
        <w:tc>
          <w:tcPr>
            <w:tcW w:w="2035" w:type="dxa"/>
          </w:tcPr>
          <w:p w14:paraId="53E6EC98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9.2 (7.3-11.0)</w:t>
            </w:r>
          </w:p>
          <w:p w14:paraId="5D0F68BF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n=126</w:t>
            </w:r>
          </w:p>
        </w:tc>
        <w:tc>
          <w:tcPr>
            <w:tcW w:w="1981" w:type="dxa"/>
          </w:tcPr>
          <w:p w14:paraId="333245F3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9.4 (7.6-11.2)</w:t>
            </w:r>
          </w:p>
          <w:p w14:paraId="2AB23799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n=127</w:t>
            </w:r>
          </w:p>
        </w:tc>
        <w:tc>
          <w:tcPr>
            <w:tcW w:w="1558" w:type="dxa"/>
          </w:tcPr>
          <w:p w14:paraId="120BA487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63B38E81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6CE0B840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0B5F66CF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Treatment cessation (3 months)</w:t>
            </w:r>
          </w:p>
        </w:tc>
        <w:tc>
          <w:tcPr>
            <w:tcW w:w="2035" w:type="dxa"/>
          </w:tcPr>
          <w:p w14:paraId="65F7D0B7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6.4 (5.1-7.7)</w:t>
            </w:r>
          </w:p>
        </w:tc>
        <w:tc>
          <w:tcPr>
            <w:tcW w:w="1981" w:type="dxa"/>
          </w:tcPr>
          <w:p w14:paraId="6F0EDB30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8.3 (6.9-9.8)</w:t>
            </w:r>
          </w:p>
        </w:tc>
        <w:tc>
          <w:tcPr>
            <w:tcW w:w="1558" w:type="dxa"/>
          </w:tcPr>
          <w:p w14:paraId="27FBB10E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1.94 (1.01)</w:t>
            </w:r>
          </w:p>
        </w:tc>
        <w:tc>
          <w:tcPr>
            <w:tcW w:w="1558" w:type="dxa"/>
          </w:tcPr>
          <w:p w14:paraId="7DC44039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(-0.04 to 3.93); 0.06</w:t>
            </w:r>
          </w:p>
        </w:tc>
      </w:tr>
      <w:tr w:rsidR="00C84B67" w:rsidRPr="000D68FF" w14:paraId="467C7381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04095EAC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Follow-up (9 months)</w:t>
            </w:r>
          </w:p>
        </w:tc>
        <w:tc>
          <w:tcPr>
            <w:tcW w:w="2035" w:type="dxa"/>
          </w:tcPr>
          <w:p w14:paraId="7681A3DA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6.8 (5.2-8.4)</w:t>
            </w:r>
          </w:p>
        </w:tc>
        <w:tc>
          <w:tcPr>
            <w:tcW w:w="1981" w:type="dxa"/>
          </w:tcPr>
          <w:p w14:paraId="6677EB50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8.5 (6.7-10.3)</w:t>
            </w:r>
          </w:p>
        </w:tc>
        <w:tc>
          <w:tcPr>
            <w:tcW w:w="1558" w:type="dxa"/>
          </w:tcPr>
          <w:p w14:paraId="218B457D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1.72 (1.25)</w:t>
            </w:r>
          </w:p>
        </w:tc>
        <w:tc>
          <w:tcPr>
            <w:tcW w:w="1558" w:type="dxa"/>
          </w:tcPr>
          <w:p w14:paraId="76F595B0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(-0.74 to 4.18); 0.17</w:t>
            </w:r>
          </w:p>
        </w:tc>
      </w:tr>
      <w:tr w:rsidR="00C84B67" w:rsidRPr="000D68FF" w14:paraId="46428B8E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2F67EB5D" w14:textId="77777777" w:rsidR="00C84B67" w:rsidRPr="000D68FF" w:rsidRDefault="00C84B67" w:rsidP="00665F1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BCSS – negative self</w:t>
            </w:r>
          </w:p>
        </w:tc>
        <w:tc>
          <w:tcPr>
            <w:tcW w:w="2035" w:type="dxa"/>
          </w:tcPr>
          <w:p w14:paraId="40BD1DE9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1" w:type="dxa"/>
          </w:tcPr>
          <w:p w14:paraId="3231464B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27626C23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05DB39BC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697BF469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01F0B183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Baseline</w:t>
            </w:r>
          </w:p>
        </w:tc>
        <w:tc>
          <w:tcPr>
            <w:tcW w:w="2035" w:type="dxa"/>
          </w:tcPr>
          <w:p w14:paraId="09D6A9C9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10.1 (9.2-11.0)</w:t>
            </w:r>
          </w:p>
          <w:p w14:paraId="0B3C4A88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n=126</w:t>
            </w:r>
          </w:p>
        </w:tc>
        <w:tc>
          <w:tcPr>
            <w:tcW w:w="1981" w:type="dxa"/>
          </w:tcPr>
          <w:p w14:paraId="23040AF5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10.2 (9.4-11.1)</w:t>
            </w:r>
          </w:p>
          <w:p w14:paraId="6D250F21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n=128</w:t>
            </w:r>
          </w:p>
        </w:tc>
        <w:tc>
          <w:tcPr>
            <w:tcW w:w="1558" w:type="dxa"/>
          </w:tcPr>
          <w:p w14:paraId="41C24BCA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55E26650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28B272C7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535C48D2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Treatment cessation (3 months)</w:t>
            </w:r>
          </w:p>
        </w:tc>
        <w:tc>
          <w:tcPr>
            <w:tcW w:w="2035" w:type="dxa"/>
          </w:tcPr>
          <w:p w14:paraId="1662709D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7.9 (7.2-8.5)</w:t>
            </w:r>
          </w:p>
        </w:tc>
        <w:tc>
          <w:tcPr>
            <w:tcW w:w="1981" w:type="dxa"/>
          </w:tcPr>
          <w:p w14:paraId="59870615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8.5 (7.8-9.3)</w:t>
            </w:r>
          </w:p>
        </w:tc>
        <w:tc>
          <w:tcPr>
            <w:tcW w:w="1558" w:type="dxa"/>
          </w:tcPr>
          <w:p w14:paraId="2C0145AC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0.66 (0.52)</w:t>
            </w:r>
          </w:p>
        </w:tc>
        <w:tc>
          <w:tcPr>
            <w:tcW w:w="1558" w:type="dxa"/>
          </w:tcPr>
          <w:p w14:paraId="47DA9C7E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(-0.37 to 1.69); 0.21</w:t>
            </w:r>
          </w:p>
        </w:tc>
      </w:tr>
      <w:tr w:rsidR="00C84B67" w:rsidRPr="000D68FF" w14:paraId="2D138DAB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60EA1070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Follow-up (9 months)</w:t>
            </w:r>
          </w:p>
        </w:tc>
        <w:tc>
          <w:tcPr>
            <w:tcW w:w="2035" w:type="dxa"/>
          </w:tcPr>
          <w:p w14:paraId="0E8571DB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7.2 (6.4-8.0)</w:t>
            </w:r>
          </w:p>
        </w:tc>
        <w:tc>
          <w:tcPr>
            <w:tcW w:w="1981" w:type="dxa"/>
          </w:tcPr>
          <w:p w14:paraId="306D97E1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8.0 (7.1-8.9)</w:t>
            </w:r>
          </w:p>
        </w:tc>
        <w:tc>
          <w:tcPr>
            <w:tcW w:w="1558" w:type="dxa"/>
          </w:tcPr>
          <w:p w14:paraId="77686ADA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0.77 (0.62)</w:t>
            </w:r>
          </w:p>
        </w:tc>
        <w:tc>
          <w:tcPr>
            <w:tcW w:w="1558" w:type="dxa"/>
          </w:tcPr>
          <w:p w14:paraId="7BD81E69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(-0.45 to 1.99); 0.21</w:t>
            </w:r>
          </w:p>
        </w:tc>
      </w:tr>
      <w:tr w:rsidR="00C84B67" w:rsidRPr="000D68FF" w14:paraId="60EA4B36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622EA5C5" w14:textId="77777777" w:rsidR="00C84B67" w:rsidRPr="000D68FF" w:rsidRDefault="00C84B67" w:rsidP="00665F1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BCSS – negative others</w:t>
            </w:r>
          </w:p>
        </w:tc>
        <w:tc>
          <w:tcPr>
            <w:tcW w:w="2035" w:type="dxa"/>
          </w:tcPr>
          <w:p w14:paraId="329A6FCD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1" w:type="dxa"/>
          </w:tcPr>
          <w:p w14:paraId="69BFE143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0131C6B9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6DA15297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6A3846F0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175452A0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Baseline</w:t>
            </w:r>
          </w:p>
        </w:tc>
        <w:tc>
          <w:tcPr>
            <w:tcW w:w="2035" w:type="dxa"/>
          </w:tcPr>
          <w:p w14:paraId="18F28F35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7.5 (6.7-8.4)</w:t>
            </w:r>
          </w:p>
          <w:p w14:paraId="2C6C97E2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n=126</w:t>
            </w:r>
          </w:p>
        </w:tc>
        <w:tc>
          <w:tcPr>
            <w:tcW w:w="1981" w:type="dxa"/>
          </w:tcPr>
          <w:p w14:paraId="5D0B7258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8.7 (7.8-9.6)</w:t>
            </w:r>
          </w:p>
          <w:p w14:paraId="1B2E917B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n=128</w:t>
            </w:r>
          </w:p>
        </w:tc>
        <w:tc>
          <w:tcPr>
            <w:tcW w:w="1558" w:type="dxa"/>
          </w:tcPr>
          <w:p w14:paraId="648FEAA8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002A1A1C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65569BDC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0C0649D2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Treatment cessation (3 months)</w:t>
            </w:r>
          </w:p>
        </w:tc>
        <w:tc>
          <w:tcPr>
            <w:tcW w:w="2035" w:type="dxa"/>
          </w:tcPr>
          <w:p w14:paraId="684ABCFA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5.7 (5.0-6.5)</w:t>
            </w:r>
          </w:p>
        </w:tc>
        <w:tc>
          <w:tcPr>
            <w:tcW w:w="1981" w:type="dxa"/>
          </w:tcPr>
          <w:p w14:paraId="1640ABCC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6.6 (5.8-7.4)</w:t>
            </w:r>
          </w:p>
        </w:tc>
        <w:tc>
          <w:tcPr>
            <w:tcW w:w="1558" w:type="dxa"/>
          </w:tcPr>
          <w:p w14:paraId="4A0B76F1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0.89 (0.55)</w:t>
            </w:r>
          </w:p>
        </w:tc>
        <w:tc>
          <w:tcPr>
            <w:tcW w:w="1558" w:type="dxa"/>
          </w:tcPr>
          <w:p w14:paraId="34DEE07B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(-0.20 to 1.98); 0.11</w:t>
            </w:r>
          </w:p>
        </w:tc>
      </w:tr>
      <w:tr w:rsidR="00C84B67" w:rsidRPr="000D68FF" w14:paraId="7D67ED1E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46A62435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Follow-up (9 months)</w:t>
            </w:r>
          </w:p>
        </w:tc>
        <w:tc>
          <w:tcPr>
            <w:tcW w:w="2035" w:type="dxa"/>
          </w:tcPr>
          <w:p w14:paraId="6EC7E48F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6.3 (5.5-7.1)</w:t>
            </w:r>
          </w:p>
        </w:tc>
        <w:tc>
          <w:tcPr>
            <w:tcW w:w="1981" w:type="dxa"/>
          </w:tcPr>
          <w:p w14:paraId="059843F4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6.0 (5.1-6.8)</w:t>
            </w:r>
          </w:p>
        </w:tc>
        <w:tc>
          <w:tcPr>
            <w:tcW w:w="1558" w:type="dxa"/>
          </w:tcPr>
          <w:p w14:paraId="3D73A0D0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-0.33 (0.60)</w:t>
            </w:r>
          </w:p>
        </w:tc>
        <w:tc>
          <w:tcPr>
            <w:tcW w:w="1558" w:type="dxa"/>
          </w:tcPr>
          <w:p w14:paraId="17ED15BF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(-1.52 to 0.86); 0.51</w:t>
            </w:r>
          </w:p>
        </w:tc>
      </w:tr>
      <w:tr w:rsidR="00C84B67" w:rsidRPr="000D68FF" w14:paraId="69A2DAED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17008299" w14:textId="77777777" w:rsidR="00C84B67" w:rsidRPr="000D68FF" w:rsidRDefault="00C84B67" w:rsidP="00665F1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BCSS – positive self</w:t>
            </w:r>
          </w:p>
        </w:tc>
        <w:tc>
          <w:tcPr>
            <w:tcW w:w="2035" w:type="dxa"/>
          </w:tcPr>
          <w:p w14:paraId="099EF43D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1" w:type="dxa"/>
          </w:tcPr>
          <w:p w14:paraId="320C74AB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22E499EB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36F17F06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6A20A42F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27B59675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Baseline</w:t>
            </w:r>
          </w:p>
        </w:tc>
        <w:tc>
          <w:tcPr>
            <w:tcW w:w="2035" w:type="dxa"/>
          </w:tcPr>
          <w:p w14:paraId="7C59D09B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8.1 (7.1-9.0)</w:t>
            </w:r>
          </w:p>
          <w:p w14:paraId="1CA4BCCD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n=126</w:t>
            </w:r>
          </w:p>
        </w:tc>
        <w:tc>
          <w:tcPr>
            <w:tcW w:w="1981" w:type="dxa"/>
          </w:tcPr>
          <w:p w14:paraId="76EBCCED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7.5 (6.7-8.3) </w:t>
            </w:r>
          </w:p>
          <w:p w14:paraId="4F2192BD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n=128</w:t>
            </w:r>
          </w:p>
        </w:tc>
        <w:tc>
          <w:tcPr>
            <w:tcW w:w="1558" w:type="dxa"/>
          </w:tcPr>
          <w:p w14:paraId="56073334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6D4423DC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48B5DD02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01478342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lastRenderedPageBreak/>
              <w:t>Treatment cessation (3 months)</w:t>
            </w:r>
          </w:p>
        </w:tc>
        <w:tc>
          <w:tcPr>
            <w:tcW w:w="2035" w:type="dxa"/>
          </w:tcPr>
          <w:p w14:paraId="2F8328D6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8.7 (8.0-9.4)</w:t>
            </w:r>
          </w:p>
        </w:tc>
        <w:tc>
          <w:tcPr>
            <w:tcW w:w="1981" w:type="dxa"/>
          </w:tcPr>
          <w:p w14:paraId="55C25383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8.8 (8.1-9.6)</w:t>
            </w:r>
          </w:p>
        </w:tc>
        <w:tc>
          <w:tcPr>
            <w:tcW w:w="1558" w:type="dxa"/>
          </w:tcPr>
          <w:p w14:paraId="1B0AAFA8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0.19 (0.52)</w:t>
            </w:r>
          </w:p>
        </w:tc>
        <w:tc>
          <w:tcPr>
            <w:tcW w:w="1558" w:type="dxa"/>
          </w:tcPr>
          <w:p w14:paraId="040180C6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(-0.85 to 1.22); 0.72</w:t>
            </w:r>
          </w:p>
        </w:tc>
      </w:tr>
      <w:tr w:rsidR="00C84B67" w:rsidRPr="000D68FF" w14:paraId="198D3455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03EC6E98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Follow-up (9 months)</w:t>
            </w:r>
          </w:p>
        </w:tc>
        <w:tc>
          <w:tcPr>
            <w:tcW w:w="2035" w:type="dxa"/>
          </w:tcPr>
          <w:p w14:paraId="205B8108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9.2 (8.3-10.0)</w:t>
            </w:r>
          </w:p>
        </w:tc>
        <w:tc>
          <w:tcPr>
            <w:tcW w:w="1981" w:type="dxa"/>
          </w:tcPr>
          <w:p w14:paraId="7171D224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9.9 (8.9-10.8)</w:t>
            </w:r>
          </w:p>
        </w:tc>
        <w:tc>
          <w:tcPr>
            <w:tcW w:w="1558" w:type="dxa"/>
          </w:tcPr>
          <w:p w14:paraId="36979ECC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0.70 (0.67)</w:t>
            </w:r>
          </w:p>
        </w:tc>
        <w:tc>
          <w:tcPr>
            <w:tcW w:w="1558" w:type="dxa"/>
          </w:tcPr>
          <w:p w14:paraId="71B3CB5A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(-0.63 to 2.03); 0.30</w:t>
            </w:r>
          </w:p>
        </w:tc>
      </w:tr>
      <w:tr w:rsidR="00C84B67" w:rsidRPr="000D68FF" w14:paraId="536377EB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591D6570" w14:textId="77777777" w:rsidR="00C84B67" w:rsidRPr="000D68FF" w:rsidRDefault="00C84B67" w:rsidP="00665F1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BCSS – positive others</w:t>
            </w:r>
          </w:p>
        </w:tc>
        <w:tc>
          <w:tcPr>
            <w:tcW w:w="2035" w:type="dxa"/>
          </w:tcPr>
          <w:p w14:paraId="57C95B3E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1" w:type="dxa"/>
          </w:tcPr>
          <w:p w14:paraId="62BE4664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389F679C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56569A1F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68128560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29FC585A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Baseline</w:t>
            </w:r>
          </w:p>
        </w:tc>
        <w:tc>
          <w:tcPr>
            <w:tcW w:w="2035" w:type="dxa"/>
          </w:tcPr>
          <w:p w14:paraId="50D63056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9.1 (8.4-9.9)</w:t>
            </w:r>
          </w:p>
          <w:p w14:paraId="4409438F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n=126</w:t>
            </w:r>
          </w:p>
        </w:tc>
        <w:tc>
          <w:tcPr>
            <w:tcW w:w="1981" w:type="dxa"/>
          </w:tcPr>
          <w:p w14:paraId="3271A981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8.5 (7.8-9.1)</w:t>
            </w:r>
          </w:p>
          <w:p w14:paraId="4D808A90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n=128</w:t>
            </w:r>
          </w:p>
        </w:tc>
        <w:tc>
          <w:tcPr>
            <w:tcW w:w="1558" w:type="dxa"/>
          </w:tcPr>
          <w:p w14:paraId="575081D7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4691F28A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7A95E190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2993ADA3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Treatment cessation (3 months)</w:t>
            </w:r>
          </w:p>
        </w:tc>
        <w:tc>
          <w:tcPr>
            <w:tcW w:w="2035" w:type="dxa"/>
          </w:tcPr>
          <w:p w14:paraId="21790010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10.1 (9.3-10.8)</w:t>
            </w:r>
          </w:p>
        </w:tc>
        <w:tc>
          <w:tcPr>
            <w:tcW w:w="1981" w:type="dxa"/>
          </w:tcPr>
          <w:p w14:paraId="3A0421FB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9.9 (9.1-10.7)</w:t>
            </w:r>
          </w:p>
        </w:tc>
        <w:tc>
          <w:tcPr>
            <w:tcW w:w="1558" w:type="dxa"/>
          </w:tcPr>
          <w:p w14:paraId="4B986E8D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-0.14 (0.54)</w:t>
            </w:r>
          </w:p>
        </w:tc>
        <w:tc>
          <w:tcPr>
            <w:tcW w:w="1558" w:type="dxa"/>
          </w:tcPr>
          <w:p w14:paraId="31D6054B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(-1.21 to 0.93); 0.80</w:t>
            </w:r>
          </w:p>
        </w:tc>
      </w:tr>
      <w:tr w:rsidR="00C84B67" w:rsidRPr="000D68FF" w14:paraId="3F0A1C53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62FB50EA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Follow-up (9 months)</w:t>
            </w:r>
          </w:p>
        </w:tc>
        <w:tc>
          <w:tcPr>
            <w:tcW w:w="2035" w:type="dxa"/>
          </w:tcPr>
          <w:p w14:paraId="5E5C07BC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10.3 (9.4-11.2)</w:t>
            </w:r>
          </w:p>
        </w:tc>
        <w:tc>
          <w:tcPr>
            <w:tcW w:w="1981" w:type="dxa"/>
          </w:tcPr>
          <w:p w14:paraId="0BA19243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10.3 (9.3-11.3)</w:t>
            </w:r>
          </w:p>
        </w:tc>
        <w:tc>
          <w:tcPr>
            <w:tcW w:w="1558" w:type="dxa"/>
          </w:tcPr>
          <w:p w14:paraId="5074DB72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-0.02 (0.70)</w:t>
            </w:r>
          </w:p>
        </w:tc>
        <w:tc>
          <w:tcPr>
            <w:tcW w:w="1558" w:type="dxa"/>
          </w:tcPr>
          <w:p w14:paraId="2E138CB7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(-1.41 to 1.37); 0.98</w:t>
            </w:r>
          </w:p>
        </w:tc>
      </w:tr>
      <w:tr w:rsidR="00C84B67" w:rsidRPr="000D68FF" w14:paraId="0441F256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01ED7FD0" w14:textId="77777777" w:rsidR="00C84B67" w:rsidRPr="000D68FF" w:rsidRDefault="00C84B67" w:rsidP="00665F1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Jumping to conclusion (DACOBS)</w:t>
            </w:r>
          </w:p>
        </w:tc>
        <w:tc>
          <w:tcPr>
            <w:tcW w:w="2035" w:type="dxa"/>
          </w:tcPr>
          <w:p w14:paraId="0F4CF202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1" w:type="dxa"/>
          </w:tcPr>
          <w:p w14:paraId="15ECE6FC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3C661B21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342B82B4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7BC822EB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70FA7088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Baseline</w:t>
            </w:r>
          </w:p>
        </w:tc>
        <w:tc>
          <w:tcPr>
            <w:tcW w:w="2035" w:type="dxa"/>
          </w:tcPr>
          <w:p w14:paraId="52BC0073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22.3 (21.3-23.2)</w:t>
            </w:r>
          </w:p>
          <w:p w14:paraId="116A1D1D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n=126</w:t>
            </w:r>
          </w:p>
        </w:tc>
        <w:tc>
          <w:tcPr>
            <w:tcW w:w="1981" w:type="dxa"/>
          </w:tcPr>
          <w:p w14:paraId="2EEB9324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22.1 (21.2-23.0)</w:t>
            </w:r>
          </w:p>
          <w:p w14:paraId="1E7888FF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n=128</w:t>
            </w:r>
          </w:p>
        </w:tc>
        <w:tc>
          <w:tcPr>
            <w:tcW w:w="1558" w:type="dxa"/>
          </w:tcPr>
          <w:p w14:paraId="112C6BF7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7036A796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7876A1D2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47F09445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Treatment cessation (3 months)</w:t>
            </w:r>
          </w:p>
        </w:tc>
        <w:tc>
          <w:tcPr>
            <w:tcW w:w="2035" w:type="dxa"/>
          </w:tcPr>
          <w:p w14:paraId="7375017E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21.9 (21.1-22.7)</w:t>
            </w:r>
          </w:p>
        </w:tc>
        <w:tc>
          <w:tcPr>
            <w:tcW w:w="1981" w:type="dxa"/>
          </w:tcPr>
          <w:p w14:paraId="6AC72439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21.4 (20.5-22.3)</w:t>
            </w:r>
          </w:p>
        </w:tc>
        <w:tc>
          <w:tcPr>
            <w:tcW w:w="1558" w:type="dxa"/>
          </w:tcPr>
          <w:p w14:paraId="74C59CCF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-0.49 (0.64)</w:t>
            </w:r>
          </w:p>
        </w:tc>
        <w:tc>
          <w:tcPr>
            <w:tcW w:w="1558" w:type="dxa"/>
          </w:tcPr>
          <w:p w14:paraId="5C1DA603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(-1.74 to 0.76); 0.44</w:t>
            </w:r>
          </w:p>
        </w:tc>
      </w:tr>
      <w:tr w:rsidR="00C84B67" w:rsidRPr="000D68FF" w14:paraId="3EF296A4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7A2AE23B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Follow-up (9 months)</w:t>
            </w:r>
          </w:p>
        </w:tc>
        <w:tc>
          <w:tcPr>
            <w:tcW w:w="2035" w:type="dxa"/>
          </w:tcPr>
          <w:p w14:paraId="5A35F5D5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21.9 (21.0-22.8)</w:t>
            </w:r>
          </w:p>
        </w:tc>
        <w:tc>
          <w:tcPr>
            <w:tcW w:w="1981" w:type="dxa"/>
          </w:tcPr>
          <w:p w14:paraId="6324C4B8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21.7 (20.7 – 22.7)</w:t>
            </w:r>
          </w:p>
        </w:tc>
        <w:tc>
          <w:tcPr>
            <w:tcW w:w="1558" w:type="dxa"/>
          </w:tcPr>
          <w:p w14:paraId="149BA69B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-0.19 (0.71)</w:t>
            </w:r>
          </w:p>
        </w:tc>
        <w:tc>
          <w:tcPr>
            <w:tcW w:w="1558" w:type="dxa"/>
          </w:tcPr>
          <w:p w14:paraId="32534108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(-1.60 to 1.21); 0.79</w:t>
            </w:r>
          </w:p>
        </w:tc>
      </w:tr>
      <w:tr w:rsidR="00C84B67" w:rsidRPr="000D68FF" w14:paraId="3ADF6ECF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7B89D709" w14:textId="77777777" w:rsidR="00C84B67" w:rsidRPr="000D68FF" w:rsidRDefault="00C84B67" w:rsidP="00665F1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Belief inflexibility (DACOBS)</w:t>
            </w:r>
          </w:p>
        </w:tc>
        <w:tc>
          <w:tcPr>
            <w:tcW w:w="2035" w:type="dxa"/>
          </w:tcPr>
          <w:p w14:paraId="720B5CB8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1" w:type="dxa"/>
          </w:tcPr>
          <w:p w14:paraId="38F0E0C7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0BEBF55B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76306D56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103E85D7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28AACAB3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Baseline</w:t>
            </w:r>
          </w:p>
        </w:tc>
        <w:tc>
          <w:tcPr>
            <w:tcW w:w="2035" w:type="dxa"/>
          </w:tcPr>
          <w:p w14:paraId="3B2F0427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21.0 (20.1-22.0)</w:t>
            </w:r>
          </w:p>
          <w:p w14:paraId="15BF1ED1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n=126</w:t>
            </w:r>
          </w:p>
        </w:tc>
        <w:tc>
          <w:tcPr>
            <w:tcW w:w="1981" w:type="dxa"/>
          </w:tcPr>
          <w:p w14:paraId="600DF8D0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21.2 (20.3-22.2)</w:t>
            </w:r>
          </w:p>
          <w:p w14:paraId="130F28F2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n=128</w:t>
            </w:r>
          </w:p>
        </w:tc>
        <w:tc>
          <w:tcPr>
            <w:tcW w:w="1558" w:type="dxa"/>
          </w:tcPr>
          <w:p w14:paraId="47A2762C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3E9C60E8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47DAD942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49A14F9D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Treatment cessation (3 months)</w:t>
            </w:r>
          </w:p>
        </w:tc>
        <w:tc>
          <w:tcPr>
            <w:tcW w:w="2035" w:type="dxa"/>
          </w:tcPr>
          <w:p w14:paraId="4C7810F4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20.6 (19.8-21.3)</w:t>
            </w:r>
          </w:p>
        </w:tc>
        <w:tc>
          <w:tcPr>
            <w:tcW w:w="1981" w:type="dxa"/>
          </w:tcPr>
          <w:p w14:paraId="352F2F17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19.8 (19.0-20.6)</w:t>
            </w:r>
          </w:p>
        </w:tc>
        <w:tc>
          <w:tcPr>
            <w:tcW w:w="1558" w:type="dxa"/>
          </w:tcPr>
          <w:p w14:paraId="6E2E6603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-0.77 (0.59)</w:t>
            </w:r>
          </w:p>
        </w:tc>
        <w:tc>
          <w:tcPr>
            <w:tcW w:w="1558" w:type="dxa"/>
          </w:tcPr>
          <w:p w14:paraId="050C6712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(-1.93 to 0.39); 0.19</w:t>
            </w:r>
          </w:p>
        </w:tc>
      </w:tr>
      <w:tr w:rsidR="00C84B67" w:rsidRPr="000D68FF" w14:paraId="240342A1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31CD89E6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Follow-up (9 months)</w:t>
            </w:r>
          </w:p>
        </w:tc>
        <w:tc>
          <w:tcPr>
            <w:tcW w:w="2035" w:type="dxa"/>
          </w:tcPr>
          <w:p w14:paraId="35301CFD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19.9 (19.1-20.8)</w:t>
            </w:r>
          </w:p>
        </w:tc>
        <w:tc>
          <w:tcPr>
            <w:tcW w:w="1981" w:type="dxa"/>
          </w:tcPr>
          <w:p w14:paraId="11D4E6FC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19.6 (18.7-20.5)</w:t>
            </w:r>
          </w:p>
        </w:tc>
        <w:tc>
          <w:tcPr>
            <w:tcW w:w="1558" w:type="dxa"/>
          </w:tcPr>
          <w:p w14:paraId="2FAE198E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-0.32 (0.564)</w:t>
            </w:r>
          </w:p>
        </w:tc>
        <w:tc>
          <w:tcPr>
            <w:tcW w:w="1558" w:type="dxa"/>
          </w:tcPr>
          <w:p w14:paraId="4517256B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(-1.58 to 0.94); 0.62</w:t>
            </w:r>
          </w:p>
        </w:tc>
      </w:tr>
      <w:tr w:rsidR="00C84B67" w:rsidRPr="000D68FF" w14:paraId="4B3CF1CD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2C1FDC47" w14:textId="77777777" w:rsidR="00C84B67" w:rsidRPr="000D68FF" w:rsidRDefault="00C84B67" w:rsidP="00665F1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Attention for threat (DACOBS)</w:t>
            </w:r>
          </w:p>
        </w:tc>
        <w:tc>
          <w:tcPr>
            <w:tcW w:w="2035" w:type="dxa"/>
          </w:tcPr>
          <w:p w14:paraId="5D5255B3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1" w:type="dxa"/>
          </w:tcPr>
          <w:p w14:paraId="3AAE9FED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583A1027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468A85D4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53B6FECE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7C1532DD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Baseline</w:t>
            </w:r>
          </w:p>
        </w:tc>
        <w:tc>
          <w:tcPr>
            <w:tcW w:w="2035" w:type="dxa"/>
          </w:tcPr>
          <w:p w14:paraId="544D4FFB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30.9 (30.0-31.8)</w:t>
            </w:r>
          </w:p>
          <w:p w14:paraId="3502283A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n=126</w:t>
            </w:r>
          </w:p>
        </w:tc>
        <w:tc>
          <w:tcPr>
            <w:tcW w:w="1981" w:type="dxa"/>
          </w:tcPr>
          <w:p w14:paraId="2ECDFCF5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30.3 (29.4-31.3)</w:t>
            </w:r>
          </w:p>
          <w:p w14:paraId="2F6E0C36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n=128</w:t>
            </w:r>
          </w:p>
        </w:tc>
        <w:tc>
          <w:tcPr>
            <w:tcW w:w="1558" w:type="dxa"/>
          </w:tcPr>
          <w:p w14:paraId="2BD738DA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7AACD6BD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277BF56C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2E59FF47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Treatment cessation (3 months)</w:t>
            </w:r>
          </w:p>
        </w:tc>
        <w:tc>
          <w:tcPr>
            <w:tcW w:w="2035" w:type="dxa"/>
          </w:tcPr>
          <w:p w14:paraId="4DA3037C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27.1 (26.2-28.0)</w:t>
            </w:r>
          </w:p>
        </w:tc>
        <w:tc>
          <w:tcPr>
            <w:tcW w:w="1981" w:type="dxa"/>
          </w:tcPr>
          <w:p w14:paraId="01C98AD6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27.7 (26.7-28.6)</w:t>
            </w:r>
          </w:p>
        </w:tc>
        <w:tc>
          <w:tcPr>
            <w:tcW w:w="1558" w:type="dxa"/>
          </w:tcPr>
          <w:p w14:paraId="2BDFDE9A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0.61 (0.68)</w:t>
            </w:r>
          </w:p>
        </w:tc>
        <w:tc>
          <w:tcPr>
            <w:tcW w:w="1558" w:type="dxa"/>
          </w:tcPr>
          <w:p w14:paraId="466B8FE4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(-1.74 to 1.96); 0.38</w:t>
            </w:r>
          </w:p>
        </w:tc>
      </w:tr>
      <w:tr w:rsidR="00C84B67" w:rsidRPr="000D68FF" w14:paraId="4391A350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5982F0AC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Follow-up (9 months)</w:t>
            </w:r>
          </w:p>
        </w:tc>
        <w:tc>
          <w:tcPr>
            <w:tcW w:w="2035" w:type="dxa"/>
          </w:tcPr>
          <w:p w14:paraId="0F57D86B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26.3 (25.1-27.5)</w:t>
            </w:r>
          </w:p>
        </w:tc>
        <w:tc>
          <w:tcPr>
            <w:tcW w:w="1981" w:type="dxa"/>
          </w:tcPr>
          <w:p w14:paraId="381643DC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26.7 (25.4-28.1)</w:t>
            </w:r>
          </w:p>
        </w:tc>
        <w:tc>
          <w:tcPr>
            <w:tcW w:w="1558" w:type="dxa"/>
          </w:tcPr>
          <w:p w14:paraId="4936113C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0.45 (0.91)</w:t>
            </w:r>
          </w:p>
        </w:tc>
        <w:tc>
          <w:tcPr>
            <w:tcW w:w="1558" w:type="dxa"/>
          </w:tcPr>
          <w:p w14:paraId="3A3FFB1F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(-1.35 to 2.25); 0.62</w:t>
            </w:r>
          </w:p>
        </w:tc>
      </w:tr>
      <w:tr w:rsidR="00C84B67" w:rsidRPr="000D68FF" w14:paraId="125812B2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4532FFBD" w14:textId="77777777" w:rsidR="00C84B67" w:rsidRPr="000D68FF" w:rsidRDefault="00C84B67" w:rsidP="00665F1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External attribution (DACOBS)</w:t>
            </w:r>
          </w:p>
        </w:tc>
        <w:tc>
          <w:tcPr>
            <w:tcW w:w="2035" w:type="dxa"/>
          </w:tcPr>
          <w:p w14:paraId="5089E108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1" w:type="dxa"/>
          </w:tcPr>
          <w:p w14:paraId="548AD4E9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6D16C2C9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1D3B988D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766498D2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57D1F65A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Baseline</w:t>
            </w:r>
          </w:p>
        </w:tc>
        <w:tc>
          <w:tcPr>
            <w:tcW w:w="2035" w:type="dxa"/>
          </w:tcPr>
          <w:p w14:paraId="2CE4C3AC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21.9 (20.8-22.9)</w:t>
            </w:r>
          </w:p>
          <w:p w14:paraId="5F336351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n=126</w:t>
            </w:r>
          </w:p>
        </w:tc>
        <w:tc>
          <w:tcPr>
            <w:tcW w:w="1981" w:type="dxa"/>
          </w:tcPr>
          <w:p w14:paraId="5175FF5A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22.3 (21.3-23.4)</w:t>
            </w:r>
          </w:p>
          <w:p w14:paraId="36D2133C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n=128</w:t>
            </w:r>
          </w:p>
        </w:tc>
        <w:tc>
          <w:tcPr>
            <w:tcW w:w="1558" w:type="dxa"/>
          </w:tcPr>
          <w:p w14:paraId="3438C215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007A7EF1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07B20A77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0C47B61E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Treatment cessation (3 months)</w:t>
            </w:r>
          </w:p>
        </w:tc>
        <w:tc>
          <w:tcPr>
            <w:tcW w:w="2035" w:type="dxa"/>
          </w:tcPr>
          <w:p w14:paraId="36224549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20.2 (19.4-21.0)</w:t>
            </w:r>
          </w:p>
        </w:tc>
        <w:tc>
          <w:tcPr>
            <w:tcW w:w="1981" w:type="dxa"/>
          </w:tcPr>
          <w:p w14:paraId="5BC8D7B0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20.7 (19.9-21.5)</w:t>
            </w:r>
          </w:p>
        </w:tc>
        <w:tc>
          <w:tcPr>
            <w:tcW w:w="1558" w:type="dxa"/>
          </w:tcPr>
          <w:p w14:paraId="4307506E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0.47 (0.58)</w:t>
            </w:r>
          </w:p>
        </w:tc>
        <w:tc>
          <w:tcPr>
            <w:tcW w:w="1558" w:type="dxa"/>
          </w:tcPr>
          <w:p w14:paraId="0AA56F78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(-0.68 to 1.61); 0.42</w:t>
            </w:r>
          </w:p>
        </w:tc>
      </w:tr>
      <w:tr w:rsidR="00C84B67" w:rsidRPr="000D68FF" w14:paraId="5251ED4D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54482FBA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Follow-up (9 months)</w:t>
            </w:r>
          </w:p>
        </w:tc>
        <w:tc>
          <w:tcPr>
            <w:tcW w:w="2035" w:type="dxa"/>
          </w:tcPr>
          <w:p w14:paraId="705BCAC2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20.0 (19.1-21.0)</w:t>
            </w:r>
          </w:p>
        </w:tc>
        <w:tc>
          <w:tcPr>
            <w:tcW w:w="1981" w:type="dxa"/>
          </w:tcPr>
          <w:p w14:paraId="0C7E6CAA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19.3 (18.4-20.3)</w:t>
            </w:r>
          </w:p>
        </w:tc>
        <w:tc>
          <w:tcPr>
            <w:tcW w:w="1558" w:type="dxa"/>
          </w:tcPr>
          <w:p w14:paraId="691B76B8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-0.70 (0.68)</w:t>
            </w:r>
          </w:p>
        </w:tc>
        <w:tc>
          <w:tcPr>
            <w:tcW w:w="1558" w:type="dxa"/>
          </w:tcPr>
          <w:p w14:paraId="5DA65D30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(-2.04 to 0.65); 0.31</w:t>
            </w:r>
          </w:p>
        </w:tc>
      </w:tr>
      <w:tr w:rsidR="00C84B67" w:rsidRPr="000D68FF" w14:paraId="244306A4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2C098E46" w14:textId="77777777" w:rsidR="00C84B67" w:rsidRPr="000D68FF" w:rsidRDefault="00C84B67" w:rsidP="00665F1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Social cognitive problems (DACOBS)</w:t>
            </w:r>
          </w:p>
        </w:tc>
        <w:tc>
          <w:tcPr>
            <w:tcW w:w="2035" w:type="dxa"/>
          </w:tcPr>
          <w:p w14:paraId="05A3CB1B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1" w:type="dxa"/>
          </w:tcPr>
          <w:p w14:paraId="77B37CB5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3BC42AE8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6FAEE98F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57F8A715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3A628670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Baseline</w:t>
            </w:r>
          </w:p>
        </w:tc>
        <w:tc>
          <w:tcPr>
            <w:tcW w:w="2035" w:type="dxa"/>
          </w:tcPr>
          <w:p w14:paraId="70CC4DC0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29.4 (28.4-30.4)</w:t>
            </w:r>
          </w:p>
          <w:p w14:paraId="68CFC17F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n=126</w:t>
            </w:r>
          </w:p>
        </w:tc>
        <w:tc>
          <w:tcPr>
            <w:tcW w:w="1981" w:type="dxa"/>
          </w:tcPr>
          <w:p w14:paraId="053F23FF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29.7 (30.4)</w:t>
            </w:r>
          </w:p>
          <w:p w14:paraId="62548E9A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n=128</w:t>
            </w:r>
          </w:p>
        </w:tc>
        <w:tc>
          <w:tcPr>
            <w:tcW w:w="1558" w:type="dxa"/>
          </w:tcPr>
          <w:p w14:paraId="60EFA726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64EC4AA6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12533E9E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792EB63A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Treatment cessation (3 months)</w:t>
            </w:r>
          </w:p>
        </w:tc>
        <w:tc>
          <w:tcPr>
            <w:tcW w:w="2035" w:type="dxa"/>
          </w:tcPr>
          <w:p w14:paraId="1011DAF7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26.2 (25.3-27.1)</w:t>
            </w:r>
          </w:p>
        </w:tc>
        <w:tc>
          <w:tcPr>
            <w:tcW w:w="1981" w:type="dxa"/>
          </w:tcPr>
          <w:p w14:paraId="1809EE01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26.5 (25.5-27.5)</w:t>
            </w:r>
          </w:p>
        </w:tc>
        <w:tc>
          <w:tcPr>
            <w:tcW w:w="1558" w:type="dxa"/>
          </w:tcPr>
          <w:p w14:paraId="4FFC5FA6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0.27 (0.70)</w:t>
            </w:r>
          </w:p>
        </w:tc>
        <w:tc>
          <w:tcPr>
            <w:tcW w:w="1558" w:type="dxa"/>
          </w:tcPr>
          <w:p w14:paraId="1FEE417E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(-1.11 to 1.66); 0.70</w:t>
            </w:r>
          </w:p>
        </w:tc>
      </w:tr>
      <w:tr w:rsidR="00C84B67" w:rsidRPr="000D68FF" w14:paraId="6CAD33DF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1E95DD96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Follow-up (9 months)</w:t>
            </w:r>
          </w:p>
        </w:tc>
        <w:tc>
          <w:tcPr>
            <w:tcW w:w="2035" w:type="dxa"/>
          </w:tcPr>
          <w:p w14:paraId="76628115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25.6 (24.4-26.7)</w:t>
            </w:r>
          </w:p>
        </w:tc>
        <w:tc>
          <w:tcPr>
            <w:tcW w:w="1981" w:type="dxa"/>
          </w:tcPr>
          <w:p w14:paraId="3BFEE84F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26.2 (25.0-27.5)</w:t>
            </w:r>
          </w:p>
        </w:tc>
        <w:tc>
          <w:tcPr>
            <w:tcW w:w="1558" w:type="dxa"/>
          </w:tcPr>
          <w:p w14:paraId="3D22E4E8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0.68 (0.87)</w:t>
            </w:r>
          </w:p>
        </w:tc>
        <w:tc>
          <w:tcPr>
            <w:tcW w:w="1558" w:type="dxa"/>
          </w:tcPr>
          <w:p w14:paraId="7EB479AF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(-1.04 to 2.40); 0.44</w:t>
            </w:r>
          </w:p>
        </w:tc>
      </w:tr>
      <w:tr w:rsidR="00C84B67" w:rsidRPr="000D68FF" w14:paraId="60AE4E54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4BABD13F" w14:textId="77777777" w:rsidR="00C84B67" w:rsidRPr="000D68FF" w:rsidRDefault="00C84B67" w:rsidP="00665F1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Subjective cognitive problems (DACOBS)</w:t>
            </w:r>
          </w:p>
        </w:tc>
        <w:tc>
          <w:tcPr>
            <w:tcW w:w="2035" w:type="dxa"/>
          </w:tcPr>
          <w:p w14:paraId="198732A2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1" w:type="dxa"/>
          </w:tcPr>
          <w:p w14:paraId="72AE3509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20357F5A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3F635485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605E3175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19FFC875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Baseline</w:t>
            </w:r>
          </w:p>
        </w:tc>
        <w:tc>
          <w:tcPr>
            <w:tcW w:w="2035" w:type="dxa"/>
          </w:tcPr>
          <w:p w14:paraId="04B9DF1D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28.4 (27.3-29.6) </w:t>
            </w:r>
          </w:p>
          <w:p w14:paraId="69B10E42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n=126</w:t>
            </w:r>
          </w:p>
        </w:tc>
        <w:tc>
          <w:tcPr>
            <w:tcW w:w="1981" w:type="dxa"/>
          </w:tcPr>
          <w:p w14:paraId="487CF90E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29.4 (28.4-30.4)</w:t>
            </w:r>
          </w:p>
          <w:p w14:paraId="7D6B6A52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n=128</w:t>
            </w:r>
          </w:p>
        </w:tc>
        <w:tc>
          <w:tcPr>
            <w:tcW w:w="1558" w:type="dxa"/>
          </w:tcPr>
          <w:p w14:paraId="1CDABCA2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0E835B9C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70D27432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189C41C7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Treatment cessation (3 months)</w:t>
            </w:r>
          </w:p>
        </w:tc>
        <w:tc>
          <w:tcPr>
            <w:tcW w:w="2035" w:type="dxa"/>
          </w:tcPr>
          <w:p w14:paraId="3D9434D4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27.0 (26.1-28.0)</w:t>
            </w:r>
          </w:p>
        </w:tc>
        <w:tc>
          <w:tcPr>
            <w:tcW w:w="1981" w:type="dxa"/>
          </w:tcPr>
          <w:p w14:paraId="79BB7211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27.1 (26.1-28.2)</w:t>
            </w:r>
          </w:p>
        </w:tc>
        <w:tc>
          <w:tcPr>
            <w:tcW w:w="1558" w:type="dxa"/>
          </w:tcPr>
          <w:p w14:paraId="2713FA34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0.11 (0.74)</w:t>
            </w:r>
          </w:p>
        </w:tc>
        <w:tc>
          <w:tcPr>
            <w:tcW w:w="1558" w:type="dxa"/>
          </w:tcPr>
          <w:p w14:paraId="44725277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(-1.35 to 1.57); 0.88</w:t>
            </w:r>
          </w:p>
        </w:tc>
      </w:tr>
      <w:tr w:rsidR="00C84B67" w:rsidRPr="000D68FF" w14:paraId="37758855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54C0A19E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lastRenderedPageBreak/>
              <w:t>Follow-up (9 months)</w:t>
            </w:r>
          </w:p>
        </w:tc>
        <w:tc>
          <w:tcPr>
            <w:tcW w:w="2035" w:type="dxa"/>
          </w:tcPr>
          <w:p w14:paraId="7D05032F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26.5 (25.4-27.7)</w:t>
            </w:r>
          </w:p>
        </w:tc>
        <w:tc>
          <w:tcPr>
            <w:tcW w:w="1981" w:type="dxa"/>
          </w:tcPr>
          <w:p w14:paraId="44582BA5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26.9 (25.6-28.2)</w:t>
            </w:r>
          </w:p>
        </w:tc>
        <w:tc>
          <w:tcPr>
            <w:tcW w:w="1558" w:type="dxa"/>
          </w:tcPr>
          <w:p w14:paraId="058F1F4E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0.37 (0.91)</w:t>
            </w:r>
          </w:p>
        </w:tc>
        <w:tc>
          <w:tcPr>
            <w:tcW w:w="1558" w:type="dxa"/>
          </w:tcPr>
          <w:p w14:paraId="5EB095F4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(-1.43 to 2.17); 0.68</w:t>
            </w:r>
          </w:p>
        </w:tc>
      </w:tr>
      <w:tr w:rsidR="00C84B67" w:rsidRPr="000D68FF" w14:paraId="6123F0A4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32FC04CA" w14:textId="77777777" w:rsidR="00C84B67" w:rsidRPr="000D68FF" w:rsidRDefault="00C84B67" w:rsidP="00665F1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Safety behavior (DACOBS)</w:t>
            </w:r>
          </w:p>
        </w:tc>
        <w:tc>
          <w:tcPr>
            <w:tcW w:w="2035" w:type="dxa"/>
          </w:tcPr>
          <w:p w14:paraId="0950800B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1" w:type="dxa"/>
          </w:tcPr>
          <w:p w14:paraId="704CE47C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50E6559E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2F6F6FE2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045AEB08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3AD39E9E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Baseline</w:t>
            </w:r>
          </w:p>
        </w:tc>
        <w:tc>
          <w:tcPr>
            <w:tcW w:w="2035" w:type="dxa"/>
          </w:tcPr>
          <w:p w14:paraId="6378E179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23.0 (21.8-24.3)</w:t>
            </w:r>
          </w:p>
          <w:p w14:paraId="2F6EC323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n=126</w:t>
            </w:r>
          </w:p>
        </w:tc>
        <w:tc>
          <w:tcPr>
            <w:tcW w:w="1981" w:type="dxa"/>
          </w:tcPr>
          <w:p w14:paraId="4740E9EF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22.7 (21.5-24.0)</w:t>
            </w:r>
          </w:p>
          <w:p w14:paraId="205B55F6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n=128</w:t>
            </w:r>
          </w:p>
        </w:tc>
        <w:tc>
          <w:tcPr>
            <w:tcW w:w="1558" w:type="dxa"/>
          </w:tcPr>
          <w:p w14:paraId="6AFD7390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18475A2B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770302C5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2EF7495B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Treatment cessation (3 months)</w:t>
            </w:r>
          </w:p>
        </w:tc>
        <w:tc>
          <w:tcPr>
            <w:tcW w:w="2035" w:type="dxa"/>
          </w:tcPr>
          <w:p w14:paraId="5FC5EB6B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20.3 (19.3-21.4)</w:t>
            </w:r>
          </w:p>
        </w:tc>
        <w:tc>
          <w:tcPr>
            <w:tcW w:w="1981" w:type="dxa"/>
          </w:tcPr>
          <w:p w14:paraId="46E54D06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20.5 (19.4-21.7)</w:t>
            </w:r>
          </w:p>
        </w:tc>
        <w:tc>
          <w:tcPr>
            <w:tcW w:w="1558" w:type="dxa"/>
          </w:tcPr>
          <w:p w14:paraId="65C8C142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0.24 (0.79)</w:t>
            </w:r>
          </w:p>
        </w:tc>
        <w:tc>
          <w:tcPr>
            <w:tcW w:w="1558" w:type="dxa"/>
          </w:tcPr>
          <w:p w14:paraId="61AAF843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(-1.32 to 1.80); 0.76</w:t>
            </w:r>
          </w:p>
        </w:tc>
      </w:tr>
      <w:tr w:rsidR="00C84B67" w:rsidRPr="000D68FF" w14:paraId="1CD998DA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498E3700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Follow-up (9 months)</w:t>
            </w:r>
          </w:p>
        </w:tc>
        <w:tc>
          <w:tcPr>
            <w:tcW w:w="2035" w:type="dxa"/>
          </w:tcPr>
          <w:p w14:paraId="6FE0E984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19.5 (18.3-20.6)</w:t>
            </w:r>
          </w:p>
        </w:tc>
        <w:tc>
          <w:tcPr>
            <w:tcW w:w="1981" w:type="dxa"/>
          </w:tcPr>
          <w:p w14:paraId="226B6A16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18.2 (17.0-19.5)</w:t>
            </w:r>
          </w:p>
        </w:tc>
        <w:tc>
          <w:tcPr>
            <w:tcW w:w="1558" w:type="dxa"/>
          </w:tcPr>
          <w:p w14:paraId="0DD18EA9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-1.22 (0.90)</w:t>
            </w:r>
          </w:p>
        </w:tc>
        <w:tc>
          <w:tcPr>
            <w:tcW w:w="1558" w:type="dxa"/>
          </w:tcPr>
          <w:p w14:paraId="3B5A9381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(-3.00 to 0.56); 0.18</w:t>
            </w:r>
          </w:p>
        </w:tc>
      </w:tr>
      <w:tr w:rsidR="00C84B67" w:rsidRPr="000D68FF" w14:paraId="0B2D4119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62C9A6A1" w14:textId="77777777" w:rsidR="00C84B67" w:rsidRPr="000D68FF" w:rsidRDefault="00C84B67" w:rsidP="00665F1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SFS – Social engagement/withdrawal </w:t>
            </w:r>
          </w:p>
        </w:tc>
        <w:tc>
          <w:tcPr>
            <w:tcW w:w="2035" w:type="dxa"/>
          </w:tcPr>
          <w:p w14:paraId="6D0A5A9B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1" w:type="dxa"/>
          </w:tcPr>
          <w:p w14:paraId="4142F0A2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4016484D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31E07675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1E0375C0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62270058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Baseline</w:t>
            </w:r>
          </w:p>
        </w:tc>
        <w:tc>
          <w:tcPr>
            <w:tcW w:w="2035" w:type="dxa"/>
          </w:tcPr>
          <w:p w14:paraId="0D452CE1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94.9 (93.3-96.5)</w:t>
            </w:r>
          </w:p>
          <w:p w14:paraId="31D75F59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n=126</w:t>
            </w:r>
          </w:p>
        </w:tc>
        <w:tc>
          <w:tcPr>
            <w:tcW w:w="1981" w:type="dxa"/>
          </w:tcPr>
          <w:p w14:paraId="2E71A83C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95.5 (93.8-97.2)</w:t>
            </w:r>
          </w:p>
          <w:p w14:paraId="594FC389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n=126</w:t>
            </w:r>
          </w:p>
        </w:tc>
        <w:tc>
          <w:tcPr>
            <w:tcW w:w="1558" w:type="dxa"/>
          </w:tcPr>
          <w:p w14:paraId="640D5262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6E1E5DDA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1996175C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05C8FC7A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Treatment cessation (3 months)</w:t>
            </w:r>
          </w:p>
        </w:tc>
        <w:tc>
          <w:tcPr>
            <w:tcW w:w="2035" w:type="dxa"/>
          </w:tcPr>
          <w:p w14:paraId="0A8A90DE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97.6 (96.3-99.0)</w:t>
            </w:r>
          </w:p>
        </w:tc>
        <w:tc>
          <w:tcPr>
            <w:tcW w:w="1981" w:type="dxa"/>
          </w:tcPr>
          <w:p w14:paraId="00E43F23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96.7 (95.3-98.2)</w:t>
            </w:r>
          </w:p>
        </w:tc>
        <w:tc>
          <w:tcPr>
            <w:tcW w:w="1558" w:type="dxa"/>
          </w:tcPr>
          <w:p w14:paraId="4F56D4D1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-0.93 (1.02)</w:t>
            </w:r>
          </w:p>
        </w:tc>
        <w:tc>
          <w:tcPr>
            <w:tcW w:w="1558" w:type="dxa"/>
          </w:tcPr>
          <w:p w14:paraId="512F2B1F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(-2.94 to 1.08); 0.37</w:t>
            </w:r>
          </w:p>
        </w:tc>
      </w:tr>
      <w:tr w:rsidR="00C84B67" w:rsidRPr="000D68FF" w14:paraId="16B73E8A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2E0AE8C2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Follow-up (9 months)</w:t>
            </w:r>
          </w:p>
        </w:tc>
        <w:tc>
          <w:tcPr>
            <w:tcW w:w="2035" w:type="dxa"/>
          </w:tcPr>
          <w:p w14:paraId="73902720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97.9 (96.1-99.7)</w:t>
            </w:r>
          </w:p>
        </w:tc>
        <w:tc>
          <w:tcPr>
            <w:tcW w:w="1981" w:type="dxa"/>
          </w:tcPr>
          <w:p w14:paraId="7C39EFDB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99.5 (97.5-101.4)</w:t>
            </w:r>
          </w:p>
        </w:tc>
        <w:tc>
          <w:tcPr>
            <w:tcW w:w="1558" w:type="dxa"/>
          </w:tcPr>
          <w:p w14:paraId="55B3A0DD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1.53 (1.36)</w:t>
            </w:r>
          </w:p>
        </w:tc>
        <w:tc>
          <w:tcPr>
            <w:tcW w:w="1558" w:type="dxa"/>
          </w:tcPr>
          <w:p w14:paraId="672F254F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(-1.16 to 4.23); 0.26</w:t>
            </w:r>
          </w:p>
        </w:tc>
      </w:tr>
      <w:tr w:rsidR="00C84B67" w:rsidRPr="000D68FF" w14:paraId="240BAA3E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0EE6EAC2" w14:textId="77777777" w:rsidR="00C84B67" w:rsidRPr="000D68FF" w:rsidRDefault="00C84B67" w:rsidP="00665F1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SFS – Interpersonal behavior</w:t>
            </w:r>
          </w:p>
        </w:tc>
        <w:tc>
          <w:tcPr>
            <w:tcW w:w="2035" w:type="dxa"/>
          </w:tcPr>
          <w:p w14:paraId="4BC8D7E9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1" w:type="dxa"/>
          </w:tcPr>
          <w:p w14:paraId="730FF1C3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45BACA2A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29EA7EB5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6E238601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6E8EC0BF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Baseline</w:t>
            </w:r>
          </w:p>
        </w:tc>
        <w:tc>
          <w:tcPr>
            <w:tcW w:w="2035" w:type="dxa"/>
          </w:tcPr>
          <w:p w14:paraId="75855060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109.3 (106.5-112.1)</w:t>
            </w:r>
          </w:p>
          <w:p w14:paraId="16696FC9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n=126</w:t>
            </w:r>
          </w:p>
        </w:tc>
        <w:tc>
          <w:tcPr>
            <w:tcW w:w="1981" w:type="dxa"/>
          </w:tcPr>
          <w:p w14:paraId="65F21DB3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111.0 (108.1-113.9)</w:t>
            </w:r>
          </w:p>
          <w:p w14:paraId="146A5843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n=127</w:t>
            </w:r>
          </w:p>
        </w:tc>
        <w:tc>
          <w:tcPr>
            <w:tcW w:w="1558" w:type="dxa"/>
          </w:tcPr>
          <w:p w14:paraId="4EC8BBF6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05DF99FF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3359BF07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63D8C14F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Treatment cessation (3 months)</w:t>
            </w:r>
          </w:p>
        </w:tc>
        <w:tc>
          <w:tcPr>
            <w:tcW w:w="2035" w:type="dxa"/>
          </w:tcPr>
          <w:p w14:paraId="0D7CD1BD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113.3 (111.0-115.6)</w:t>
            </w:r>
          </w:p>
        </w:tc>
        <w:tc>
          <w:tcPr>
            <w:tcW w:w="1981" w:type="dxa"/>
          </w:tcPr>
          <w:p w14:paraId="0886F191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112.5 (110.1-114.9)</w:t>
            </w:r>
          </w:p>
        </w:tc>
        <w:tc>
          <w:tcPr>
            <w:tcW w:w="1558" w:type="dxa"/>
          </w:tcPr>
          <w:p w14:paraId="3BEDFA1A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-0.79 (1.71)</w:t>
            </w:r>
          </w:p>
        </w:tc>
        <w:tc>
          <w:tcPr>
            <w:tcW w:w="1558" w:type="dxa"/>
          </w:tcPr>
          <w:p w14:paraId="33A09AA7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(-4.15 to 2.58); 0.65</w:t>
            </w:r>
          </w:p>
        </w:tc>
      </w:tr>
      <w:tr w:rsidR="00C84B67" w:rsidRPr="000D68FF" w14:paraId="1F190EC9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15023887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Follow-up (9 months)</w:t>
            </w:r>
          </w:p>
        </w:tc>
        <w:tc>
          <w:tcPr>
            <w:tcW w:w="2035" w:type="dxa"/>
          </w:tcPr>
          <w:p w14:paraId="113F4360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113.6 (110.8-116.4)</w:t>
            </w:r>
          </w:p>
        </w:tc>
        <w:tc>
          <w:tcPr>
            <w:tcW w:w="1981" w:type="dxa"/>
          </w:tcPr>
          <w:p w14:paraId="4308736C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115.3 (112.1-118.5)</w:t>
            </w:r>
          </w:p>
        </w:tc>
        <w:tc>
          <w:tcPr>
            <w:tcW w:w="1558" w:type="dxa"/>
          </w:tcPr>
          <w:p w14:paraId="3640BCE5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1.7 (2.23)</w:t>
            </w:r>
          </w:p>
        </w:tc>
        <w:tc>
          <w:tcPr>
            <w:tcW w:w="1558" w:type="dxa"/>
          </w:tcPr>
          <w:p w14:paraId="6C9B5BAE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(-2.71 to 6.10); 0.45</w:t>
            </w:r>
          </w:p>
        </w:tc>
      </w:tr>
      <w:tr w:rsidR="00C84B67" w:rsidRPr="000D68FF" w14:paraId="4B7EDEC7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1F58F024" w14:textId="77777777" w:rsidR="00C84B67" w:rsidRPr="000D68FF" w:rsidRDefault="00C84B67" w:rsidP="00665F1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SFS - Recreation</w:t>
            </w:r>
          </w:p>
        </w:tc>
        <w:tc>
          <w:tcPr>
            <w:tcW w:w="2035" w:type="dxa"/>
          </w:tcPr>
          <w:p w14:paraId="3201549E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1" w:type="dxa"/>
          </w:tcPr>
          <w:p w14:paraId="78180C6F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4DA1F2C3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58EB072B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5710D831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5D35502F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Baseline</w:t>
            </w:r>
          </w:p>
        </w:tc>
        <w:tc>
          <w:tcPr>
            <w:tcW w:w="2035" w:type="dxa"/>
          </w:tcPr>
          <w:p w14:paraId="6151F762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107.3 (104.7-110.0)</w:t>
            </w:r>
          </w:p>
          <w:p w14:paraId="208C626A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n=124</w:t>
            </w:r>
          </w:p>
        </w:tc>
        <w:tc>
          <w:tcPr>
            <w:tcW w:w="1981" w:type="dxa"/>
          </w:tcPr>
          <w:p w14:paraId="44A840FE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104.3 (101.8-106.8)</w:t>
            </w:r>
          </w:p>
          <w:p w14:paraId="05D22ADE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n=127</w:t>
            </w:r>
          </w:p>
        </w:tc>
        <w:tc>
          <w:tcPr>
            <w:tcW w:w="1558" w:type="dxa"/>
          </w:tcPr>
          <w:p w14:paraId="6AC32AE9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5C52298C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0F531998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3C42C510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Treatment cessation (3 months)</w:t>
            </w:r>
          </w:p>
        </w:tc>
        <w:tc>
          <w:tcPr>
            <w:tcW w:w="2035" w:type="dxa"/>
          </w:tcPr>
          <w:p w14:paraId="688EDAEA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107.5 (105.7-109.3)</w:t>
            </w:r>
          </w:p>
        </w:tc>
        <w:tc>
          <w:tcPr>
            <w:tcW w:w="1981" w:type="dxa"/>
          </w:tcPr>
          <w:p w14:paraId="4B71369F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107.8 (105.8-109.8)</w:t>
            </w:r>
          </w:p>
        </w:tc>
        <w:tc>
          <w:tcPr>
            <w:tcW w:w="1558" w:type="dxa"/>
          </w:tcPr>
          <w:p w14:paraId="51495604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0.27 (1.41)</w:t>
            </w:r>
          </w:p>
        </w:tc>
        <w:tc>
          <w:tcPr>
            <w:tcW w:w="1558" w:type="dxa"/>
          </w:tcPr>
          <w:p w14:paraId="0575B2A5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(-2.51 to 3.05); 0.85</w:t>
            </w:r>
          </w:p>
        </w:tc>
      </w:tr>
      <w:tr w:rsidR="00C84B67" w:rsidRPr="000D68FF" w14:paraId="4C5902C2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020991CC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Follow-up (9 months)</w:t>
            </w:r>
          </w:p>
        </w:tc>
        <w:tc>
          <w:tcPr>
            <w:tcW w:w="2035" w:type="dxa"/>
          </w:tcPr>
          <w:p w14:paraId="442AEDB7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107.3 (104.9-109.6)</w:t>
            </w:r>
          </w:p>
        </w:tc>
        <w:tc>
          <w:tcPr>
            <w:tcW w:w="1981" w:type="dxa"/>
          </w:tcPr>
          <w:p w14:paraId="3DEE5E93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110.4 (107.6-113.2)</w:t>
            </w:r>
          </w:p>
        </w:tc>
        <w:tc>
          <w:tcPr>
            <w:tcW w:w="1558" w:type="dxa"/>
          </w:tcPr>
          <w:p w14:paraId="7CAEF6C1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3.13 (1.88)</w:t>
            </w:r>
          </w:p>
        </w:tc>
        <w:tc>
          <w:tcPr>
            <w:tcW w:w="1558" w:type="dxa"/>
          </w:tcPr>
          <w:p w14:paraId="5F3D43A5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(-0.58 to 6.85); 0.10</w:t>
            </w:r>
          </w:p>
        </w:tc>
      </w:tr>
      <w:tr w:rsidR="00C84B67" w:rsidRPr="000D68FF" w14:paraId="131CA735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0DCBA2F2" w14:textId="77777777" w:rsidR="00C84B67" w:rsidRPr="000D68FF" w:rsidRDefault="00C84B67" w:rsidP="00665F1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SFS – Independence-competence </w:t>
            </w:r>
          </w:p>
        </w:tc>
        <w:tc>
          <w:tcPr>
            <w:tcW w:w="2035" w:type="dxa"/>
          </w:tcPr>
          <w:p w14:paraId="5836E8EB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1" w:type="dxa"/>
          </w:tcPr>
          <w:p w14:paraId="4D925264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016FAA10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33DBD239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5B90036F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4D475AB5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Baseline</w:t>
            </w:r>
          </w:p>
        </w:tc>
        <w:tc>
          <w:tcPr>
            <w:tcW w:w="2035" w:type="dxa"/>
          </w:tcPr>
          <w:p w14:paraId="456FA7A9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99.5 (97.5-101.5)</w:t>
            </w:r>
          </w:p>
          <w:p w14:paraId="677FCEB7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n=123</w:t>
            </w:r>
          </w:p>
        </w:tc>
        <w:tc>
          <w:tcPr>
            <w:tcW w:w="1981" w:type="dxa"/>
          </w:tcPr>
          <w:p w14:paraId="2D2A37E5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97.9 (96.0-99.8)</w:t>
            </w:r>
          </w:p>
          <w:p w14:paraId="47AF17DE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n=127</w:t>
            </w:r>
          </w:p>
        </w:tc>
        <w:tc>
          <w:tcPr>
            <w:tcW w:w="1558" w:type="dxa"/>
          </w:tcPr>
          <w:p w14:paraId="23338B06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0B6923D3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244AB0BB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3EE0927D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Treatment cessation (3 months)</w:t>
            </w:r>
          </w:p>
        </w:tc>
        <w:tc>
          <w:tcPr>
            <w:tcW w:w="2035" w:type="dxa"/>
          </w:tcPr>
          <w:p w14:paraId="4860A518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103.4 (101.9-105.0)</w:t>
            </w:r>
          </w:p>
        </w:tc>
        <w:tc>
          <w:tcPr>
            <w:tcW w:w="1981" w:type="dxa"/>
          </w:tcPr>
          <w:p w14:paraId="3EAA61D6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102.1 (100.4-103.8)</w:t>
            </w:r>
          </w:p>
        </w:tc>
        <w:tc>
          <w:tcPr>
            <w:tcW w:w="1558" w:type="dxa"/>
          </w:tcPr>
          <w:p w14:paraId="29781999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-1.33 (1.19)</w:t>
            </w:r>
          </w:p>
        </w:tc>
        <w:tc>
          <w:tcPr>
            <w:tcW w:w="1558" w:type="dxa"/>
          </w:tcPr>
          <w:p w14:paraId="7F7AC7AA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(-3.69 to 1.02); 0.26</w:t>
            </w:r>
          </w:p>
        </w:tc>
      </w:tr>
      <w:tr w:rsidR="00C84B67" w:rsidRPr="000D68FF" w14:paraId="39C0275D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606AC608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Follow-up (9 months)</w:t>
            </w:r>
          </w:p>
        </w:tc>
        <w:tc>
          <w:tcPr>
            <w:tcW w:w="2035" w:type="dxa"/>
          </w:tcPr>
          <w:p w14:paraId="7B3C0169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104.0 (101.9-106.0)</w:t>
            </w:r>
          </w:p>
        </w:tc>
        <w:tc>
          <w:tcPr>
            <w:tcW w:w="1981" w:type="dxa"/>
          </w:tcPr>
          <w:p w14:paraId="480F178C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104.2 (101.9)</w:t>
            </w:r>
          </w:p>
        </w:tc>
        <w:tc>
          <w:tcPr>
            <w:tcW w:w="1558" w:type="dxa"/>
          </w:tcPr>
          <w:p w14:paraId="06074030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0.23 (1.57)</w:t>
            </w:r>
          </w:p>
        </w:tc>
        <w:tc>
          <w:tcPr>
            <w:tcW w:w="1558" w:type="dxa"/>
          </w:tcPr>
          <w:p w14:paraId="5F361B3F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(-2.86 to 3.32); 0.89</w:t>
            </w:r>
          </w:p>
        </w:tc>
      </w:tr>
      <w:tr w:rsidR="00C84B67" w:rsidRPr="000D68FF" w14:paraId="7ADF4784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1BB2EEB5" w14:textId="77777777" w:rsidR="00C84B67" w:rsidRPr="000D68FF" w:rsidRDefault="00C84B67" w:rsidP="00665F1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SFS – Independence-performance </w:t>
            </w:r>
          </w:p>
        </w:tc>
        <w:tc>
          <w:tcPr>
            <w:tcW w:w="2035" w:type="dxa"/>
          </w:tcPr>
          <w:p w14:paraId="3A7C5A04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1" w:type="dxa"/>
          </w:tcPr>
          <w:p w14:paraId="4F961123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4B1C42B5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1637EF2D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741BE627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62C79FAB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Baseline</w:t>
            </w:r>
          </w:p>
        </w:tc>
        <w:tc>
          <w:tcPr>
            <w:tcW w:w="2035" w:type="dxa"/>
          </w:tcPr>
          <w:p w14:paraId="1F4541C2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97.0 (95.0-99.0)</w:t>
            </w:r>
          </w:p>
          <w:p w14:paraId="3EF872C3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n=126</w:t>
            </w:r>
          </w:p>
        </w:tc>
        <w:tc>
          <w:tcPr>
            <w:tcW w:w="1981" w:type="dxa"/>
          </w:tcPr>
          <w:p w14:paraId="5C578106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96.8 (94.8-98.7)</w:t>
            </w:r>
          </w:p>
          <w:p w14:paraId="23FDA962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n=127</w:t>
            </w:r>
          </w:p>
        </w:tc>
        <w:tc>
          <w:tcPr>
            <w:tcW w:w="1558" w:type="dxa"/>
          </w:tcPr>
          <w:p w14:paraId="5557E526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27FEC6C3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161D12C4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6D5952A9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Treatment cessation (3 months)</w:t>
            </w:r>
          </w:p>
        </w:tc>
        <w:tc>
          <w:tcPr>
            <w:tcW w:w="2035" w:type="dxa"/>
          </w:tcPr>
          <w:p w14:paraId="16C51E33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99.9 (98.5-101.3)</w:t>
            </w:r>
          </w:p>
        </w:tc>
        <w:tc>
          <w:tcPr>
            <w:tcW w:w="1981" w:type="dxa"/>
          </w:tcPr>
          <w:p w14:paraId="2324474C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99.8 (98.2-101.3)</w:t>
            </w:r>
          </w:p>
        </w:tc>
        <w:tc>
          <w:tcPr>
            <w:tcW w:w="1558" w:type="dxa"/>
          </w:tcPr>
          <w:p w14:paraId="41CFEE00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-0.23 (1.09)</w:t>
            </w:r>
          </w:p>
        </w:tc>
        <w:tc>
          <w:tcPr>
            <w:tcW w:w="1558" w:type="dxa"/>
          </w:tcPr>
          <w:p w14:paraId="60EA4319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(-2.28 to 2.02); 0.91</w:t>
            </w:r>
          </w:p>
        </w:tc>
      </w:tr>
      <w:tr w:rsidR="00C84B67" w:rsidRPr="000D68FF" w14:paraId="12C24890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7465A644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Follow-up (9 months)</w:t>
            </w:r>
          </w:p>
        </w:tc>
        <w:tc>
          <w:tcPr>
            <w:tcW w:w="2035" w:type="dxa"/>
          </w:tcPr>
          <w:p w14:paraId="7AA88053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101.2 (99.5-103.0)</w:t>
            </w:r>
          </w:p>
        </w:tc>
        <w:tc>
          <w:tcPr>
            <w:tcW w:w="1981" w:type="dxa"/>
          </w:tcPr>
          <w:p w14:paraId="2D4FF9A6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101.6 (99.6-103.6)</w:t>
            </w:r>
          </w:p>
        </w:tc>
        <w:tc>
          <w:tcPr>
            <w:tcW w:w="1558" w:type="dxa"/>
          </w:tcPr>
          <w:p w14:paraId="702914C4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0.34 (1.41) </w:t>
            </w:r>
          </w:p>
        </w:tc>
        <w:tc>
          <w:tcPr>
            <w:tcW w:w="1558" w:type="dxa"/>
          </w:tcPr>
          <w:p w14:paraId="730E9DA2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(-2.43 to 3.12); 0.81</w:t>
            </w:r>
          </w:p>
        </w:tc>
      </w:tr>
      <w:tr w:rsidR="00C84B67" w:rsidRPr="000D68FF" w14:paraId="43AFD6F7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426687C4" w14:textId="77777777" w:rsidR="00C84B67" w:rsidRPr="000D68FF" w:rsidRDefault="00C84B67" w:rsidP="00665F1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SFS – Employment-occupation</w:t>
            </w:r>
          </w:p>
        </w:tc>
        <w:tc>
          <w:tcPr>
            <w:tcW w:w="2035" w:type="dxa"/>
          </w:tcPr>
          <w:p w14:paraId="727340AB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1" w:type="dxa"/>
          </w:tcPr>
          <w:p w14:paraId="4A84D17D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64657B81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243FEE90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275F5AC9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4BD6949A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Baseline</w:t>
            </w:r>
          </w:p>
        </w:tc>
        <w:tc>
          <w:tcPr>
            <w:tcW w:w="2035" w:type="dxa"/>
          </w:tcPr>
          <w:p w14:paraId="020FADBE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101.6 (99.1-104.0)</w:t>
            </w:r>
          </w:p>
          <w:p w14:paraId="2E8904AD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n=120</w:t>
            </w:r>
          </w:p>
        </w:tc>
        <w:tc>
          <w:tcPr>
            <w:tcW w:w="1981" w:type="dxa"/>
          </w:tcPr>
          <w:p w14:paraId="59853298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104.7 (102.4-107.0)</w:t>
            </w:r>
          </w:p>
          <w:p w14:paraId="65F2E894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n=126</w:t>
            </w:r>
          </w:p>
        </w:tc>
        <w:tc>
          <w:tcPr>
            <w:tcW w:w="1558" w:type="dxa"/>
          </w:tcPr>
          <w:p w14:paraId="32D15D2B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24F00793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2A6A1650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102A9655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Treatment cessation (3 months)</w:t>
            </w:r>
          </w:p>
        </w:tc>
        <w:tc>
          <w:tcPr>
            <w:tcW w:w="2035" w:type="dxa"/>
          </w:tcPr>
          <w:p w14:paraId="4CD5EF07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104.1 (102.3-105.8)</w:t>
            </w:r>
          </w:p>
        </w:tc>
        <w:tc>
          <w:tcPr>
            <w:tcW w:w="1981" w:type="dxa"/>
          </w:tcPr>
          <w:p w14:paraId="463FC991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104.3 (102.4-106.2)</w:t>
            </w:r>
          </w:p>
        </w:tc>
        <w:tc>
          <w:tcPr>
            <w:tcW w:w="1558" w:type="dxa"/>
          </w:tcPr>
          <w:p w14:paraId="18249A57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0.25 (1.34)</w:t>
            </w:r>
          </w:p>
        </w:tc>
        <w:tc>
          <w:tcPr>
            <w:tcW w:w="1558" w:type="dxa"/>
          </w:tcPr>
          <w:p w14:paraId="4F41CD34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(-2.40 to 2.89); 0.86</w:t>
            </w:r>
          </w:p>
        </w:tc>
      </w:tr>
      <w:tr w:rsidR="00C84B67" w:rsidRPr="000D68FF" w14:paraId="6578904A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42E6CD69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Follow-up (9 months)</w:t>
            </w:r>
          </w:p>
        </w:tc>
        <w:tc>
          <w:tcPr>
            <w:tcW w:w="2035" w:type="dxa"/>
          </w:tcPr>
          <w:p w14:paraId="2B630086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104.6 (102.4-106.8)</w:t>
            </w:r>
          </w:p>
        </w:tc>
        <w:tc>
          <w:tcPr>
            <w:tcW w:w="1981" w:type="dxa"/>
          </w:tcPr>
          <w:p w14:paraId="1017E42F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105.1 (102.5-107.7)</w:t>
            </w:r>
          </w:p>
        </w:tc>
        <w:tc>
          <w:tcPr>
            <w:tcW w:w="1558" w:type="dxa"/>
          </w:tcPr>
          <w:p w14:paraId="7F9987D5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0.49 (1.79)</w:t>
            </w:r>
          </w:p>
        </w:tc>
        <w:tc>
          <w:tcPr>
            <w:tcW w:w="1558" w:type="dxa"/>
          </w:tcPr>
          <w:p w14:paraId="3FFCEF63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(-3.05 to 4.02); 0.79</w:t>
            </w:r>
          </w:p>
        </w:tc>
      </w:tr>
      <w:tr w:rsidR="00C84B67" w:rsidRPr="000D68FF" w14:paraId="267C4A2B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5D44533A" w14:textId="77777777" w:rsidR="00C84B67" w:rsidRPr="000D68FF" w:rsidRDefault="00C84B67" w:rsidP="00665F1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GSE</w:t>
            </w:r>
          </w:p>
        </w:tc>
        <w:tc>
          <w:tcPr>
            <w:tcW w:w="2035" w:type="dxa"/>
          </w:tcPr>
          <w:p w14:paraId="2139CAF0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1" w:type="dxa"/>
          </w:tcPr>
          <w:p w14:paraId="412B1E1F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2E2F694C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6BE760DF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4D6A4D02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0936108B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Baseline</w:t>
            </w:r>
          </w:p>
        </w:tc>
        <w:tc>
          <w:tcPr>
            <w:tcW w:w="2035" w:type="dxa"/>
          </w:tcPr>
          <w:p w14:paraId="7A254B75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21.1 (20.0-22.2)</w:t>
            </w:r>
          </w:p>
          <w:p w14:paraId="03CCB2BB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n=126</w:t>
            </w:r>
          </w:p>
        </w:tc>
        <w:tc>
          <w:tcPr>
            <w:tcW w:w="1981" w:type="dxa"/>
          </w:tcPr>
          <w:p w14:paraId="5EF160B6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21.0 (20.0-21.9)</w:t>
            </w:r>
          </w:p>
          <w:p w14:paraId="6D180978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n=127</w:t>
            </w:r>
          </w:p>
        </w:tc>
        <w:tc>
          <w:tcPr>
            <w:tcW w:w="1558" w:type="dxa"/>
          </w:tcPr>
          <w:p w14:paraId="4E303B40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2B5DED6E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0AA1E131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02191A79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Treatment cessation (3 months)</w:t>
            </w:r>
          </w:p>
        </w:tc>
        <w:tc>
          <w:tcPr>
            <w:tcW w:w="2035" w:type="dxa"/>
          </w:tcPr>
          <w:p w14:paraId="18195825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24.3 (23.4-25.2)</w:t>
            </w:r>
          </w:p>
        </w:tc>
        <w:tc>
          <w:tcPr>
            <w:tcW w:w="1981" w:type="dxa"/>
          </w:tcPr>
          <w:p w14:paraId="1F574229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23.4 (22.4-24.3)</w:t>
            </w:r>
          </w:p>
        </w:tc>
        <w:tc>
          <w:tcPr>
            <w:tcW w:w="1558" w:type="dxa"/>
          </w:tcPr>
          <w:p w14:paraId="7191EAA5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-0.91 (0.68)</w:t>
            </w:r>
          </w:p>
        </w:tc>
        <w:tc>
          <w:tcPr>
            <w:tcW w:w="1558" w:type="dxa"/>
          </w:tcPr>
          <w:p w14:paraId="05E3AE49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(-2.25 to 0.43); 0.18</w:t>
            </w:r>
          </w:p>
        </w:tc>
      </w:tr>
      <w:tr w:rsidR="00C84B67" w:rsidRPr="000D68FF" w14:paraId="574FE12D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7F48D0E4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Follow-up (9 months)</w:t>
            </w:r>
          </w:p>
        </w:tc>
        <w:tc>
          <w:tcPr>
            <w:tcW w:w="2035" w:type="dxa"/>
          </w:tcPr>
          <w:p w14:paraId="2782AE98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24.3 (23.2-25.3)</w:t>
            </w:r>
          </w:p>
        </w:tc>
        <w:tc>
          <w:tcPr>
            <w:tcW w:w="1981" w:type="dxa"/>
          </w:tcPr>
          <w:p w14:paraId="5B70C91F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24.8 (23.6-26.0)</w:t>
            </w:r>
          </w:p>
        </w:tc>
        <w:tc>
          <w:tcPr>
            <w:tcW w:w="1558" w:type="dxa"/>
          </w:tcPr>
          <w:p w14:paraId="10E0842E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0.53 (0.81)</w:t>
            </w:r>
          </w:p>
        </w:tc>
        <w:tc>
          <w:tcPr>
            <w:tcW w:w="1558" w:type="dxa"/>
          </w:tcPr>
          <w:p w14:paraId="103B8AFE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(-1.07 to 2.13); 0.52</w:t>
            </w:r>
          </w:p>
        </w:tc>
      </w:tr>
      <w:tr w:rsidR="00C84B67" w:rsidRPr="000D68FF" w14:paraId="261AAE93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2E7E7050" w14:textId="77777777" w:rsidR="00C84B67" w:rsidRPr="000D68FF" w:rsidRDefault="00C84B67" w:rsidP="00665F1F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EQ-5D-5L </w:t>
            </w:r>
          </w:p>
        </w:tc>
        <w:tc>
          <w:tcPr>
            <w:tcW w:w="2035" w:type="dxa"/>
          </w:tcPr>
          <w:p w14:paraId="43A7754B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1" w:type="dxa"/>
          </w:tcPr>
          <w:p w14:paraId="0A4B9BFC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11ABCEF1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072EB677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3F7D9507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68A811D8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Baseline</w:t>
            </w:r>
          </w:p>
        </w:tc>
        <w:tc>
          <w:tcPr>
            <w:tcW w:w="2035" w:type="dxa"/>
          </w:tcPr>
          <w:p w14:paraId="12C18083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0.50 (0.45-0.55)</w:t>
            </w:r>
          </w:p>
          <w:p w14:paraId="246BCA6E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n=126</w:t>
            </w:r>
          </w:p>
        </w:tc>
        <w:tc>
          <w:tcPr>
            <w:tcW w:w="1981" w:type="dxa"/>
          </w:tcPr>
          <w:p w14:paraId="56419136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0.51 (0.46-0.56)</w:t>
            </w:r>
          </w:p>
          <w:p w14:paraId="2C6CA7C0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N=124</w:t>
            </w:r>
          </w:p>
        </w:tc>
        <w:tc>
          <w:tcPr>
            <w:tcW w:w="1558" w:type="dxa"/>
          </w:tcPr>
          <w:p w14:paraId="5F6C3023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547FA22E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6F7B36C1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4FCB10F9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Treatment cessation (3 months)</w:t>
            </w:r>
          </w:p>
        </w:tc>
        <w:tc>
          <w:tcPr>
            <w:tcW w:w="2035" w:type="dxa"/>
          </w:tcPr>
          <w:p w14:paraId="3C56FBB8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0.61 (0.57-0.65)</w:t>
            </w:r>
          </w:p>
        </w:tc>
        <w:tc>
          <w:tcPr>
            <w:tcW w:w="1981" w:type="dxa"/>
          </w:tcPr>
          <w:p w14:paraId="7003A4D2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0.58 (0.53-0.63)</w:t>
            </w:r>
          </w:p>
        </w:tc>
        <w:tc>
          <w:tcPr>
            <w:tcW w:w="1558" w:type="dxa"/>
          </w:tcPr>
          <w:p w14:paraId="56D70A78" w14:textId="77777777" w:rsidR="00C84B67" w:rsidRPr="000D68FF" w:rsidRDefault="00C84B67" w:rsidP="00665F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-0.03 (0.03)</w:t>
            </w:r>
          </w:p>
        </w:tc>
        <w:tc>
          <w:tcPr>
            <w:tcW w:w="1558" w:type="dxa"/>
          </w:tcPr>
          <w:p w14:paraId="12B972F1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(-0.09 to 0.03); 0.36</w:t>
            </w:r>
          </w:p>
        </w:tc>
      </w:tr>
      <w:tr w:rsidR="00C84B67" w:rsidRPr="000D68FF" w14:paraId="0C768A7F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64F07496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Follow-up (9 months)</w:t>
            </w:r>
          </w:p>
        </w:tc>
        <w:tc>
          <w:tcPr>
            <w:tcW w:w="2035" w:type="dxa"/>
          </w:tcPr>
          <w:p w14:paraId="77B57CAD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0.64 (0.59-0.68)</w:t>
            </w:r>
          </w:p>
        </w:tc>
        <w:tc>
          <w:tcPr>
            <w:tcW w:w="1981" w:type="dxa"/>
          </w:tcPr>
          <w:p w14:paraId="087CDF0E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0.65 (0.60-0.68)</w:t>
            </w:r>
          </w:p>
        </w:tc>
        <w:tc>
          <w:tcPr>
            <w:tcW w:w="1558" w:type="dxa"/>
          </w:tcPr>
          <w:p w14:paraId="3985C645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 (0.03)</w:t>
            </w:r>
          </w:p>
        </w:tc>
        <w:tc>
          <w:tcPr>
            <w:tcW w:w="1558" w:type="dxa"/>
          </w:tcPr>
          <w:p w14:paraId="5C142905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(-0.06 to 0.08); 0.81</w:t>
            </w:r>
          </w:p>
        </w:tc>
      </w:tr>
      <w:tr w:rsidR="00C84B67" w:rsidRPr="000D68FF" w14:paraId="2AF432C9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3AABF045" w14:textId="77777777" w:rsidR="00C84B67" w:rsidRPr="000D68FF" w:rsidRDefault="00C84B67" w:rsidP="00665F1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EQ5 VAS</w:t>
            </w:r>
          </w:p>
        </w:tc>
        <w:tc>
          <w:tcPr>
            <w:tcW w:w="2035" w:type="dxa"/>
          </w:tcPr>
          <w:p w14:paraId="712D6181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1" w:type="dxa"/>
          </w:tcPr>
          <w:p w14:paraId="750274EA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7A4C3A4D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5965A192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7CB9F9A7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754D0D34" w14:textId="77777777" w:rsidR="00C84B67" w:rsidRPr="000D68FF" w:rsidRDefault="00C84B67" w:rsidP="00665F1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Baseline</w:t>
            </w:r>
          </w:p>
        </w:tc>
        <w:tc>
          <w:tcPr>
            <w:tcW w:w="2035" w:type="dxa"/>
          </w:tcPr>
          <w:p w14:paraId="280068F8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53.8 (49.9-57.7)</w:t>
            </w:r>
          </w:p>
          <w:p w14:paraId="32C7CD48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n=121</w:t>
            </w:r>
          </w:p>
        </w:tc>
        <w:tc>
          <w:tcPr>
            <w:tcW w:w="1981" w:type="dxa"/>
          </w:tcPr>
          <w:p w14:paraId="361B1F2B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50.5 (46.9-54.1)</w:t>
            </w:r>
          </w:p>
          <w:p w14:paraId="4987908F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n=124</w:t>
            </w:r>
          </w:p>
        </w:tc>
        <w:tc>
          <w:tcPr>
            <w:tcW w:w="1558" w:type="dxa"/>
          </w:tcPr>
          <w:p w14:paraId="70C192EA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4D2E1A76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369628C3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05AB853D" w14:textId="77777777" w:rsidR="00C84B67" w:rsidRPr="000D68FF" w:rsidRDefault="00C84B67" w:rsidP="00665F1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Treatment cessation (3 months)</w:t>
            </w:r>
          </w:p>
        </w:tc>
        <w:tc>
          <w:tcPr>
            <w:tcW w:w="2035" w:type="dxa"/>
          </w:tcPr>
          <w:p w14:paraId="20233B85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59.3 (55.5-63.0)</w:t>
            </w:r>
          </w:p>
        </w:tc>
        <w:tc>
          <w:tcPr>
            <w:tcW w:w="1981" w:type="dxa"/>
          </w:tcPr>
          <w:p w14:paraId="02AF264D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56.3 (52.1-60.4)</w:t>
            </w:r>
          </w:p>
        </w:tc>
        <w:tc>
          <w:tcPr>
            <w:tcW w:w="1558" w:type="dxa"/>
          </w:tcPr>
          <w:p w14:paraId="145D084E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-3.0 (2.9)</w:t>
            </w:r>
          </w:p>
        </w:tc>
        <w:tc>
          <w:tcPr>
            <w:tcW w:w="1558" w:type="dxa"/>
          </w:tcPr>
          <w:p w14:paraId="501451E2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(-8.7 to 2.7); 0.30</w:t>
            </w:r>
          </w:p>
        </w:tc>
      </w:tr>
      <w:tr w:rsidR="00C84B67" w:rsidRPr="000D68FF" w14:paraId="40D7BBA9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39A69CA1" w14:textId="77777777" w:rsidR="00C84B67" w:rsidRPr="000D68FF" w:rsidRDefault="00C84B67" w:rsidP="00665F1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Follow-up (9 months)</w:t>
            </w:r>
          </w:p>
        </w:tc>
        <w:tc>
          <w:tcPr>
            <w:tcW w:w="2035" w:type="dxa"/>
          </w:tcPr>
          <w:p w14:paraId="47D39385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60.7 (56.3-65.0)</w:t>
            </w:r>
          </w:p>
        </w:tc>
        <w:tc>
          <w:tcPr>
            <w:tcW w:w="1981" w:type="dxa"/>
          </w:tcPr>
          <w:p w14:paraId="1ACF36A7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59.4 (54.7-64.1)</w:t>
            </w:r>
          </w:p>
        </w:tc>
        <w:tc>
          <w:tcPr>
            <w:tcW w:w="1558" w:type="dxa"/>
          </w:tcPr>
          <w:p w14:paraId="1A705646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-1.3 (3.3)</w:t>
            </w:r>
          </w:p>
        </w:tc>
        <w:tc>
          <w:tcPr>
            <w:tcW w:w="1558" w:type="dxa"/>
          </w:tcPr>
          <w:p w14:paraId="62AA7858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(-7.8 to 5.2); 0.40</w:t>
            </w:r>
          </w:p>
        </w:tc>
      </w:tr>
      <w:tr w:rsidR="00C84B67" w:rsidRPr="000D68FF" w14:paraId="17DBFAC0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2F470741" w14:textId="77777777" w:rsidR="00C84B67" w:rsidRPr="000D68FF" w:rsidRDefault="00C84B67" w:rsidP="00665F1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WHO</w:t>
            </w:r>
          </w:p>
        </w:tc>
        <w:tc>
          <w:tcPr>
            <w:tcW w:w="2035" w:type="dxa"/>
          </w:tcPr>
          <w:p w14:paraId="52EE1FAE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1" w:type="dxa"/>
          </w:tcPr>
          <w:p w14:paraId="1442329A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4A9BEFFF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5B52F05D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20133905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6D2F5EDB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Baseline</w:t>
            </w:r>
          </w:p>
        </w:tc>
        <w:tc>
          <w:tcPr>
            <w:tcW w:w="2035" w:type="dxa"/>
          </w:tcPr>
          <w:p w14:paraId="4D56DFDC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33.3 (30.2-36.4)</w:t>
            </w:r>
          </w:p>
          <w:p w14:paraId="18D6CEC5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n=126</w:t>
            </w:r>
          </w:p>
        </w:tc>
        <w:tc>
          <w:tcPr>
            <w:tcW w:w="1981" w:type="dxa"/>
          </w:tcPr>
          <w:p w14:paraId="03C718DD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30.6 (27.6-33.5)</w:t>
            </w:r>
          </w:p>
          <w:p w14:paraId="081179BB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n=127</w:t>
            </w:r>
          </w:p>
        </w:tc>
        <w:tc>
          <w:tcPr>
            <w:tcW w:w="1558" w:type="dxa"/>
          </w:tcPr>
          <w:p w14:paraId="2177AB31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06EF2962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375E7327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1C7F32EF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Treatment cessation (3 months)</w:t>
            </w:r>
          </w:p>
        </w:tc>
        <w:tc>
          <w:tcPr>
            <w:tcW w:w="2035" w:type="dxa"/>
          </w:tcPr>
          <w:p w14:paraId="56D1C48D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39.5 (36.2-42.8)</w:t>
            </w:r>
          </w:p>
        </w:tc>
        <w:tc>
          <w:tcPr>
            <w:tcW w:w="1981" w:type="dxa"/>
          </w:tcPr>
          <w:p w14:paraId="486E4B3C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41.4 (37.7-45.1)</w:t>
            </w:r>
          </w:p>
        </w:tc>
        <w:tc>
          <w:tcPr>
            <w:tcW w:w="1558" w:type="dxa"/>
          </w:tcPr>
          <w:p w14:paraId="4A4919DC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1.88 (2.58)</w:t>
            </w:r>
          </w:p>
        </w:tc>
        <w:tc>
          <w:tcPr>
            <w:tcW w:w="1558" w:type="dxa"/>
          </w:tcPr>
          <w:p w14:paraId="7171D753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(-3.20 to 6.97); 0.47</w:t>
            </w:r>
          </w:p>
        </w:tc>
      </w:tr>
      <w:tr w:rsidR="00C84B67" w:rsidRPr="000D68FF" w14:paraId="0461223F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3D747D81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Follow-up (9 months)</w:t>
            </w:r>
          </w:p>
        </w:tc>
        <w:tc>
          <w:tcPr>
            <w:tcW w:w="2035" w:type="dxa"/>
          </w:tcPr>
          <w:p w14:paraId="38FF8BA4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42.8 (38.8 to 46.9)</w:t>
            </w:r>
          </w:p>
        </w:tc>
        <w:tc>
          <w:tcPr>
            <w:tcW w:w="1981" w:type="dxa"/>
          </w:tcPr>
          <w:p w14:paraId="3E9CDAE2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44.6 (39.8-49.4)</w:t>
            </w:r>
          </w:p>
        </w:tc>
        <w:tc>
          <w:tcPr>
            <w:tcW w:w="1558" w:type="dxa"/>
          </w:tcPr>
          <w:p w14:paraId="2285F4CF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1.76 (3.30)</w:t>
            </w:r>
          </w:p>
        </w:tc>
        <w:tc>
          <w:tcPr>
            <w:tcW w:w="1558" w:type="dxa"/>
          </w:tcPr>
          <w:p w14:paraId="080D6179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(-4.77 to 8.29); 0.59</w:t>
            </w:r>
          </w:p>
        </w:tc>
      </w:tr>
      <w:tr w:rsidR="00C84B67" w:rsidRPr="000D68FF" w14:paraId="720D65AC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1D6B82B6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R-GPTS – ideas of persecution </w:t>
            </w:r>
          </w:p>
        </w:tc>
        <w:tc>
          <w:tcPr>
            <w:tcW w:w="2035" w:type="dxa"/>
          </w:tcPr>
          <w:p w14:paraId="40823FF5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1" w:type="dxa"/>
          </w:tcPr>
          <w:p w14:paraId="5FDC6A8D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25F0872E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177EAF07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0BA57689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0702784A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Baseline</w:t>
            </w:r>
          </w:p>
        </w:tc>
        <w:tc>
          <w:tcPr>
            <w:tcW w:w="2035" w:type="dxa"/>
          </w:tcPr>
          <w:p w14:paraId="04CD6BA7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15.1 (13.5-16.6)</w:t>
            </w:r>
          </w:p>
          <w:p w14:paraId="57A7A50E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n=126</w:t>
            </w:r>
          </w:p>
        </w:tc>
        <w:tc>
          <w:tcPr>
            <w:tcW w:w="1981" w:type="dxa"/>
          </w:tcPr>
          <w:p w14:paraId="5573FD8D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14.9 (13.2-16.6)</w:t>
            </w:r>
          </w:p>
          <w:p w14:paraId="5DD2E08A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n=128</w:t>
            </w:r>
          </w:p>
        </w:tc>
        <w:tc>
          <w:tcPr>
            <w:tcW w:w="1558" w:type="dxa"/>
          </w:tcPr>
          <w:p w14:paraId="7DFCF18F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6BCBFC93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4766695C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65C1253B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Treatment cessation (3 months)</w:t>
            </w:r>
          </w:p>
        </w:tc>
        <w:tc>
          <w:tcPr>
            <w:tcW w:w="2035" w:type="dxa"/>
          </w:tcPr>
          <w:p w14:paraId="3DBE42DE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8.4 (7.1-9.6)</w:t>
            </w:r>
          </w:p>
        </w:tc>
        <w:tc>
          <w:tcPr>
            <w:tcW w:w="1981" w:type="dxa"/>
          </w:tcPr>
          <w:p w14:paraId="471810D8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8.6 (7.2-10.0)</w:t>
            </w:r>
          </w:p>
        </w:tc>
        <w:tc>
          <w:tcPr>
            <w:tcW w:w="1558" w:type="dxa"/>
          </w:tcPr>
          <w:p w14:paraId="014B1247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0.24 (0.96)</w:t>
            </w:r>
          </w:p>
        </w:tc>
        <w:tc>
          <w:tcPr>
            <w:tcW w:w="1558" w:type="dxa"/>
          </w:tcPr>
          <w:p w14:paraId="3808DF2C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(-1.65 to 2.12); 0.81</w:t>
            </w:r>
          </w:p>
        </w:tc>
      </w:tr>
      <w:tr w:rsidR="00C84B67" w:rsidRPr="000D68FF" w14:paraId="6F16060D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3EE4D393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Follow-up (9 months)</w:t>
            </w:r>
          </w:p>
        </w:tc>
        <w:tc>
          <w:tcPr>
            <w:tcW w:w="2035" w:type="dxa"/>
          </w:tcPr>
          <w:p w14:paraId="6B95907B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7.9 (6.4-9.4)</w:t>
            </w:r>
          </w:p>
        </w:tc>
        <w:tc>
          <w:tcPr>
            <w:tcW w:w="1981" w:type="dxa"/>
          </w:tcPr>
          <w:p w14:paraId="63D4B5F8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8.4 (6.7-10.1)</w:t>
            </w:r>
          </w:p>
        </w:tc>
        <w:tc>
          <w:tcPr>
            <w:tcW w:w="1558" w:type="dxa"/>
          </w:tcPr>
          <w:p w14:paraId="7255CB86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0.53 (1.16)</w:t>
            </w:r>
          </w:p>
        </w:tc>
        <w:tc>
          <w:tcPr>
            <w:tcW w:w="1558" w:type="dxa"/>
          </w:tcPr>
          <w:p w14:paraId="606DCB1D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(-1.75 to 2.82); 0.65</w:t>
            </w:r>
          </w:p>
        </w:tc>
      </w:tr>
      <w:tr w:rsidR="00C84B67" w:rsidRPr="000D68FF" w14:paraId="7F9673FD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3AF31DDB" w14:textId="77777777" w:rsidR="00C84B67" w:rsidRPr="000D68FF" w:rsidRDefault="00C84B67" w:rsidP="00665F1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R-GPTS – ideas of social self-reference </w:t>
            </w:r>
          </w:p>
        </w:tc>
        <w:tc>
          <w:tcPr>
            <w:tcW w:w="2035" w:type="dxa"/>
          </w:tcPr>
          <w:p w14:paraId="1BCD1B39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1" w:type="dxa"/>
          </w:tcPr>
          <w:p w14:paraId="269A2A2F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035103B3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5607AD76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2868157A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49ECA5DF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Baseline</w:t>
            </w:r>
          </w:p>
        </w:tc>
        <w:tc>
          <w:tcPr>
            <w:tcW w:w="2035" w:type="dxa"/>
          </w:tcPr>
          <w:p w14:paraId="16A44AAF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13.3 (12.1-14.4)</w:t>
            </w:r>
          </w:p>
          <w:p w14:paraId="37D1D9EA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n=126</w:t>
            </w:r>
          </w:p>
        </w:tc>
        <w:tc>
          <w:tcPr>
            <w:tcW w:w="1981" w:type="dxa"/>
          </w:tcPr>
          <w:p w14:paraId="08A1C4A5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14.4 (13.2-15.6)</w:t>
            </w:r>
          </w:p>
          <w:p w14:paraId="4101B13A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n=128</w:t>
            </w:r>
          </w:p>
        </w:tc>
        <w:tc>
          <w:tcPr>
            <w:tcW w:w="1558" w:type="dxa"/>
          </w:tcPr>
          <w:p w14:paraId="78F8DC41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7E268FD0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0D2A7925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3C0CA6FD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Treatment cessation (3 months)</w:t>
            </w:r>
          </w:p>
        </w:tc>
        <w:tc>
          <w:tcPr>
            <w:tcW w:w="2035" w:type="dxa"/>
          </w:tcPr>
          <w:p w14:paraId="4C6EFE31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8.8 (7.9-9.7)</w:t>
            </w:r>
          </w:p>
        </w:tc>
        <w:tc>
          <w:tcPr>
            <w:tcW w:w="1981" w:type="dxa"/>
          </w:tcPr>
          <w:p w14:paraId="591A862D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8.8 (7.8-9.8)</w:t>
            </w:r>
          </w:p>
        </w:tc>
        <w:tc>
          <w:tcPr>
            <w:tcW w:w="1558" w:type="dxa"/>
          </w:tcPr>
          <w:p w14:paraId="699A4729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0.03 (0.70)</w:t>
            </w:r>
          </w:p>
        </w:tc>
        <w:tc>
          <w:tcPr>
            <w:tcW w:w="1558" w:type="dxa"/>
          </w:tcPr>
          <w:p w14:paraId="5EA8CF6D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(-1.34 to 1.40); 0.97</w:t>
            </w:r>
          </w:p>
        </w:tc>
      </w:tr>
      <w:tr w:rsidR="00C84B67" w:rsidRPr="000D68FF" w14:paraId="76B6D3B9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31762D2D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Follow-up (9 months)</w:t>
            </w:r>
          </w:p>
        </w:tc>
        <w:tc>
          <w:tcPr>
            <w:tcW w:w="2035" w:type="dxa"/>
          </w:tcPr>
          <w:p w14:paraId="1DAFDBAF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8.3 (7.5-9.4)</w:t>
            </w:r>
          </w:p>
        </w:tc>
        <w:tc>
          <w:tcPr>
            <w:tcW w:w="1981" w:type="dxa"/>
          </w:tcPr>
          <w:p w14:paraId="7E8B9539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8.8 (7.6-10.0)</w:t>
            </w:r>
          </w:p>
        </w:tc>
        <w:tc>
          <w:tcPr>
            <w:tcW w:w="1558" w:type="dxa"/>
          </w:tcPr>
          <w:p w14:paraId="4BE8A4F1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0.48 (0.83)</w:t>
            </w:r>
          </w:p>
        </w:tc>
        <w:tc>
          <w:tcPr>
            <w:tcW w:w="1558" w:type="dxa"/>
          </w:tcPr>
          <w:p w14:paraId="370C877F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(-1.17 to 2.13); 0.56</w:t>
            </w:r>
          </w:p>
        </w:tc>
      </w:tr>
      <w:tr w:rsidR="00C84B67" w:rsidRPr="000D68FF" w14:paraId="3A6D2FFA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5EE55013" w14:textId="77777777" w:rsidR="00C84B67" w:rsidRPr="000D68FF" w:rsidRDefault="00C84B67" w:rsidP="00665F1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GPTS total</w:t>
            </w:r>
          </w:p>
        </w:tc>
        <w:tc>
          <w:tcPr>
            <w:tcW w:w="2035" w:type="dxa"/>
          </w:tcPr>
          <w:p w14:paraId="1E3DCA16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1" w:type="dxa"/>
          </w:tcPr>
          <w:p w14:paraId="437E7805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65CF4356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5B572D2E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010BBDA0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09D663BD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Baseline</w:t>
            </w:r>
          </w:p>
        </w:tc>
        <w:tc>
          <w:tcPr>
            <w:tcW w:w="2035" w:type="dxa"/>
          </w:tcPr>
          <w:p w14:paraId="00BCFBF1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85.2 (80.7-89.6)</w:t>
            </w:r>
          </w:p>
          <w:p w14:paraId="6D19FB74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n=126</w:t>
            </w:r>
          </w:p>
        </w:tc>
        <w:tc>
          <w:tcPr>
            <w:tcW w:w="1981" w:type="dxa"/>
          </w:tcPr>
          <w:p w14:paraId="18D0861C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86.3 (81.3-91.0)</w:t>
            </w:r>
          </w:p>
          <w:p w14:paraId="12B58DA8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n=128</w:t>
            </w:r>
          </w:p>
        </w:tc>
        <w:tc>
          <w:tcPr>
            <w:tcW w:w="1558" w:type="dxa"/>
          </w:tcPr>
          <w:p w14:paraId="5A082352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053FF0F6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6EE852E3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3A7655B4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Treatment cessation (3 months)</w:t>
            </w:r>
          </w:p>
        </w:tc>
        <w:tc>
          <w:tcPr>
            <w:tcW w:w="2035" w:type="dxa"/>
          </w:tcPr>
          <w:p w14:paraId="68C2A52B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63.5 (59.9-67.0)</w:t>
            </w:r>
          </w:p>
        </w:tc>
        <w:tc>
          <w:tcPr>
            <w:tcW w:w="1981" w:type="dxa"/>
          </w:tcPr>
          <w:p w14:paraId="0E475291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64.7 (60.9-68.5)</w:t>
            </w:r>
          </w:p>
        </w:tc>
        <w:tc>
          <w:tcPr>
            <w:tcW w:w="1558" w:type="dxa"/>
          </w:tcPr>
          <w:p w14:paraId="61374663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1.25 (2.68)</w:t>
            </w:r>
          </w:p>
        </w:tc>
        <w:tc>
          <w:tcPr>
            <w:tcW w:w="1558" w:type="dxa"/>
          </w:tcPr>
          <w:p w14:paraId="20942945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(-4.03 to 6.53); 0.64</w:t>
            </w:r>
          </w:p>
          <w:p w14:paraId="6F0005B8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59EAE719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61C0AFCC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Follow-up (9 months)</w:t>
            </w:r>
          </w:p>
        </w:tc>
        <w:tc>
          <w:tcPr>
            <w:tcW w:w="2035" w:type="dxa"/>
          </w:tcPr>
          <w:p w14:paraId="3824FD27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61.9 (57.4-66.3)</w:t>
            </w:r>
          </w:p>
        </w:tc>
        <w:tc>
          <w:tcPr>
            <w:tcW w:w="1981" w:type="dxa"/>
          </w:tcPr>
          <w:p w14:paraId="7E10850D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64.3 (59.3-69.2)</w:t>
            </w:r>
          </w:p>
        </w:tc>
        <w:tc>
          <w:tcPr>
            <w:tcW w:w="1558" w:type="dxa"/>
          </w:tcPr>
          <w:p w14:paraId="5ACD334A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2.40 (3.48)</w:t>
            </w:r>
          </w:p>
        </w:tc>
        <w:tc>
          <w:tcPr>
            <w:tcW w:w="1558" w:type="dxa"/>
          </w:tcPr>
          <w:p w14:paraId="0D35898F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(-4.47 to 9.26); 0.49</w:t>
            </w:r>
          </w:p>
        </w:tc>
      </w:tr>
      <w:tr w:rsidR="00C84B67" w:rsidRPr="000D68FF" w14:paraId="3557DA48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23B0941C" w14:textId="77777777" w:rsidR="00C84B67" w:rsidRPr="000D68FF" w:rsidRDefault="00C84B67" w:rsidP="00665F1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R-GPTS total</w:t>
            </w:r>
          </w:p>
        </w:tc>
        <w:tc>
          <w:tcPr>
            <w:tcW w:w="2035" w:type="dxa"/>
          </w:tcPr>
          <w:p w14:paraId="482EAA79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1" w:type="dxa"/>
          </w:tcPr>
          <w:p w14:paraId="414EB58E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0397DB03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73B9AE12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4AD88EC8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065DCBCF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Baseline</w:t>
            </w:r>
          </w:p>
        </w:tc>
        <w:tc>
          <w:tcPr>
            <w:tcW w:w="2035" w:type="dxa"/>
          </w:tcPr>
          <w:p w14:paraId="57607AE5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28.3 (25.9-30.8)</w:t>
            </w:r>
          </w:p>
          <w:p w14:paraId="2B5793F6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n=126</w:t>
            </w:r>
          </w:p>
        </w:tc>
        <w:tc>
          <w:tcPr>
            <w:tcW w:w="1981" w:type="dxa"/>
          </w:tcPr>
          <w:p w14:paraId="59D40601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29.3 (26.6-31.9)</w:t>
            </w:r>
          </w:p>
          <w:p w14:paraId="35F732B3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n=128</w:t>
            </w:r>
          </w:p>
        </w:tc>
        <w:tc>
          <w:tcPr>
            <w:tcW w:w="1558" w:type="dxa"/>
          </w:tcPr>
          <w:p w14:paraId="6760CACD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07510925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5EDDBAE3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70EA6D4A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Treatment cessation (3 months)</w:t>
            </w:r>
          </w:p>
        </w:tc>
        <w:tc>
          <w:tcPr>
            <w:tcW w:w="2035" w:type="dxa"/>
          </w:tcPr>
          <w:p w14:paraId="6C6F9988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17.2 (15.3-19.1)</w:t>
            </w:r>
          </w:p>
        </w:tc>
        <w:tc>
          <w:tcPr>
            <w:tcW w:w="1981" w:type="dxa"/>
          </w:tcPr>
          <w:p w14:paraId="1061D4BF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17.4 (15.4-19.4)</w:t>
            </w:r>
          </w:p>
        </w:tc>
        <w:tc>
          <w:tcPr>
            <w:tcW w:w="1558" w:type="dxa"/>
          </w:tcPr>
          <w:p w14:paraId="142B4AE0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0.26 (1.43)</w:t>
            </w:r>
          </w:p>
        </w:tc>
        <w:tc>
          <w:tcPr>
            <w:tcW w:w="1558" w:type="dxa"/>
          </w:tcPr>
          <w:p w14:paraId="5BE442A6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(-2.57 to 3.08); 0.86</w:t>
            </w:r>
          </w:p>
        </w:tc>
      </w:tr>
      <w:tr w:rsidR="00C84B67" w:rsidRPr="000D68FF" w14:paraId="6DA88DF6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7B577578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lastRenderedPageBreak/>
              <w:t>Follow-up (9 months)</w:t>
            </w:r>
          </w:p>
        </w:tc>
        <w:tc>
          <w:tcPr>
            <w:tcW w:w="2035" w:type="dxa"/>
          </w:tcPr>
          <w:p w14:paraId="65428915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16.1 (13.9-18.4)</w:t>
            </w:r>
          </w:p>
        </w:tc>
        <w:tc>
          <w:tcPr>
            <w:tcW w:w="1981" w:type="dxa"/>
          </w:tcPr>
          <w:p w14:paraId="4491DAA6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17.3 (14.8-19.8)</w:t>
            </w:r>
          </w:p>
        </w:tc>
        <w:tc>
          <w:tcPr>
            <w:tcW w:w="1558" w:type="dxa"/>
          </w:tcPr>
          <w:p w14:paraId="2A7DDAFD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1.14 (1.71)</w:t>
            </w:r>
          </w:p>
        </w:tc>
        <w:tc>
          <w:tcPr>
            <w:tcW w:w="1558" w:type="dxa"/>
          </w:tcPr>
          <w:p w14:paraId="3946D6BB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(-2.24 to 4.51); 0.51</w:t>
            </w:r>
          </w:p>
        </w:tc>
      </w:tr>
      <w:tr w:rsidR="00C84B67" w:rsidRPr="000D68FF" w14:paraId="392C1790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765B01E3" w14:textId="77777777" w:rsidR="00C84B67" w:rsidRPr="000D68FF" w:rsidRDefault="00C84B67" w:rsidP="00665F1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CSQ</w:t>
            </w:r>
          </w:p>
        </w:tc>
        <w:tc>
          <w:tcPr>
            <w:tcW w:w="2035" w:type="dxa"/>
          </w:tcPr>
          <w:p w14:paraId="1C64547B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1" w:type="dxa"/>
          </w:tcPr>
          <w:p w14:paraId="5009C5A1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21EF8E40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7E310224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78A34157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6B90CC25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Treatment cessation (3 months)</w:t>
            </w:r>
          </w:p>
        </w:tc>
        <w:tc>
          <w:tcPr>
            <w:tcW w:w="2035" w:type="dxa"/>
          </w:tcPr>
          <w:p w14:paraId="2CF4A9AB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26.8 (26.0-27.5)</w:t>
            </w:r>
          </w:p>
          <w:p w14:paraId="411DD346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n=126</w:t>
            </w:r>
          </w:p>
        </w:tc>
        <w:tc>
          <w:tcPr>
            <w:tcW w:w="1981" w:type="dxa"/>
          </w:tcPr>
          <w:p w14:paraId="303EE937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26.2 (25.4-27.0)</w:t>
            </w:r>
          </w:p>
          <w:p w14:paraId="7885B313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n=128</w:t>
            </w:r>
          </w:p>
        </w:tc>
        <w:tc>
          <w:tcPr>
            <w:tcW w:w="1558" w:type="dxa"/>
          </w:tcPr>
          <w:p w14:paraId="3C33E6C6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-0.58 (0.56)</w:t>
            </w:r>
          </w:p>
        </w:tc>
        <w:tc>
          <w:tcPr>
            <w:tcW w:w="1558" w:type="dxa"/>
          </w:tcPr>
          <w:p w14:paraId="2E2911F9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(-1.68 to 0.52); 0.30</w:t>
            </w:r>
          </w:p>
        </w:tc>
      </w:tr>
    </w:tbl>
    <w:p w14:paraId="2A0E962D" w14:textId="77777777" w:rsidR="00C84B67" w:rsidRPr="000D68FF" w:rsidRDefault="00C84B67" w:rsidP="00C84B67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0D68FF">
        <w:rPr>
          <w:rFonts w:ascii="Times New Roman" w:hAnsi="Times New Roman" w:cs="Times New Roman"/>
          <w:sz w:val="20"/>
          <w:szCs w:val="20"/>
          <w:lang w:val="en-US"/>
        </w:rPr>
        <w:t xml:space="preserve">SAPS: </w:t>
      </w:r>
      <w:r w:rsidRPr="000D68FF">
        <w:rPr>
          <w:rStyle w:val="apple-converted-space"/>
          <w:rFonts w:ascii="Times New Roman" w:eastAsia="Calibri" w:hAnsi="Times New Roman" w:cs="Times New Roman"/>
          <w:sz w:val="20"/>
          <w:szCs w:val="20"/>
          <w:lang w:val="en-US"/>
        </w:rPr>
        <w:t>Scale for the Assessment of Positive Symptoms</w:t>
      </w:r>
      <w:r w:rsidRPr="000D68FF">
        <w:rPr>
          <w:rFonts w:ascii="Times New Roman" w:hAnsi="Times New Roman" w:cs="Times New Roman"/>
          <w:sz w:val="20"/>
          <w:szCs w:val="20"/>
          <w:lang w:val="en-US"/>
        </w:rPr>
        <w:t xml:space="preserve">. BNSS: Brief Negative Symptoms Scale. CDSS: Calgary Depression Symptom Scale. COGDIS: Cognitive Disturbances scale. SSPA: Social Skills Performance Assessment. IBT: Intentionality Bias Task. SIDAS: Suicidal Ideation Attributes Scale. BCSS: Brief Core Schema Scale. DACOBS: Davos Assessment of Cognitive Biases Scale. SFS: Social Functioning Scale. GSE: General Self-Efficacy scale. EQ-5D-5L: </w:t>
      </w:r>
      <w:r w:rsidRPr="000D68FF">
        <w:rPr>
          <w:rFonts w:ascii="Times New Roman" w:hAnsi="Times New Roman" w:cs="Times New Roman"/>
          <w:sz w:val="20"/>
          <w:szCs w:val="20"/>
          <w:shd w:val="clear" w:color="auto" w:fill="FFFFFF"/>
          <w:lang w:val="en-US"/>
        </w:rPr>
        <w:t>5-Level EuroQol 5 Dimensions version</w:t>
      </w:r>
      <w:r w:rsidRPr="000D68FF">
        <w:rPr>
          <w:rFonts w:ascii="Times New Roman" w:hAnsi="Times New Roman" w:cs="Times New Roman"/>
          <w:sz w:val="20"/>
          <w:szCs w:val="20"/>
          <w:lang w:val="en-US"/>
        </w:rPr>
        <w:t xml:space="preserve">. EQ5-VAS: </w:t>
      </w:r>
      <w:r w:rsidRPr="000D68FF">
        <w:rPr>
          <w:rFonts w:ascii="Times New Roman" w:hAnsi="Times New Roman" w:cs="Times New Roman"/>
          <w:sz w:val="20"/>
          <w:szCs w:val="20"/>
          <w:shd w:val="clear" w:color="auto" w:fill="FFFFFF"/>
          <w:lang w:val="en-US"/>
        </w:rPr>
        <w:t>EuroQol Visual Analogue Scale</w:t>
      </w:r>
      <w:r w:rsidRPr="000D68FF">
        <w:rPr>
          <w:rFonts w:ascii="Times New Roman" w:hAnsi="Times New Roman" w:cs="Times New Roman"/>
          <w:sz w:val="20"/>
          <w:szCs w:val="20"/>
          <w:lang w:val="en-US"/>
        </w:rPr>
        <w:t>. WHO 5: World Health Organization-Five well-being index. R-GPTS: Revised Green Paranoid Thought Scale. CSQ: Client Satisfaction Questionnaire.</w:t>
      </w:r>
    </w:p>
    <w:p w14:paraId="0CA401A9" w14:textId="77777777" w:rsidR="00C84B67" w:rsidRPr="000D68FF" w:rsidRDefault="00C84B67" w:rsidP="00C84B67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0AE0648C" w14:textId="77777777" w:rsidR="00C84B67" w:rsidRPr="000D68FF" w:rsidRDefault="00C84B67" w:rsidP="00C84B67">
      <w:pPr>
        <w:pStyle w:val="Heading2"/>
        <w:numPr>
          <w:ilvl w:val="0"/>
          <w:numId w:val="0"/>
        </w:numPr>
        <w:ind w:left="566"/>
        <w:rPr>
          <w:rFonts w:ascii="Times New Roman" w:hAnsi="Times New Roman" w:cs="Times New Roman"/>
          <w:lang w:val="en-US"/>
        </w:rPr>
      </w:pPr>
      <w:r w:rsidRPr="000D68FF">
        <w:rPr>
          <w:rFonts w:ascii="Times New Roman" w:hAnsi="Times New Roman" w:cs="Times New Roman"/>
          <w:lang w:val="en-US"/>
        </w:rPr>
        <w:t>Days between baseline, treatment cessation (3 months) and follow-up (9 months)</w:t>
      </w:r>
    </w:p>
    <w:tbl>
      <w:tblPr>
        <w:tblStyle w:val="GridTable6Colorful-Accent1"/>
        <w:tblW w:w="0" w:type="auto"/>
        <w:tblLook w:val="04A0" w:firstRow="1" w:lastRow="0" w:firstColumn="1" w:lastColumn="0" w:noHBand="0" w:noVBand="1"/>
      </w:tblPr>
      <w:tblGrid>
        <w:gridCol w:w="2496"/>
        <w:gridCol w:w="1894"/>
        <w:gridCol w:w="1842"/>
        <w:gridCol w:w="1838"/>
        <w:gridCol w:w="1558"/>
      </w:tblGrid>
      <w:tr w:rsidR="00C84B67" w:rsidRPr="005F3C0A" w14:paraId="489952FB" w14:textId="77777777" w:rsidTr="00665F1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28" w:type="dxa"/>
            <w:gridSpan w:val="5"/>
          </w:tcPr>
          <w:p w14:paraId="5D7E1285" w14:textId="77777777" w:rsidR="00C84B67" w:rsidRPr="000D68FF" w:rsidRDefault="00C84B67" w:rsidP="00665F1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Days between baseline and treatment cessation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(3 months)</w:t>
            </w: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(expected to be 90 days)</w:t>
            </w:r>
          </w:p>
        </w:tc>
      </w:tr>
      <w:tr w:rsidR="00C84B67" w:rsidRPr="000D68FF" w14:paraId="2E38CFED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3D1138C8" w14:textId="77777777" w:rsidR="00C84B67" w:rsidRPr="000D68FF" w:rsidRDefault="00C84B67" w:rsidP="00665F1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894" w:type="dxa"/>
          </w:tcPr>
          <w:p w14:paraId="58BC2314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VR-CBT mean (CI95%)</w:t>
            </w:r>
          </w:p>
        </w:tc>
        <w:tc>
          <w:tcPr>
            <w:tcW w:w="1842" w:type="dxa"/>
          </w:tcPr>
          <w:p w14:paraId="449A889D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Standard CBT mean (CI95%)</w:t>
            </w:r>
          </w:p>
        </w:tc>
        <w:tc>
          <w:tcPr>
            <w:tcW w:w="1838" w:type="dxa"/>
          </w:tcPr>
          <w:p w14:paraId="7777BA69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Mean diff (SE)</w:t>
            </w:r>
          </w:p>
        </w:tc>
        <w:tc>
          <w:tcPr>
            <w:tcW w:w="1558" w:type="dxa"/>
          </w:tcPr>
          <w:p w14:paraId="47374402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95% CI; p value</w:t>
            </w:r>
          </w:p>
        </w:tc>
      </w:tr>
      <w:tr w:rsidR="00C84B67" w:rsidRPr="000D68FF" w14:paraId="34C89A79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548D90B6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From baseline to treatment cessation (3 months)</w:t>
            </w:r>
          </w:p>
        </w:tc>
        <w:tc>
          <w:tcPr>
            <w:tcW w:w="1894" w:type="dxa"/>
          </w:tcPr>
          <w:p w14:paraId="55F5793F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128 (123-134)</w:t>
            </w:r>
          </w:p>
        </w:tc>
        <w:tc>
          <w:tcPr>
            <w:tcW w:w="1842" w:type="dxa"/>
          </w:tcPr>
          <w:p w14:paraId="45394BA4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140 (130-149)</w:t>
            </w:r>
          </w:p>
        </w:tc>
        <w:tc>
          <w:tcPr>
            <w:tcW w:w="1838" w:type="dxa"/>
          </w:tcPr>
          <w:p w14:paraId="42179FAE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-11 (5.6)</w:t>
            </w:r>
          </w:p>
        </w:tc>
        <w:tc>
          <w:tcPr>
            <w:tcW w:w="1558" w:type="dxa"/>
          </w:tcPr>
          <w:p w14:paraId="1F55AC88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-22 to -0.05; 0.049</w:t>
            </w:r>
          </w:p>
        </w:tc>
      </w:tr>
      <w:tr w:rsidR="00C84B67" w:rsidRPr="00173BB6" w14:paraId="37B6B9F8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28" w:type="dxa"/>
            <w:gridSpan w:val="5"/>
          </w:tcPr>
          <w:p w14:paraId="0EDAEF39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</w:p>
          <w:p w14:paraId="00181A54" w14:textId="77777777" w:rsidR="00C84B67" w:rsidRPr="000D68FF" w:rsidRDefault="00C84B67" w:rsidP="00665F1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Days between baseline and follow-up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(9 months) </w:t>
            </w: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(expected to be 270 days) </w:t>
            </w:r>
          </w:p>
        </w:tc>
      </w:tr>
      <w:tr w:rsidR="00C84B67" w:rsidRPr="000D68FF" w14:paraId="63889D09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7809346F" w14:textId="77777777" w:rsidR="00C84B67" w:rsidRPr="000D68FF" w:rsidRDefault="00C84B67" w:rsidP="00665F1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894" w:type="dxa"/>
          </w:tcPr>
          <w:p w14:paraId="142D8FE5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VR-CBT mean (CI95%)</w:t>
            </w:r>
          </w:p>
        </w:tc>
        <w:tc>
          <w:tcPr>
            <w:tcW w:w="1842" w:type="dxa"/>
          </w:tcPr>
          <w:p w14:paraId="32F60A8D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Standard CBT mean (CI95%)</w:t>
            </w:r>
          </w:p>
        </w:tc>
        <w:tc>
          <w:tcPr>
            <w:tcW w:w="1838" w:type="dxa"/>
          </w:tcPr>
          <w:p w14:paraId="23FF8C34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Mean diff (SE)</w:t>
            </w:r>
          </w:p>
        </w:tc>
        <w:tc>
          <w:tcPr>
            <w:tcW w:w="1558" w:type="dxa"/>
          </w:tcPr>
          <w:p w14:paraId="1DB27D96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95% CI; p value</w:t>
            </w:r>
          </w:p>
        </w:tc>
      </w:tr>
      <w:tr w:rsidR="00C84B67" w:rsidRPr="000D68FF" w14:paraId="5F3C12F9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0AFD4F4B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From baseline to follow-up (9 months)</w:t>
            </w:r>
          </w:p>
        </w:tc>
        <w:tc>
          <w:tcPr>
            <w:tcW w:w="1894" w:type="dxa"/>
          </w:tcPr>
          <w:p w14:paraId="32D7AEBD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309 (302-316)</w:t>
            </w:r>
          </w:p>
        </w:tc>
        <w:tc>
          <w:tcPr>
            <w:tcW w:w="1842" w:type="dxa"/>
          </w:tcPr>
          <w:p w14:paraId="17574EDF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322 (310-334)</w:t>
            </w:r>
          </w:p>
        </w:tc>
        <w:tc>
          <w:tcPr>
            <w:tcW w:w="1838" w:type="dxa"/>
          </w:tcPr>
          <w:p w14:paraId="0B797C0F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-13 (6.9)</w:t>
            </w:r>
          </w:p>
        </w:tc>
        <w:tc>
          <w:tcPr>
            <w:tcW w:w="1558" w:type="dxa"/>
          </w:tcPr>
          <w:p w14:paraId="4E990405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-27 to 0.17; 0.053</w:t>
            </w:r>
          </w:p>
        </w:tc>
      </w:tr>
    </w:tbl>
    <w:tbl>
      <w:tblPr>
        <w:tblStyle w:val="GridTable6Colorful-Accent1"/>
        <w:tblpPr w:leftFromText="141" w:rightFromText="141" w:vertAnchor="text" w:horzAnchor="margin" w:tblpY="19"/>
        <w:tblW w:w="0" w:type="auto"/>
        <w:tblLook w:val="04A0" w:firstRow="1" w:lastRow="0" w:firstColumn="1" w:lastColumn="0" w:noHBand="0" w:noVBand="1"/>
      </w:tblPr>
      <w:tblGrid>
        <w:gridCol w:w="2496"/>
        <w:gridCol w:w="1894"/>
        <w:gridCol w:w="1842"/>
        <w:gridCol w:w="1838"/>
        <w:gridCol w:w="1558"/>
      </w:tblGrid>
      <w:tr w:rsidR="00C84B67" w:rsidRPr="00173BB6" w14:paraId="7FEFAC03" w14:textId="77777777" w:rsidTr="00665F1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28" w:type="dxa"/>
            <w:gridSpan w:val="5"/>
          </w:tcPr>
          <w:p w14:paraId="1EB0CE86" w14:textId="77777777" w:rsidR="00C84B67" w:rsidRPr="000D68FF" w:rsidRDefault="00C84B67" w:rsidP="00665F1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Days between baseline and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treatment cessation (3 months)</w:t>
            </w: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without 1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extreme </w:t>
            </w: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outlier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in standard CBT group</w:t>
            </w:r>
          </w:p>
        </w:tc>
      </w:tr>
      <w:tr w:rsidR="00C84B67" w:rsidRPr="000D68FF" w14:paraId="5E21AE18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28A6FE48" w14:textId="77777777" w:rsidR="00C84B67" w:rsidRPr="000D68FF" w:rsidRDefault="00C84B67" w:rsidP="00665F1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894" w:type="dxa"/>
          </w:tcPr>
          <w:p w14:paraId="2975C821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VR-CBT mean (CI95%)</w:t>
            </w:r>
          </w:p>
        </w:tc>
        <w:tc>
          <w:tcPr>
            <w:tcW w:w="1842" w:type="dxa"/>
          </w:tcPr>
          <w:p w14:paraId="268B67C4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Standard CBT mean (CI95%)</w:t>
            </w:r>
          </w:p>
        </w:tc>
        <w:tc>
          <w:tcPr>
            <w:tcW w:w="1838" w:type="dxa"/>
          </w:tcPr>
          <w:p w14:paraId="4D189282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Mean diff (SE)</w:t>
            </w:r>
          </w:p>
        </w:tc>
        <w:tc>
          <w:tcPr>
            <w:tcW w:w="1558" w:type="dxa"/>
          </w:tcPr>
          <w:p w14:paraId="42B969EE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95% CI; p value</w:t>
            </w:r>
          </w:p>
        </w:tc>
      </w:tr>
      <w:tr w:rsidR="00C84B67" w:rsidRPr="000D68FF" w14:paraId="4CDF0A85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4D20B85E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From baseline to treatment cessation (3 months)</w:t>
            </w:r>
          </w:p>
        </w:tc>
        <w:tc>
          <w:tcPr>
            <w:tcW w:w="1894" w:type="dxa"/>
          </w:tcPr>
          <w:p w14:paraId="7B4DCC54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128 (123-134)</w:t>
            </w:r>
          </w:p>
        </w:tc>
        <w:tc>
          <w:tcPr>
            <w:tcW w:w="1842" w:type="dxa"/>
          </w:tcPr>
          <w:p w14:paraId="72A4BF14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136 (129-144)</w:t>
            </w:r>
          </w:p>
        </w:tc>
        <w:tc>
          <w:tcPr>
            <w:tcW w:w="1838" w:type="dxa"/>
          </w:tcPr>
          <w:p w14:paraId="3543592E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-8 (4.7)</w:t>
            </w:r>
          </w:p>
        </w:tc>
        <w:tc>
          <w:tcPr>
            <w:tcW w:w="1558" w:type="dxa"/>
          </w:tcPr>
          <w:p w14:paraId="73C0F760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-17 to 1; 0.10</w:t>
            </w:r>
          </w:p>
        </w:tc>
      </w:tr>
    </w:tbl>
    <w:p w14:paraId="23A378D8" w14:textId="77777777" w:rsidR="00C84B67" w:rsidRPr="000D68FF" w:rsidRDefault="00C84B67" w:rsidP="00C84B67">
      <w:pPr>
        <w:rPr>
          <w:rFonts w:ascii="Times New Roman" w:hAnsi="Times New Roman" w:cs="Times New Roman"/>
          <w:lang w:val="en-US"/>
        </w:rPr>
      </w:pPr>
    </w:p>
    <w:p w14:paraId="515FB8DB" w14:textId="77777777" w:rsidR="00C84B67" w:rsidRPr="000D68FF" w:rsidRDefault="00C84B67" w:rsidP="00C84B67">
      <w:pPr>
        <w:pStyle w:val="Heading2"/>
        <w:numPr>
          <w:ilvl w:val="0"/>
          <w:numId w:val="0"/>
        </w:numPr>
        <w:ind w:left="566"/>
        <w:rPr>
          <w:rFonts w:ascii="Times New Roman" w:hAnsi="Times New Roman" w:cs="Times New Roman"/>
          <w:lang w:val="en-US"/>
        </w:rPr>
      </w:pPr>
      <w:r w:rsidRPr="000D68FF">
        <w:rPr>
          <w:rFonts w:ascii="Times New Roman" w:hAnsi="Times New Roman" w:cs="Times New Roman"/>
          <w:lang w:val="en-US"/>
        </w:rPr>
        <w:t>Admissions on psychiatric hospitals</w:t>
      </w:r>
    </w:p>
    <w:tbl>
      <w:tblPr>
        <w:tblStyle w:val="GridTable6Colorful-Accent1"/>
        <w:tblW w:w="0" w:type="auto"/>
        <w:tblLook w:val="04A0" w:firstRow="1" w:lastRow="0" w:firstColumn="1" w:lastColumn="0" w:noHBand="0" w:noVBand="1"/>
      </w:tblPr>
      <w:tblGrid>
        <w:gridCol w:w="2431"/>
        <w:gridCol w:w="2399"/>
        <w:gridCol w:w="2400"/>
        <w:gridCol w:w="2398"/>
      </w:tblGrid>
      <w:tr w:rsidR="00C84B67" w:rsidRPr="00173BB6" w14:paraId="18B2F620" w14:textId="77777777" w:rsidTr="00665F1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28" w:type="dxa"/>
            <w:gridSpan w:val="4"/>
          </w:tcPr>
          <w:p w14:paraId="604380D9" w14:textId="77777777" w:rsidR="00C84B67" w:rsidRPr="000D68FF" w:rsidRDefault="00C84B67" w:rsidP="00665F1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Proportion of participants admitted on psychiatric hospitals</w:t>
            </w:r>
          </w:p>
        </w:tc>
      </w:tr>
      <w:tr w:rsidR="00C84B67" w:rsidRPr="000D68FF" w14:paraId="206A37F5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1" w:type="dxa"/>
          </w:tcPr>
          <w:p w14:paraId="2498F5AE" w14:textId="77777777" w:rsidR="00C84B67" w:rsidRPr="000D68FF" w:rsidRDefault="00C84B67" w:rsidP="00665F1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399" w:type="dxa"/>
          </w:tcPr>
          <w:p w14:paraId="1B15D5B3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VR-CBT, n (%) </w:t>
            </w:r>
          </w:p>
        </w:tc>
        <w:tc>
          <w:tcPr>
            <w:tcW w:w="2400" w:type="dxa"/>
          </w:tcPr>
          <w:p w14:paraId="2FB4046D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Standard CBT, n (%)</w:t>
            </w:r>
          </w:p>
        </w:tc>
        <w:tc>
          <w:tcPr>
            <w:tcW w:w="2398" w:type="dxa"/>
          </w:tcPr>
          <w:p w14:paraId="281A9F9E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Total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 n (%); p value</w:t>
            </w:r>
          </w:p>
        </w:tc>
      </w:tr>
      <w:tr w:rsidR="00C84B67" w:rsidRPr="000D68FF" w14:paraId="5F45B64E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1" w:type="dxa"/>
          </w:tcPr>
          <w:p w14:paraId="25F17764" w14:textId="77777777" w:rsidR="00C84B67" w:rsidRPr="000D68FF" w:rsidRDefault="00C84B67" w:rsidP="00665F1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From baseline to treatment cessation (3 months)</w:t>
            </w:r>
          </w:p>
        </w:tc>
        <w:tc>
          <w:tcPr>
            <w:tcW w:w="2399" w:type="dxa"/>
          </w:tcPr>
          <w:p w14:paraId="3B7DF272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17 (13.6%)</w:t>
            </w:r>
          </w:p>
        </w:tc>
        <w:tc>
          <w:tcPr>
            <w:tcW w:w="2400" w:type="dxa"/>
          </w:tcPr>
          <w:p w14:paraId="69CAE550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 (11.7%)</w:t>
            </w:r>
          </w:p>
        </w:tc>
        <w:tc>
          <w:tcPr>
            <w:tcW w:w="2398" w:type="dxa"/>
          </w:tcPr>
          <w:p w14:paraId="27CC2F77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32 (12.7%); 0.65</w:t>
            </w:r>
          </w:p>
        </w:tc>
      </w:tr>
      <w:tr w:rsidR="00C84B67" w:rsidRPr="000D68FF" w14:paraId="5EFACF81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1" w:type="dxa"/>
          </w:tcPr>
          <w:p w14:paraId="106FB285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From treatment cessation (3 months) to follow-up (9 months)</w:t>
            </w:r>
          </w:p>
        </w:tc>
        <w:tc>
          <w:tcPr>
            <w:tcW w:w="2399" w:type="dxa"/>
          </w:tcPr>
          <w:p w14:paraId="2820462D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27 (21.6 %)</w:t>
            </w:r>
          </w:p>
        </w:tc>
        <w:tc>
          <w:tcPr>
            <w:tcW w:w="2400" w:type="dxa"/>
          </w:tcPr>
          <w:p w14:paraId="7930E61D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 (15.6 %)</w:t>
            </w:r>
          </w:p>
        </w:tc>
        <w:tc>
          <w:tcPr>
            <w:tcW w:w="2398" w:type="dxa"/>
          </w:tcPr>
          <w:p w14:paraId="63F8E875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47 (18.6 %); 0.22</w:t>
            </w:r>
          </w:p>
        </w:tc>
      </w:tr>
    </w:tbl>
    <w:tbl>
      <w:tblPr>
        <w:tblStyle w:val="GridTable6Colorful-Accent1"/>
        <w:tblpPr w:leftFromText="141" w:rightFromText="141" w:vertAnchor="text" w:horzAnchor="margin" w:tblpY="68"/>
        <w:tblW w:w="0" w:type="auto"/>
        <w:tblLook w:val="04A0" w:firstRow="1" w:lastRow="0" w:firstColumn="1" w:lastColumn="0" w:noHBand="0" w:noVBand="1"/>
      </w:tblPr>
      <w:tblGrid>
        <w:gridCol w:w="2496"/>
        <w:gridCol w:w="2035"/>
        <w:gridCol w:w="1981"/>
        <w:gridCol w:w="1558"/>
        <w:gridCol w:w="1558"/>
      </w:tblGrid>
      <w:tr w:rsidR="00C84B67" w:rsidRPr="000D68FF" w14:paraId="707C6DBC" w14:textId="77777777" w:rsidTr="00665F1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28" w:type="dxa"/>
            <w:gridSpan w:val="5"/>
          </w:tcPr>
          <w:p w14:paraId="56F7837E" w14:textId="77777777" w:rsidR="00C84B67" w:rsidRPr="000D68FF" w:rsidRDefault="00C84B67" w:rsidP="00665F1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Admission days</w:t>
            </w:r>
          </w:p>
        </w:tc>
      </w:tr>
      <w:tr w:rsidR="00C84B67" w:rsidRPr="000D68FF" w14:paraId="0FECC4D2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708AB3E3" w14:textId="77777777" w:rsidR="00C84B67" w:rsidRPr="000D68FF" w:rsidRDefault="00C84B67" w:rsidP="00665F1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Admission (days)</w:t>
            </w:r>
          </w:p>
        </w:tc>
        <w:tc>
          <w:tcPr>
            <w:tcW w:w="2035" w:type="dxa"/>
          </w:tcPr>
          <w:p w14:paraId="14240F91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VR-CBT,</w:t>
            </w:r>
            <w:r w:rsidRPr="000D68FF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</w:t>
            </w: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mean (95%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CI</w:t>
            </w: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) </w:t>
            </w:r>
          </w:p>
        </w:tc>
        <w:tc>
          <w:tcPr>
            <w:tcW w:w="1981" w:type="dxa"/>
          </w:tcPr>
          <w:p w14:paraId="4675EA25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Standard CBT, mean (95%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CI</w:t>
            </w: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) </w:t>
            </w:r>
          </w:p>
        </w:tc>
        <w:tc>
          <w:tcPr>
            <w:tcW w:w="1558" w:type="dxa"/>
          </w:tcPr>
          <w:p w14:paraId="34A45752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Adjusted mean difference (SE)</w:t>
            </w:r>
          </w:p>
        </w:tc>
        <w:tc>
          <w:tcPr>
            <w:tcW w:w="1558" w:type="dxa"/>
          </w:tcPr>
          <w:p w14:paraId="1FB6C260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95 % CI; </w:t>
            </w:r>
          </w:p>
          <w:p w14:paraId="414BB1B2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 value</w:t>
            </w:r>
          </w:p>
        </w:tc>
      </w:tr>
      <w:tr w:rsidR="00C84B67" w:rsidRPr="000D68FF" w14:paraId="17EE6193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094766E3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From baseline to treatment cessation (3 months)</w:t>
            </w:r>
          </w:p>
        </w:tc>
        <w:tc>
          <w:tcPr>
            <w:tcW w:w="2035" w:type="dxa"/>
          </w:tcPr>
          <w:p w14:paraId="1342C798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3.0 (1.20 to 4.79)</w:t>
            </w:r>
          </w:p>
        </w:tc>
        <w:tc>
          <w:tcPr>
            <w:tcW w:w="1981" w:type="dxa"/>
          </w:tcPr>
          <w:p w14:paraId="03EFBD62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4.8 (1.43 to 8.17)</w:t>
            </w:r>
          </w:p>
        </w:tc>
        <w:tc>
          <w:tcPr>
            <w:tcW w:w="1558" w:type="dxa"/>
          </w:tcPr>
          <w:p w14:paraId="1F40FDB2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-1.8 (1.94)</w:t>
            </w:r>
          </w:p>
        </w:tc>
        <w:tc>
          <w:tcPr>
            <w:tcW w:w="1558" w:type="dxa"/>
          </w:tcPr>
          <w:p w14:paraId="1B5145C5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(-5.64 to 2.01); 0.35</w:t>
            </w:r>
          </w:p>
        </w:tc>
      </w:tr>
      <w:tr w:rsidR="00C84B67" w:rsidRPr="000D68FF" w14:paraId="516BE3D2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2F21F110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 xml:space="preserve">From treatment cessation (3 months) to follow-up (9 months) </w:t>
            </w: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2035" w:type="dxa"/>
          </w:tcPr>
          <w:p w14:paraId="4429B02E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6.9 (3.35 to 10.46)</w:t>
            </w:r>
          </w:p>
        </w:tc>
        <w:tc>
          <w:tcPr>
            <w:tcW w:w="1981" w:type="dxa"/>
          </w:tcPr>
          <w:p w14:paraId="0E58A57D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9.2 (3.78 to 14.63)</w:t>
            </w:r>
          </w:p>
        </w:tc>
        <w:tc>
          <w:tcPr>
            <w:tcW w:w="1558" w:type="dxa"/>
          </w:tcPr>
          <w:p w14:paraId="79D1588A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-2.3 (3.29)</w:t>
            </w:r>
          </w:p>
        </w:tc>
        <w:tc>
          <w:tcPr>
            <w:tcW w:w="1558" w:type="dxa"/>
          </w:tcPr>
          <w:p w14:paraId="6F3EA5CF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(-8.79 to 4.19); 0.49</w:t>
            </w:r>
          </w:p>
        </w:tc>
      </w:tr>
    </w:tbl>
    <w:p w14:paraId="330FBF3D" w14:textId="77777777" w:rsidR="00C84B67" w:rsidRPr="000D68FF" w:rsidRDefault="00C84B67" w:rsidP="00C84B67">
      <w:pPr>
        <w:rPr>
          <w:rFonts w:ascii="Times New Roman" w:hAnsi="Times New Roman" w:cs="Times New Roman"/>
          <w:lang w:val="en-US"/>
        </w:rPr>
      </w:pPr>
    </w:p>
    <w:p w14:paraId="7E2859BA" w14:textId="77777777" w:rsidR="00C84B67" w:rsidRPr="000D68FF" w:rsidRDefault="00C84B67" w:rsidP="00C84B67">
      <w:pPr>
        <w:pStyle w:val="Heading2"/>
        <w:numPr>
          <w:ilvl w:val="0"/>
          <w:numId w:val="0"/>
        </w:numPr>
        <w:ind w:left="566"/>
        <w:rPr>
          <w:rFonts w:ascii="Times New Roman" w:hAnsi="Times New Roman" w:cs="Times New Roman"/>
          <w:lang w:val="en-US"/>
        </w:rPr>
      </w:pPr>
      <w:r w:rsidRPr="000D68FF">
        <w:rPr>
          <w:rFonts w:ascii="Times New Roman" w:hAnsi="Times New Roman" w:cs="Times New Roman"/>
          <w:lang w:val="en-US"/>
        </w:rPr>
        <w:lastRenderedPageBreak/>
        <w:t>Statistically significant difference in suicide attempts</w:t>
      </w:r>
    </w:p>
    <w:tbl>
      <w:tblPr>
        <w:tblStyle w:val="GridTable6Colorful-Accent1"/>
        <w:tblW w:w="0" w:type="auto"/>
        <w:tblLook w:val="04A0" w:firstRow="1" w:lastRow="0" w:firstColumn="1" w:lastColumn="0" w:noHBand="0" w:noVBand="1"/>
      </w:tblPr>
      <w:tblGrid>
        <w:gridCol w:w="2431"/>
        <w:gridCol w:w="2399"/>
        <w:gridCol w:w="2400"/>
        <w:gridCol w:w="2398"/>
      </w:tblGrid>
      <w:tr w:rsidR="00C84B67" w:rsidRPr="000D68FF" w14:paraId="4977968E" w14:textId="77777777" w:rsidTr="00665F1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28" w:type="dxa"/>
            <w:gridSpan w:val="4"/>
          </w:tcPr>
          <w:p w14:paraId="6D073B37" w14:textId="77777777" w:rsidR="00C84B67" w:rsidRPr="000D68FF" w:rsidRDefault="00C84B67" w:rsidP="00665F1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Suicide attempts</w:t>
            </w:r>
          </w:p>
        </w:tc>
      </w:tr>
      <w:tr w:rsidR="00C84B67" w:rsidRPr="000D68FF" w14:paraId="0745B725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1" w:type="dxa"/>
          </w:tcPr>
          <w:p w14:paraId="0BD79CE2" w14:textId="77777777" w:rsidR="00C84B67" w:rsidRPr="000D68FF" w:rsidRDefault="00C84B67" w:rsidP="00665F1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399" w:type="dxa"/>
          </w:tcPr>
          <w:p w14:paraId="69AA2EAA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VR-CBT, n (%)</w:t>
            </w:r>
          </w:p>
        </w:tc>
        <w:tc>
          <w:tcPr>
            <w:tcW w:w="2400" w:type="dxa"/>
          </w:tcPr>
          <w:p w14:paraId="40CD222C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Standard CBT, n (%)</w:t>
            </w:r>
          </w:p>
        </w:tc>
        <w:tc>
          <w:tcPr>
            <w:tcW w:w="2398" w:type="dxa"/>
          </w:tcPr>
          <w:p w14:paraId="18A4D9D6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Total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 n (%); p value</w:t>
            </w:r>
          </w:p>
        </w:tc>
      </w:tr>
      <w:tr w:rsidR="00C84B67" w:rsidRPr="000D68FF" w14:paraId="6A4DBCBB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1" w:type="dxa"/>
          </w:tcPr>
          <w:p w14:paraId="188FB619" w14:textId="77777777" w:rsidR="00C84B67" w:rsidRPr="000D68FF" w:rsidRDefault="00C84B67" w:rsidP="00665F1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From treatment cessation (3 months) to follow-up (9 months)</w:t>
            </w:r>
          </w:p>
        </w:tc>
        <w:tc>
          <w:tcPr>
            <w:tcW w:w="2399" w:type="dxa"/>
          </w:tcPr>
          <w:p w14:paraId="5C49A4A3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0 (0%)</w:t>
            </w:r>
          </w:p>
        </w:tc>
        <w:tc>
          <w:tcPr>
            <w:tcW w:w="2400" w:type="dxa"/>
          </w:tcPr>
          <w:p w14:paraId="103DECF7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5 (3.9%)</w:t>
            </w:r>
          </w:p>
        </w:tc>
        <w:tc>
          <w:tcPr>
            <w:tcW w:w="2398" w:type="dxa"/>
          </w:tcPr>
          <w:p w14:paraId="32B87ADA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5 (2.0%)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; </w:t>
            </w:r>
            <w:r w:rsidRPr="000D68FF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0.026</w:t>
            </w:r>
          </w:p>
        </w:tc>
      </w:tr>
    </w:tbl>
    <w:p w14:paraId="434E5356" w14:textId="77777777" w:rsidR="00C84B67" w:rsidRPr="000D68FF" w:rsidRDefault="00C84B67" w:rsidP="00C84B67">
      <w:pPr>
        <w:rPr>
          <w:rFonts w:ascii="Times New Roman" w:hAnsi="Times New Roman" w:cs="Times New Roman"/>
          <w:lang w:val="en-US"/>
        </w:rPr>
      </w:pPr>
    </w:p>
    <w:p w14:paraId="2EDFD852" w14:textId="77777777" w:rsidR="00C84B67" w:rsidRPr="000D68FF" w:rsidRDefault="00C84B67" w:rsidP="00C84B67">
      <w:pPr>
        <w:pStyle w:val="Heading2"/>
        <w:numPr>
          <w:ilvl w:val="0"/>
          <w:numId w:val="0"/>
        </w:numPr>
        <w:ind w:left="566"/>
        <w:rPr>
          <w:rFonts w:ascii="Times New Roman" w:hAnsi="Times New Roman" w:cs="Times New Roman"/>
          <w:lang w:val="en-US"/>
        </w:rPr>
      </w:pPr>
      <w:r w:rsidRPr="000D68FF">
        <w:rPr>
          <w:rFonts w:ascii="Times New Roman" w:hAnsi="Times New Roman" w:cs="Times New Roman"/>
          <w:lang w:val="en-US"/>
        </w:rPr>
        <w:t>Self-harm on weekly basis during the study period</w:t>
      </w:r>
    </w:p>
    <w:tbl>
      <w:tblPr>
        <w:tblStyle w:val="GridTable6Colorful-Accent1"/>
        <w:tblW w:w="0" w:type="auto"/>
        <w:tblLook w:val="04A0" w:firstRow="1" w:lastRow="0" w:firstColumn="1" w:lastColumn="0" w:noHBand="0" w:noVBand="1"/>
      </w:tblPr>
      <w:tblGrid>
        <w:gridCol w:w="2496"/>
        <w:gridCol w:w="1894"/>
        <w:gridCol w:w="1842"/>
        <w:gridCol w:w="1838"/>
        <w:gridCol w:w="1558"/>
      </w:tblGrid>
      <w:tr w:rsidR="00C84B67" w:rsidRPr="00173BB6" w14:paraId="627E3187" w14:textId="77777777" w:rsidTr="00665F1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28" w:type="dxa"/>
            <w:gridSpan w:val="5"/>
          </w:tcPr>
          <w:p w14:paraId="5C7A7F9A" w14:textId="77777777" w:rsidR="00C84B67" w:rsidRPr="000D68FF" w:rsidRDefault="00C84B67" w:rsidP="00665F1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Self-harm during the last week</w:t>
            </w:r>
          </w:p>
        </w:tc>
      </w:tr>
      <w:tr w:rsidR="00C84B67" w:rsidRPr="005F3C0A" w14:paraId="24E56944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1E3EE82E" w14:textId="77777777" w:rsidR="00C84B67" w:rsidRPr="000D68FF" w:rsidRDefault="00C84B67" w:rsidP="00665F1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894" w:type="dxa"/>
          </w:tcPr>
          <w:p w14:paraId="6E5DE1E8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VR-CBT, n (%)</w:t>
            </w:r>
          </w:p>
        </w:tc>
        <w:tc>
          <w:tcPr>
            <w:tcW w:w="1842" w:type="dxa"/>
          </w:tcPr>
          <w:p w14:paraId="22B08023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Standard CBT, n (%) </w:t>
            </w:r>
          </w:p>
        </w:tc>
        <w:tc>
          <w:tcPr>
            <w:tcW w:w="1838" w:type="dxa"/>
          </w:tcPr>
          <w:p w14:paraId="6830861F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Odds ratio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, </w:t>
            </w: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95% CI; p value </w:t>
            </w:r>
          </w:p>
        </w:tc>
        <w:tc>
          <w:tcPr>
            <w:tcW w:w="1558" w:type="dxa"/>
          </w:tcPr>
          <w:p w14:paraId="28963113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 (%)</w:t>
            </w:r>
          </w:p>
        </w:tc>
      </w:tr>
      <w:tr w:rsidR="00C84B67" w:rsidRPr="000D68FF" w14:paraId="476BB39D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1004147F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Baseline</w:t>
            </w:r>
          </w:p>
        </w:tc>
        <w:tc>
          <w:tcPr>
            <w:tcW w:w="1894" w:type="dxa"/>
          </w:tcPr>
          <w:p w14:paraId="079307DC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 (11.1%)</w:t>
            </w:r>
          </w:p>
        </w:tc>
        <w:tc>
          <w:tcPr>
            <w:tcW w:w="1842" w:type="dxa"/>
          </w:tcPr>
          <w:p w14:paraId="2EA12D7C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 (9.4%)</w:t>
            </w:r>
          </w:p>
        </w:tc>
        <w:tc>
          <w:tcPr>
            <w:tcW w:w="1838" w:type="dxa"/>
          </w:tcPr>
          <w:p w14:paraId="785AA81D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48F057F8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 (11.1%)</w:t>
            </w:r>
          </w:p>
        </w:tc>
      </w:tr>
      <w:tr w:rsidR="00C84B67" w:rsidRPr="000D68FF" w14:paraId="50BB245D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09D664CE" w14:textId="77777777" w:rsidR="00C84B67" w:rsidRPr="000D68FF" w:rsidRDefault="00C84B67" w:rsidP="00665F1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From baseline to treatment cessation (3 months)</w:t>
            </w:r>
          </w:p>
        </w:tc>
        <w:tc>
          <w:tcPr>
            <w:tcW w:w="1894" w:type="dxa"/>
          </w:tcPr>
          <w:p w14:paraId="00E5F35A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(5.9 %)</w:t>
            </w:r>
          </w:p>
        </w:tc>
        <w:tc>
          <w:tcPr>
            <w:tcW w:w="1842" w:type="dxa"/>
          </w:tcPr>
          <w:p w14:paraId="10B5863C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(7.9 %)</w:t>
            </w:r>
          </w:p>
        </w:tc>
        <w:tc>
          <w:tcPr>
            <w:tcW w:w="1838" w:type="dxa"/>
          </w:tcPr>
          <w:p w14:paraId="1EEB6AAA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1.55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, </w:t>
            </w: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0.39-6.26; 0.54</w:t>
            </w:r>
          </w:p>
        </w:tc>
        <w:tc>
          <w:tcPr>
            <w:tcW w:w="1558" w:type="dxa"/>
          </w:tcPr>
          <w:p w14:paraId="4867C9F2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6F0C8204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366EE50B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From treatment cessation (3 months) to follow-up (9 months)</w:t>
            </w:r>
          </w:p>
        </w:tc>
        <w:tc>
          <w:tcPr>
            <w:tcW w:w="1894" w:type="dxa"/>
          </w:tcPr>
          <w:p w14:paraId="5755A7FE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(5.1 %)</w:t>
            </w:r>
          </w:p>
        </w:tc>
        <w:tc>
          <w:tcPr>
            <w:tcW w:w="1842" w:type="dxa"/>
          </w:tcPr>
          <w:p w14:paraId="0C1AA2AE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(10.2 %)</w:t>
            </w:r>
          </w:p>
        </w:tc>
        <w:tc>
          <w:tcPr>
            <w:tcW w:w="1838" w:type="dxa"/>
          </w:tcPr>
          <w:p w14:paraId="74DF93CC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3.70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, </w:t>
            </w: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0.51-26.6; 0.20</w:t>
            </w:r>
          </w:p>
        </w:tc>
        <w:tc>
          <w:tcPr>
            <w:tcW w:w="1558" w:type="dxa"/>
          </w:tcPr>
          <w:p w14:paraId="4035E7DB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</w:tbl>
    <w:p w14:paraId="4DE4BBE7" w14:textId="77777777" w:rsidR="00C84B67" w:rsidRPr="000D68FF" w:rsidRDefault="00C84B67" w:rsidP="00C84B67">
      <w:pPr>
        <w:rPr>
          <w:rFonts w:ascii="Times New Roman" w:hAnsi="Times New Roman" w:cs="Times New Roman"/>
          <w:lang w:val="en-US"/>
        </w:rPr>
      </w:pPr>
    </w:p>
    <w:p w14:paraId="5B096ED9" w14:textId="77777777" w:rsidR="00C84B67" w:rsidRPr="000D68FF" w:rsidRDefault="00C84B67" w:rsidP="00C84B67">
      <w:pPr>
        <w:pStyle w:val="Heading2"/>
        <w:numPr>
          <w:ilvl w:val="0"/>
          <w:numId w:val="0"/>
        </w:numPr>
        <w:ind w:left="566"/>
        <w:rPr>
          <w:rFonts w:ascii="Times New Roman" w:hAnsi="Times New Roman" w:cs="Times New Roman"/>
          <w:lang w:val="en-US"/>
        </w:rPr>
      </w:pPr>
      <w:r w:rsidRPr="000D68FF">
        <w:rPr>
          <w:rFonts w:ascii="Times New Roman" w:hAnsi="Times New Roman" w:cs="Times New Roman"/>
          <w:lang w:val="en-US"/>
        </w:rPr>
        <w:t>Olanzapine equivalents at baseline, treatment cessation (3 months) and follow-up (9 months)</w:t>
      </w:r>
    </w:p>
    <w:tbl>
      <w:tblPr>
        <w:tblStyle w:val="GridTable6Colorful-Accent1"/>
        <w:tblW w:w="0" w:type="auto"/>
        <w:tblLook w:val="04A0" w:firstRow="1" w:lastRow="0" w:firstColumn="1" w:lastColumn="0" w:noHBand="0" w:noVBand="1"/>
      </w:tblPr>
      <w:tblGrid>
        <w:gridCol w:w="2496"/>
        <w:gridCol w:w="2035"/>
        <w:gridCol w:w="1981"/>
        <w:gridCol w:w="1558"/>
        <w:gridCol w:w="1558"/>
      </w:tblGrid>
      <w:tr w:rsidR="00C84B67" w:rsidRPr="00173BB6" w14:paraId="3B862163" w14:textId="77777777" w:rsidTr="00665F1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28" w:type="dxa"/>
            <w:gridSpan w:val="5"/>
          </w:tcPr>
          <w:p w14:paraId="13EE642F" w14:textId="77777777" w:rsidR="00C84B67" w:rsidRPr="000D68FF" w:rsidRDefault="00C84B67" w:rsidP="00665F1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Olanzapine equivalents – without adjustment for baseline imbalances</w:t>
            </w:r>
          </w:p>
        </w:tc>
      </w:tr>
      <w:tr w:rsidR="00C84B67" w:rsidRPr="000D68FF" w14:paraId="0BE19528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23BBA34A" w14:textId="77777777" w:rsidR="00C84B67" w:rsidRPr="000D68FF" w:rsidRDefault="00C84B67" w:rsidP="00665F1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Olanzapine equivalent (mg/day)</w:t>
            </w:r>
          </w:p>
        </w:tc>
        <w:tc>
          <w:tcPr>
            <w:tcW w:w="2035" w:type="dxa"/>
          </w:tcPr>
          <w:p w14:paraId="70741CEE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VR-CBT, mean (95%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CI</w:t>
            </w: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) </w:t>
            </w:r>
          </w:p>
        </w:tc>
        <w:tc>
          <w:tcPr>
            <w:tcW w:w="1981" w:type="dxa"/>
          </w:tcPr>
          <w:p w14:paraId="3186C881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Standard CBT, mean (95%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CI</w:t>
            </w: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) </w:t>
            </w:r>
          </w:p>
        </w:tc>
        <w:tc>
          <w:tcPr>
            <w:tcW w:w="1558" w:type="dxa"/>
          </w:tcPr>
          <w:p w14:paraId="1AC6C206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Adjusted mean difference (SE)</w:t>
            </w:r>
          </w:p>
        </w:tc>
        <w:tc>
          <w:tcPr>
            <w:tcW w:w="1558" w:type="dxa"/>
          </w:tcPr>
          <w:p w14:paraId="560E2CC1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95 % CI; </w:t>
            </w:r>
          </w:p>
          <w:p w14:paraId="78D7DA60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 value</w:t>
            </w:r>
          </w:p>
        </w:tc>
      </w:tr>
      <w:tr w:rsidR="00C84B67" w:rsidRPr="000D68FF" w14:paraId="7C73975A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6823D1CE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Baseline</w:t>
            </w:r>
          </w:p>
        </w:tc>
        <w:tc>
          <w:tcPr>
            <w:tcW w:w="2035" w:type="dxa"/>
          </w:tcPr>
          <w:p w14:paraId="4134C778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13.2 (11.2-15.3)</w:t>
            </w:r>
          </w:p>
        </w:tc>
        <w:tc>
          <w:tcPr>
            <w:tcW w:w="1981" w:type="dxa"/>
          </w:tcPr>
          <w:p w14:paraId="20D51532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11.7 (10.1-13.3)</w:t>
            </w:r>
          </w:p>
        </w:tc>
        <w:tc>
          <w:tcPr>
            <w:tcW w:w="1558" w:type="dxa"/>
          </w:tcPr>
          <w:p w14:paraId="299AE766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36ABEB6D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37996B23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798240F7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Treatment cessation (3 months)</w:t>
            </w:r>
          </w:p>
        </w:tc>
        <w:tc>
          <w:tcPr>
            <w:tcW w:w="2035" w:type="dxa"/>
          </w:tcPr>
          <w:p w14:paraId="15034BE1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11.9 (11.2-12.7)</w:t>
            </w:r>
          </w:p>
        </w:tc>
        <w:tc>
          <w:tcPr>
            <w:tcW w:w="1981" w:type="dxa"/>
          </w:tcPr>
          <w:p w14:paraId="3A82ABDD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13.6 (12.9-14.4)</w:t>
            </w:r>
          </w:p>
        </w:tc>
        <w:tc>
          <w:tcPr>
            <w:tcW w:w="1558" w:type="dxa"/>
          </w:tcPr>
          <w:p w14:paraId="42080ECF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1.69 (0.53)</w:t>
            </w:r>
          </w:p>
        </w:tc>
        <w:tc>
          <w:tcPr>
            <w:tcW w:w="1558" w:type="dxa"/>
          </w:tcPr>
          <w:p w14:paraId="4A2CE6A7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bookmarkStart w:id="5" w:name="_Hlk177638296"/>
            <w:r w:rsidRPr="000D68FF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(0.64 to 2.74); 0.002</w:t>
            </w:r>
            <w:bookmarkEnd w:id="5"/>
          </w:p>
        </w:tc>
      </w:tr>
      <w:tr w:rsidR="00C84B67" w:rsidRPr="000D68FF" w14:paraId="227CABFE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13AFE8B9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Follow-up (9 months)</w:t>
            </w:r>
          </w:p>
        </w:tc>
        <w:tc>
          <w:tcPr>
            <w:tcW w:w="2035" w:type="dxa"/>
          </w:tcPr>
          <w:p w14:paraId="5E7FADDD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12.1 (11.0- 13.1)</w:t>
            </w:r>
          </w:p>
        </w:tc>
        <w:tc>
          <w:tcPr>
            <w:tcW w:w="1981" w:type="dxa"/>
          </w:tcPr>
          <w:p w14:paraId="633DDB03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12.5 (11.4-13.5)</w:t>
            </w:r>
          </w:p>
        </w:tc>
        <w:tc>
          <w:tcPr>
            <w:tcW w:w="1558" w:type="dxa"/>
          </w:tcPr>
          <w:p w14:paraId="5707F93A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0.39 (0.75)</w:t>
            </w:r>
          </w:p>
        </w:tc>
        <w:tc>
          <w:tcPr>
            <w:tcW w:w="1558" w:type="dxa"/>
          </w:tcPr>
          <w:p w14:paraId="67F0F890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(-1.08 to 1.90); 0.60</w:t>
            </w:r>
          </w:p>
        </w:tc>
      </w:tr>
    </w:tbl>
    <w:p w14:paraId="23DEF688" w14:textId="77777777" w:rsidR="00C84B67" w:rsidRPr="000D68FF" w:rsidRDefault="00C84B67" w:rsidP="00C84B67">
      <w:pPr>
        <w:rPr>
          <w:rFonts w:ascii="Times New Roman" w:hAnsi="Times New Roman" w:cs="Times New Roman"/>
          <w:sz w:val="20"/>
          <w:szCs w:val="20"/>
          <w:lang w:val="en-US"/>
        </w:rPr>
      </w:pPr>
    </w:p>
    <w:tbl>
      <w:tblPr>
        <w:tblStyle w:val="GridTable6Colorful-Accent1"/>
        <w:tblW w:w="0" w:type="auto"/>
        <w:tblLook w:val="04A0" w:firstRow="1" w:lastRow="0" w:firstColumn="1" w:lastColumn="0" w:noHBand="0" w:noVBand="1"/>
      </w:tblPr>
      <w:tblGrid>
        <w:gridCol w:w="2496"/>
        <w:gridCol w:w="2035"/>
        <w:gridCol w:w="1981"/>
        <w:gridCol w:w="1558"/>
        <w:gridCol w:w="1558"/>
      </w:tblGrid>
      <w:tr w:rsidR="00C84B67" w:rsidRPr="00173BB6" w14:paraId="331988C3" w14:textId="77777777" w:rsidTr="00665F1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28" w:type="dxa"/>
            <w:gridSpan w:val="5"/>
          </w:tcPr>
          <w:p w14:paraId="3BA48F48" w14:textId="77777777" w:rsidR="00C84B67" w:rsidRPr="000D68FF" w:rsidRDefault="00C84B67" w:rsidP="00665F1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Olanzapine equivalents – with adjustment for baseline imbalances</w:t>
            </w:r>
          </w:p>
        </w:tc>
      </w:tr>
      <w:tr w:rsidR="00C84B67" w:rsidRPr="000D68FF" w14:paraId="1823A12D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75A05EE1" w14:textId="77777777" w:rsidR="00C84B67" w:rsidRPr="000D68FF" w:rsidRDefault="00C84B67" w:rsidP="00665F1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Olanzapine equivalent (mg/day)</w:t>
            </w:r>
          </w:p>
        </w:tc>
        <w:tc>
          <w:tcPr>
            <w:tcW w:w="2035" w:type="dxa"/>
          </w:tcPr>
          <w:p w14:paraId="2464C6DD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VR-CBT, mean (95%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CI</w:t>
            </w: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) </w:t>
            </w:r>
          </w:p>
        </w:tc>
        <w:tc>
          <w:tcPr>
            <w:tcW w:w="1981" w:type="dxa"/>
          </w:tcPr>
          <w:p w14:paraId="492DE021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Standard CBT, mean (95%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CI</w:t>
            </w: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) </w:t>
            </w:r>
          </w:p>
        </w:tc>
        <w:tc>
          <w:tcPr>
            <w:tcW w:w="1558" w:type="dxa"/>
          </w:tcPr>
          <w:p w14:paraId="7FFC35A4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Adjusted mean difference (SE)</w:t>
            </w:r>
          </w:p>
        </w:tc>
        <w:tc>
          <w:tcPr>
            <w:tcW w:w="1558" w:type="dxa"/>
          </w:tcPr>
          <w:p w14:paraId="09A2C4C0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95 % CI; </w:t>
            </w:r>
          </w:p>
          <w:p w14:paraId="4462AA14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 value</w:t>
            </w:r>
          </w:p>
        </w:tc>
      </w:tr>
      <w:tr w:rsidR="00C84B67" w:rsidRPr="000D68FF" w14:paraId="7FEAEA64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29EB0202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Baseline</w:t>
            </w:r>
          </w:p>
        </w:tc>
        <w:tc>
          <w:tcPr>
            <w:tcW w:w="2035" w:type="dxa"/>
          </w:tcPr>
          <w:p w14:paraId="37B8C538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13.2 (11.2-15.3)</w:t>
            </w:r>
          </w:p>
        </w:tc>
        <w:tc>
          <w:tcPr>
            <w:tcW w:w="1981" w:type="dxa"/>
          </w:tcPr>
          <w:p w14:paraId="4672BB8D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11.7 (10.1-13.3)</w:t>
            </w:r>
          </w:p>
        </w:tc>
        <w:tc>
          <w:tcPr>
            <w:tcW w:w="1558" w:type="dxa"/>
          </w:tcPr>
          <w:p w14:paraId="3A91F1A1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14:paraId="0BEF8C6D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84B67" w:rsidRPr="000D68FF" w14:paraId="577049A3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722EF264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Treatment cessation (3 months)</w:t>
            </w:r>
          </w:p>
        </w:tc>
        <w:tc>
          <w:tcPr>
            <w:tcW w:w="2035" w:type="dxa"/>
          </w:tcPr>
          <w:p w14:paraId="0E15CE1B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12.0 (11.3-12.8)</w:t>
            </w:r>
          </w:p>
        </w:tc>
        <w:tc>
          <w:tcPr>
            <w:tcW w:w="1981" w:type="dxa"/>
          </w:tcPr>
          <w:p w14:paraId="7590AB4F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13.5 (12.8-14.3)</w:t>
            </w:r>
          </w:p>
        </w:tc>
        <w:tc>
          <w:tcPr>
            <w:tcW w:w="1558" w:type="dxa"/>
          </w:tcPr>
          <w:p w14:paraId="4A08FD2B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1.53 (0.55)</w:t>
            </w:r>
          </w:p>
        </w:tc>
        <w:tc>
          <w:tcPr>
            <w:tcW w:w="1558" w:type="dxa"/>
          </w:tcPr>
          <w:p w14:paraId="55E5440B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(0.44 to 2.61); 0.006</w:t>
            </w:r>
          </w:p>
        </w:tc>
      </w:tr>
      <w:tr w:rsidR="00C84B67" w:rsidRPr="000D68FF" w14:paraId="3EAA6517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6" w:type="dxa"/>
          </w:tcPr>
          <w:p w14:paraId="09C5E4C9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Follow-up (9 months)</w:t>
            </w:r>
          </w:p>
        </w:tc>
        <w:tc>
          <w:tcPr>
            <w:tcW w:w="2035" w:type="dxa"/>
          </w:tcPr>
          <w:p w14:paraId="07E69C16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12.3 (11.2-13.4)</w:t>
            </w:r>
          </w:p>
        </w:tc>
        <w:tc>
          <w:tcPr>
            <w:tcW w:w="1981" w:type="dxa"/>
          </w:tcPr>
          <w:p w14:paraId="34FE99C9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12.2 (11.2-13.3)</w:t>
            </w:r>
          </w:p>
        </w:tc>
        <w:tc>
          <w:tcPr>
            <w:tcW w:w="1558" w:type="dxa"/>
          </w:tcPr>
          <w:p w14:paraId="265E8ACA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-0.10 (0.77)</w:t>
            </w:r>
          </w:p>
        </w:tc>
        <w:tc>
          <w:tcPr>
            <w:tcW w:w="1558" w:type="dxa"/>
          </w:tcPr>
          <w:p w14:paraId="13FF27E6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(-1.61 to 1.42); 0.90</w:t>
            </w:r>
          </w:p>
        </w:tc>
      </w:tr>
    </w:tbl>
    <w:p w14:paraId="29F50896" w14:textId="77777777" w:rsidR="00C84B67" w:rsidRPr="000D68FF" w:rsidRDefault="00C84B67" w:rsidP="00C84B67">
      <w:pPr>
        <w:rPr>
          <w:rFonts w:ascii="Times New Roman" w:hAnsi="Times New Roman" w:cs="Times New Roman"/>
          <w:lang w:val="en-US"/>
        </w:rPr>
      </w:pPr>
    </w:p>
    <w:p w14:paraId="3857252E" w14:textId="77777777" w:rsidR="00C84B67" w:rsidRPr="000D68FF" w:rsidRDefault="00C84B67" w:rsidP="00C84B67">
      <w:pPr>
        <w:pStyle w:val="Heading2"/>
        <w:numPr>
          <w:ilvl w:val="0"/>
          <w:numId w:val="0"/>
        </w:numPr>
        <w:rPr>
          <w:rFonts w:ascii="Times New Roman" w:hAnsi="Times New Roman" w:cs="Times New Roman"/>
          <w:lang w:val="en-US"/>
        </w:rPr>
      </w:pPr>
      <w:r w:rsidRPr="000D68FF">
        <w:rPr>
          <w:rFonts w:ascii="Times New Roman" w:hAnsi="Times New Roman" w:cs="Times New Roman"/>
          <w:lang w:val="en-US"/>
        </w:rPr>
        <w:t>Additional psychosocial interventions</w:t>
      </w:r>
    </w:p>
    <w:tbl>
      <w:tblPr>
        <w:tblStyle w:val="GridTable6Colorful-Accent1"/>
        <w:tblW w:w="0" w:type="auto"/>
        <w:tblLook w:val="04A0" w:firstRow="1" w:lastRow="0" w:firstColumn="1" w:lastColumn="0" w:noHBand="0" w:noVBand="1"/>
      </w:tblPr>
      <w:tblGrid>
        <w:gridCol w:w="2431"/>
        <w:gridCol w:w="2399"/>
        <w:gridCol w:w="2400"/>
        <w:gridCol w:w="2398"/>
      </w:tblGrid>
      <w:tr w:rsidR="00C84B67" w:rsidRPr="00173BB6" w14:paraId="0B4ADC67" w14:textId="77777777" w:rsidTr="00665F1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28" w:type="dxa"/>
            <w:gridSpan w:val="4"/>
          </w:tcPr>
          <w:p w14:paraId="023A2284" w14:textId="77777777" w:rsidR="00C84B67" w:rsidRPr="000D68FF" w:rsidRDefault="00C84B67" w:rsidP="00665F1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Additional psychosocial interventions as part of TAU</w:t>
            </w:r>
          </w:p>
        </w:tc>
      </w:tr>
      <w:tr w:rsidR="00C84B67" w:rsidRPr="000D68FF" w14:paraId="0D0ADEA8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1" w:type="dxa"/>
          </w:tcPr>
          <w:p w14:paraId="51F6029B" w14:textId="77777777" w:rsidR="00C84B67" w:rsidRPr="000D68FF" w:rsidRDefault="00C84B67" w:rsidP="00665F1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399" w:type="dxa"/>
          </w:tcPr>
          <w:p w14:paraId="65CEE510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VR-CBT, n (%) </w:t>
            </w:r>
          </w:p>
        </w:tc>
        <w:tc>
          <w:tcPr>
            <w:tcW w:w="2400" w:type="dxa"/>
          </w:tcPr>
          <w:p w14:paraId="4D3695E4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Standard CBT, n (%)</w:t>
            </w:r>
          </w:p>
        </w:tc>
        <w:tc>
          <w:tcPr>
            <w:tcW w:w="2398" w:type="dxa"/>
          </w:tcPr>
          <w:p w14:paraId="42212811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Total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 n (%); p value</w:t>
            </w:r>
          </w:p>
        </w:tc>
      </w:tr>
      <w:tr w:rsidR="00C84B67" w:rsidRPr="000D68FF" w14:paraId="481C8AC2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1" w:type="dxa"/>
          </w:tcPr>
          <w:p w14:paraId="750C9BA2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bookmarkStart w:id="6" w:name="_Hlk177560995"/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Psychoeducation from baseline to treatment cessation (3 months)</w:t>
            </w:r>
          </w:p>
        </w:tc>
        <w:tc>
          <w:tcPr>
            <w:tcW w:w="2399" w:type="dxa"/>
          </w:tcPr>
          <w:p w14:paraId="7FBB966D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 (11.1%)</w:t>
            </w:r>
          </w:p>
        </w:tc>
        <w:tc>
          <w:tcPr>
            <w:tcW w:w="2400" w:type="dxa"/>
          </w:tcPr>
          <w:p w14:paraId="5A86C81C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 (7.8%)</w:t>
            </w:r>
          </w:p>
        </w:tc>
        <w:tc>
          <w:tcPr>
            <w:tcW w:w="2398" w:type="dxa"/>
          </w:tcPr>
          <w:p w14:paraId="7FB7C564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 (9.5 %)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; 0.37</w:t>
            </w:r>
          </w:p>
        </w:tc>
      </w:tr>
      <w:tr w:rsidR="00C84B67" w:rsidRPr="000D68FF" w14:paraId="68A4DF1C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1" w:type="dxa"/>
          </w:tcPr>
          <w:p w14:paraId="0A041104" w14:textId="77777777" w:rsidR="00C84B67" w:rsidRPr="000D68FF" w:rsidRDefault="00C84B67" w:rsidP="00665F1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Psychoeducation from treatment cessation (3 months) to follow-up (9 months)</w:t>
            </w:r>
          </w:p>
        </w:tc>
        <w:tc>
          <w:tcPr>
            <w:tcW w:w="2399" w:type="dxa"/>
          </w:tcPr>
          <w:p w14:paraId="590D8671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 (7.1%)</w:t>
            </w:r>
          </w:p>
        </w:tc>
        <w:tc>
          <w:tcPr>
            <w:tcW w:w="2400" w:type="dxa"/>
          </w:tcPr>
          <w:p w14:paraId="76EB7B88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 (4.7%)</w:t>
            </w:r>
          </w:p>
        </w:tc>
        <w:tc>
          <w:tcPr>
            <w:tcW w:w="2398" w:type="dxa"/>
          </w:tcPr>
          <w:p w14:paraId="42EF127B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 (5.9%)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; 0.41</w:t>
            </w:r>
          </w:p>
        </w:tc>
      </w:tr>
      <w:tr w:rsidR="00C84B67" w:rsidRPr="000D68FF" w14:paraId="68BD2B57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1" w:type="dxa"/>
          </w:tcPr>
          <w:p w14:paraId="18101AA1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lastRenderedPageBreak/>
              <w:t>Social skills training from baseline to treatment cessation (3 months)</w:t>
            </w:r>
          </w:p>
        </w:tc>
        <w:tc>
          <w:tcPr>
            <w:tcW w:w="2399" w:type="dxa"/>
          </w:tcPr>
          <w:p w14:paraId="3CDA43B7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 (8.7%)</w:t>
            </w:r>
          </w:p>
        </w:tc>
        <w:tc>
          <w:tcPr>
            <w:tcW w:w="2400" w:type="dxa"/>
          </w:tcPr>
          <w:p w14:paraId="1C64AA49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 (10.9%)</w:t>
            </w:r>
          </w:p>
        </w:tc>
        <w:tc>
          <w:tcPr>
            <w:tcW w:w="2398" w:type="dxa"/>
          </w:tcPr>
          <w:p w14:paraId="5CE56E16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25 (9.8%)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; 0.55</w:t>
            </w:r>
          </w:p>
        </w:tc>
      </w:tr>
      <w:tr w:rsidR="00C84B67" w:rsidRPr="000D68FF" w14:paraId="3F553ED4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1" w:type="dxa"/>
          </w:tcPr>
          <w:p w14:paraId="3C349148" w14:textId="77777777" w:rsidR="00C84B67" w:rsidRPr="000D68FF" w:rsidRDefault="00C84B67" w:rsidP="00665F1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Social skills training from treatment cessation (3 months) to follow-up (9 months)</w:t>
            </w:r>
          </w:p>
        </w:tc>
        <w:tc>
          <w:tcPr>
            <w:tcW w:w="2399" w:type="dxa"/>
          </w:tcPr>
          <w:p w14:paraId="47B6477B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 (9.5%)</w:t>
            </w:r>
          </w:p>
        </w:tc>
        <w:tc>
          <w:tcPr>
            <w:tcW w:w="2400" w:type="dxa"/>
          </w:tcPr>
          <w:p w14:paraId="36E108BC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 (7.8%)</w:t>
            </w:r>
          </w:p>
        </w:tc>
        <w:tc>
          <w:tcPr>
            <w:tcW w:w="2398" w:type="dxa"/>
          </w:tcPr>
          <w:p w14:paraId="7218DFF9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22 (8.7%)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; 0.63</w:t>
            </w:r>
          </w:p>
        </w:tc>
      </w:tr>
      <w:tr w:rsidR="00C84B67" w:rsidRPr="000D68FF" w14:paraId="563CB3FD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1" w:type="dxa"/>
          </w:tcPr>
          <w:p w14:paraId="44583018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Individual psychological counseling from baseline to treatment cessation (3 months)</w:t>
            </w:r>
          </w:p>
        </w:tc>
        <w:tc>
          <w:tcPr>
            <w:tcW w:w="2399" w:type="dxa"/>
          </w:tcPr>
          <w:p w14:paraId="0639E3D6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 (4.0%)</w:t>
            </w:r>
          </w:p>
        </w:tc>
        <w:tc>
          <w:tcPr>
            <w:tcW w:w="2400" w:type="dxa"/>
          </w:tcPr>
          <w:p w14:paraId="75E6376B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 (4.7%)</w:t>
            </w:r>
          </w:p>
        </w:tc>
        <w:tc>
          <w:tcPr>
            <w:tcW w:w="2398" w:type="dxa"/>
          </w:tcPr>
          <w:p w14:paraId="1BE90A4C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 (4.3%)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; 0.78</w:t>
            </w:r>
          </w:p>
        </w:tc>
      </w:tr>
      <w:tr w:rsidR="00C84B67" w:rsidRPr="000D68FF" w14:paraId="61901A9F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1" w:type="dxa"/>
          </w:tcPr>
          <w:p w14:paraId="71D1DB75" w14:textId="77777777" w:rsidR="00C84B67" w:rsidRPr="000D68FF" w:rsidRDefault="00C84B67" w:rsidP="00665F1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Individual psychological counseling from treatment cessation (3 months) to follow-up (9 months)</w:t>
            </w:r>
          </w:p>
        </w:tc>
        <w:tc>
          <w:tcPr>
            <w:tcW w:w="2399" w:type="dxa"/>
          </w:tcPr>
          <w:p w14:paraId="1ADCFC96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 (8.7%)</w:t>
            </w:r>
          </w:p>
        </w:tc>
        <w:tc>
          <w:tcPr>
            <w:tcW w:w="2400" w:type="dxa"/>
          </w:tcPr>
          <w:p w14:paraId="2AD2BB51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 (7.8%)</w:t>
            </w:r>
          </w:p>
        </w:tc>
        <w:tc>
          <w:tcPr>
            <w:tcW w:w="2398" w:type="dxa"/>
          </w:tcPr>
          <w:p w14:paraId="7168EE6F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21 (8.3%)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; 0.79</w:t>
            </w:r>
          </w:p>
        </w:tc>
      </w:tr>
      <w:tr w:rsidR="00C84B67" w:rsidRPr="000D68FF" w14:paraId="42E4CA84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1" w:type="dxa"/>
          </w:tcPr>
          <w:p w14:paraId="705A412A" w14:textId="77777777" w:rsidR="00C84B67" w:rsidRPr="000D68FF" w:rsidRDefault="00C84B67" w:rsidP="00665F1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Other psychosocial intervention from baseline to treatment cessation (3 months)</w:t>
            </w:r>
          </w:p>
        </w:tc>
        <w:tc>
          <w:tcPr>
            <w:tcW w:w="2399" w:type="dxa"/>
          </w:tcPr>
          <w:p w14:paraId="5182EEAE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21 (16.7%)</w:t>
            </w:r>
          </w:p>
        </w:tc>
        <w:tc>
          <w:tcPr>
            <w:tcW w:w="2400" w:type="dxa"/>
          </w:tcPr>
          <w:p w14:paraId="270B5DF5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 (10.2%)</w:t>
            </w:r>
          </w:p>
        </w:tc>
        <w:tc>
          <w:tcPr>
            <w:tcW w:w="2398" w:type="dxa"/>
          </w:tcPr>
          <w:p w14:paraId="7A20442F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34 (13.4%)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; 0.13</w:t>
            </w:r>
          </w:p>
        </w:tc>
      </w:tr>
      <w:tr w:rsidR="00C84B67" w:rsidRPr="000D68FF" w14:paraId="436A18F1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1" w:type="dxa"/>
          </w:tcPr>
          <w:p w14:paraId="5E3A0524" w14:textId="77777777" w:rsidR="00C84B67" w:rsidRPr="000D68FF" w:rsidRDefault="00C84B67" w:rsidP="00665F1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Other psychosocial intervention from treatment cessation (3 months) to follow-up (9 months)</w:t>
            </w:r>
          </w:p>
        </w:tc>
        <w:tc>
          <w:tcPr>
            <w:tcW w:w="2399" w:type="dxa"/>
          </w:tcPr>
          <w:p w14:paraId="72E41216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25 (19.8%)</w:t>
            </w:r>
          </w:p>
        </w:tc>
        <w:tc>
          <w:tcPr>
            <w:tcW w:w="2400" w:type="dxa"/>
          </w:tcPr>
          <w:p w14:paraId="3296D84B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 (10.7%)</w:t>
            </w:r>
          </w:p>
        </w:tc>
        <w:tc>
          <w:tcPr>
            <w:tcW w:w="2398" w:type="dxa"/>
          </w:tcPr>
          <w:p w14:paraId="5FF48A4A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40 (15.8%)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; 0.08</w:t>
            </w:r>
          </w:p>
        </w:tc>
      </w:tr>
      <w:bookmarkEnd w:id="6"/>
    </w:tbl>
    <w:p w14:paraId="584BAA25" w14:textId="77777777" w:rsidR="00C84B67" w:rsidRPr="000D68FF" w:rsidRDefault="00C84B67" w:rsidP="00C84B67">
      <w:pPr>
        <w:rPr>
          <w:rFonts w:ascii="Times New Roman" w:hAnsi="Times New Roman" w:cs="Times New Roman"/>
          <w:lang w:val="en-US"/>
        </w:rPr>
      </w:pPr>
    </w:p>
    <w:p w14:paraId="69CB2A0D" w14:textId="77777777" w:rsidR="00C84B67" w:rsidRPr="000D68FF" w:rsidRDefault="00C84B67" w:rsidP="00C84B67">
      <w:pPr>
        <w:pStyle w:val="Heading2"/>
        <w:numPr>
          <w:ilvl w:val="0"/>
          <w:numId w:val="0"/>
        </w:numPr>
        <w:rPr>
          <w:rFonts w:ascii="Times New Roman" w:hAnsi="Times New Roman" w:cs="Times New Roman"/>
          <w:lang w:val="en-US"/>
        </w:rPr>
      </w:pPr>
      <w:r w:rsidRPr="000D68FF">
        <w:rPr>
          <w:rFonts w:ascii="Times New Roman" w:hAnsi="Times New Roman" w:cs="Times New Roman"/>
          <w:lang w:val="en-US"/>
        </w:rPr>
        <w:t>Exposure in VR-CBT and standard CBT</w:t>
      </w:r>
    </w:p>
    <w:tbl>
      <w:tblPr>
        <w:tblStyle w:val="GridTable6Colorful-Accent1"/>
        <w:tblW w:w="0" w:type="auto"/>
        <w:tblLook w:val="04A0" w:firstRow="1" w:lastRow="0" w:firstColumn="1" w:lastColumn="0" w:noHBand="0" w:noVBand="1"/>
      </w:tblPr>
      <w:tblGrid>
        <w:gridCol w:w="2431"/>
        <w:gridCol w:w="2399"/>
        <w:gridCol w:w="2400"/>
        <w:gridCol w:w="2398"/>
      </w:tblGrid>
      <w:tr w:rsidR="00C84B67" w:rsidRPr="000D68FF" w14:paraId="093BDA5D" w14:textId="77777777" w:rsidTr="00665F1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28" w:type="dxa"/>
            <w:gridSpan w:val="4"/>
          </w:tcPr>
          <w:p w14:paraId="3219220B" w14:textId="77777777" w:rsidR="00C84B67" w:rsidRPr="000D68FF" w:rsidRDefault="00C84B67" w:rsidP="00665F1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Exposure quantity</w:t>
            </w:r>
          </w:p>
        </w:tc>
      </w:tr>
      <w:tr w:rsidR="00C84B67" w:rsidRPr="000D68FF" w14:paraId="3E007C6A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1" w:type="dxa"/>
          </w:tcPr>
          <w:p w14:paraId="5834D782" w14:textId="77777777" w:rsidR="00C84B67" w:rsidRPr="000D68FF" w:rsidRDefault="00C84B67" w:rsidP="00665F1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399" w:type="dxa"/>
          </w:tcPr>
          <w:p w14:paraId="7E3C7921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VR-CBT, mean (95% CI) </w:t>
            </w:r>
          </w:p>
        </w:tc>
        <w:tc>
          <w:tcPr>
            <w:tcW w:w="2400" w:type="dxa"/>
          </w:tcPr>
          <w:p w14:paraId="70FFDE32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Standard CBT, mean (95% CI) </w:t>
            </w:r>
          </w:p>
        </w:tc>
        <w:tc>
          <w:tcPr>
            <w:tcW w:w="2398" w:type="dxa"/>
          </w:tcPr>
          <w:p w14:paraId="22FC2412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 value</w:t>
            </w:r>
          </w:p>
        </w:tc>
      </w:tr>
      <w:tr w:rsidR="00C84B67" w:rsidRPr="000D68FF" w14:paraId="1CE837B7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1" w:type="dxa"/>
          </w:tcPr>
          <w:p w14:paraId="33B1B8FD" w14:textId="77777777" w:rsidR="00C84B67" w:rsidRPr="000D68FF" w:rsidRDefault="00C84B67" w:rsidP="00665F1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Exposure in minutes</w:t>
            </w:r>
          </w:p>
        </w:tc>
        <w:tc>
          <w:tcPr>
            <w:tcW w:w="2399" w:type="dxa"/>
          </w:tcPr>
          <w:p w14:paraId="44128A84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83.5 (74.7-92.3)</w:t>
            </w:r>
          </w:p>
        </w:tc>
        <w:tc>
          <w:tcPr>
            <w:tcW w:w="2400" w:type="dxa"/>
          </w:tcPr>
          <w:p w14:paraId="1658C42B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8.0 (4.3-11.6)</w:t>
            </w:r>
          </w:p>
        </w:tc>
        <w:tc>
          <w:tcPr>
            <w:tcW w:w="2398" w:type="dxa"/>
          </w:tcPr>
          <w:p w14:paraId="666A73C5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P&lt;0.001</w:t>
            </w:r>
          </w:p>
        </w:tc>
      </w:tr>
    </w:tbl>
    <w:tbl>
      <w:tblPr>
        <w:tblStyle w:val="GridTable6Colorful-Accent1"/>
        <w:tblpPr w:leftFromText="141" w:rightFromText="141" w:vertAnchor="text" w:horzAnchor="margin" w:tblpY="414"/>
        <w:tblW w:w="0" w:type="auto"/>
        <w:tblLook w:val="04A0" w:firstRow="1" w:lastRow="0" w:firstColumn="1" w:lastColumn="0" w:noHBand="0" w:noVBand="1"/>
      </w:tblPr>
      <w:tblGrid>
        <w:gridCol w:w="2431"/>
        <w:gridCol w:w="2399"/>
        <w:gridCol w:w="2400"/>
        <w:gridCol w:w="2398"/>
      </w:tblGrid>
      <w:tr w:rsidR="00C84B67" w:rsidRPr="000D68FF" w14:paraId="1D970947" w14:textId="77777777" w:rsidTr="00665F1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28" w:type="dxa"/>
            <w:gridSpan w:val="4"/>
          </w:tcPr>
          <w:p w14:paraId="13AE3795" w14:textId="77777777" w:rsidR="00C84B67" w:rsidRPr="000D68FF" w:rsidRDefault="00C84B67" w:rsidP="00665F1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Exposure quality</w:t>
            </w:r>
          </w:p>
        </w:tc>
      </w:tr>
      <w:tr w:rsidR="00C84B67" w:rsidRPr="000D68FF" w14:paraId="73FA752C" w14:textId="77777777" w:rsidTr="0066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1" w:type="dxa"/>
          </w:tcPr>
          <w:p w14:paraId="464B9A78" w14:textId="77777777" w:rsidR="00C84B67" w:rsidRPr="000D68FF" w:rsidRDefault="00C84B67" w:rsidP="00665F1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399" w:type="dxa"/>
          </w:tcPr>
          <w:p w14:paraId="5D71D7D7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VR-CBT, mean (95% CI)</w:t>
            </w:r>
          </w:p>
        </w:tc>
        <w:tc>
          <w:tcPr>
            <w:tcW w:w="2400" w:type="dxa"/>
          </w:tcPr>
          <w:p w14:paraId="737242AC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Standard CBT, mean (95% CI)</w:t>
            </w:r>
          </w:p>
        </w:tc>
        <w:tc>
          <w:tcPr>
            <w:tcW w:w="2398" w:type="dxa"/>
          </w:tcPr>
          <w:p w14:paraId="0174AC16" w14:textId="77777777" w:rsidR="00C84B67" w:rsidRPr="000D68FF" w:rsidRDefault="00C84B67" w:rsidP="00665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 value</w:t>
            </w:r>
          </w:p>
        </w:tc>
      </w:tr>
      <w:tr w:rsidR="00C84B67" w:rsidRPr="000D68FF" w14:paraId="4CD6AE2F" w14:textId="77777777" w:rsidTr="00665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1" w:type="dxa"/>
          </w:tcPr>
          <w:p w14:paraId="6A6E0721" w14:textId="77777777" w:rsidR="00C84B67" w:rsidRPr="000D68FF" w:rsidRDefault="00C84B67" w:rsidP="00665F1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Quality from 0-10</w:t>
            </w:r>
          </w:p>
        </w:tc>
        <w:tc>
          <w:tcPr>
            <w:tcW w:w="2399" w:type="dxa"/>
          </w:tcPr>
          <w:p w14:paraId="1A1462D2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7.3 (7.0-7.6)</w:t>
            </w:r>
          </w:p>
        </w:tc>
        <w:tc>
          <w:tcPr>
            <w:tcW w:w="2400" w:type="dxa"/>
          </w:tcPr>
          <w:p w14:paraId="1B1FBFFF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6.4 (5.6-7.2)</w:t>
            </w:r>
          </w:p>
        </w:tc>
        <w:tc>
          <w:tcPr>
            <w:tcW w:w="2398" w:type="dxa"/>
          </w:tcPr>
          <w:p w14:paraId="2C156BD6" w14:textId="77777777" w:rsidR="00C84B67" w:rsidRPr="000D68FF" w:rsidRDefault="00C84B67" w:rsidP="00665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0D68FF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P=0.035</w:t>
            </w:r>
          </w:p>
        </w:tc>
      </w:tr>
    </w:tbl>
    <w:p w14:paraId="62E518D0" w14:textId="77777777" w:rsidR="00C84B67" w:rsidRPr="000D68FF" w:rsidRDefault="00C84B67" w:rsidP="00C84B67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6E87FD59" w14:textId="77777777" w:rsidR="00F553FF" w:rsidRDefault="00F553FF"/>
    <w:sectPr w:rsidR="00F553FF" w:rsidSect="00C84B67">
      <w:footerReference w:type="default" r:id="rId5"/>
      <w:pgSz w:w="11906" w:h="16838"/>
      <w:pgMar w:top="1701" w:right="1134" w:bottom="1701" w:left="1134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ari Office Book">
    <w:charset w:val="00"/>
    <w:family w:val="swiss"/>
    <w:pitch w:val="variable"/>
    <w:sig w:usb0="A00000AF" w:usb1="5000205B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281693930"/>
      <w:docPartObj>
        <w:docPartGallery w:val="Page Numbers (Bottom of Page)"/>
        <w:docPartUnique/>
      </w:docPartObj>
    </w:sdtPr>
    <w:sdtContent>
      <w:p w14:paraId="09F5D84E" w14:textId="77777777" w:rsidR="00000000" w:rsidRDefault="00000000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777DBAA" w14:textId="77777777" w:rsidR="00000000" w:rsidRDefault="00000000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2E3ADD7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BF0509A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A9780632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77B86C8C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CB286BD4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100FAAA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3E2EFF0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F6E14F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A4A84D7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293006C"/>
    <w:multiLevelType w:val="hybridMultilevel"/>
    <w:tmpl w:val="37F880D0"/>
    <w:lvl w:ilvl="0" w:tplc="040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0B0A24DA"/>
    <w:multiLevelType w:val="multilevel"/>
    <w:tmpl w:val="040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D8F4AAF"/>
    <w:multiLevelType w:val="hybridMultilevel"/>
    <w:tmpl w:val="00340A3C"/>
    <w:lvl w:ilvl="0" w:tplc="0C0C91A6">
      <w:start w:val="1"/>
      <w:numFmt w:val="decimal"/>
      <w:lvlText w:val="%1."/>
      <w:lvlJc w:val="left"/>
      <w:pPr>
        <w:ind w:left="720" w:hanging="360"/>
      </w:pPr>
      <w:rPr>
        <w:i w:val="0"/>
        <w:iCs w:val="0"/>
        <w:color w:val="auto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5171C4C"/>
    <w:multiLevelType w:val="multilevel"/>
    <w:tmpl w:val="04060023"/>
    <w:styleLink w:val="ArticleSection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3" w15:restartNumberingAfterBreak="0">
    <w:nsid w:val="55FC647D"/>
    <w:multiLevelType w:val="hybridMultilevel"/>
    <w:tmpl w:val="6CB2653A"/>
    <w:lvl w:ilvl="0" w:tplc="3064CB1C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59F306B"/>
    <w:multiLevelType w:val="multilevel"/>
    <w:tmpl w:val="0406001F"/>
    <w:styleLink w:val="11111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7BA94CF7"/>
    <w:multiLevelType w:val="multilevel"/>
    <w:tmpl w:val="0406001D"/>
    <w:styleLink w:val="1ai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7E20588C"/>
    <w:multiLevelType w:val="multilevel"/>
    <w:tmpl w:val="06B46614"/>
    <w:lvl w:ilvl="0">
      <w:start w:val="1"/>
      <w:numFmt w:val="decimal"/>
      <w:lvlText w:val="%1."/>
      <w:lvlJc w:val="left"/>
      <w:pPr>
        <w:ind w:left="340" w:hanging="3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64" w:hanging="624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88" w:hanging="62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81" w:hanging="793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52" w:hanging="964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52" w:hanging="96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19" w:hanging="1531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175" w:hanging="1587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89" w:hanging="1701"/>
      </w:pPr>
      <w:rPr>
        <w:rFonts w:hint="default"/>
      </w:rPr>
    </w:lvl>
  </w:abstractNum>
  <w:abstractNum w:abstractNumId="17" w15:restartNumberingAfterBreak="0">
    <w:nsid w:val="7FB354B8"/>
    <w:multiLevelType w:val="multilevel"/>
    <w:tmpl w:val="F120D722"/>
    <w:lvl w:ilvl="0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  <w:color w:val="auto"/>
      </w:rPr>
    </w:lvl>
    <w:lvl w:ilvl="1">
      <w:start w:val="1"/>
      <w:numFmt w:val="bullet"/>
      <w:lvlText w:val=""/>
      <w:lvlJc w:val="left"/>
      <w:pPr>
        <w:ind w:left="568" w:hanging="284"/>
      </w:pPr>
      <w:rPr>
        <w:rFonts w:ascii="Symbol" w:hAnsi="Symbol" w:hint="default"/>
        <w:color w:val="auto"/>
      </w:rPr>
    </w:lvl>
    <w:lvl w:ilvl="2">
      <w:start w:val="1"/>
      <w:numFmt w:val="bullet"/>
      <w:lvlText w:val=""/>
      <w:lvlJc w:val="left"/>
      <w:pPr>
        <w:ind w:left="852" w:hanging="284"/>
      </w:pPr>
      <w:rPr>
        <w:rFonts w:ascii="Symbol" w:hAnsi="Symbol" w:hint="default"/>
        <w:color w:val="auto"/>
      </w:rPr>
    </w:lvl>
    <w:lvl w:ilvl="3">
      <w:start w:val="1"/>
      <w:numFmt w:val="bullet"/>
      <w:lvlText w:val=""/>
      <w:lvlJc w:val="left"/>
      <w:pPr>
        <w:ind w:left="1136" w:hanging="284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ind w:left="1420" w:hanging="284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1704" w:hanging="284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1988" w:hanging="284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2272" w:hanging="284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ind w:left="2556" w:hanging="284"/>
      </w:pPr>
      <w:rPr>
        <w:rFonts w:ascii="Symbol" w:hAnsi="Symbol" w:hint="default"/>
        <w:color w:val="auto"/>
      </w:rPr>
    </w:lvl>
  </w:abstractNum>
  <w:num w:numId="1" w16cid:durableId="1800107254">
    <w:abstractNumId w:val="8"/>
  </w:num>
  <w:num w:numId="2" w16cid:durableId="1477141706">
    <w:abstractNumId w:val="7"/>
  </w:num>
  <w:num w:numId="3" w16cid:durableId="1863469387">
    <w:abstractNumId w:val="9"/>
  </w:num>
  <w:num w:numId="4" w16cid:durableId="1285504082">
    <w:abstractNumId w:val="11"/>
  </w:num>
  <w:num w:numId="5" w16cid:durableId="1514806352">
    <w:abstractNumId w:val="13"/>
  </w:num>
  <w:num w:numId="6" w16cid:durableId="1167357687">
    <w:abstractNumId w:val="17"/>
  </w:num>
  <w:num w:numId="7" w16cid:durableId="711854885">
    <w:abstractNumId w:val="6"/>
  </w:num>
  <w:num w:numId="8" w16cid:durableId="1724795938">
    <w:abstractNumId w:val="5"/>
  </w:num>
  <w:num w:numId="9" w16cid:durableId="1978604902">
    <w:abstractNumId w:val="4"/>
  </w:num>
  <w:num w:numId="10" w16cid:durableId="382483304">
    <w:abstractNumId w:val="16"/>
  </w:num>
  <w:num w:numId="11" w16cid:durableId="1070690788">
    <w:abstractNumId w:val="3"/>
  </w:num>
  <w:num w:numId="12" w16cid:durableId="457534675">
    <w:abstractNumId w:val="2"/>
  </w:num>
  <w:num w:numId="13" w16cid:durableId="793452408">
    <w:abstractNumId w:val="1"/>
  </w:num>
  <w:num w:numId="14" w16cid:durableId="27220979">
    <w:abstractNumId w:val="0"/>
  </w:num>
  <w:num w:numId="15" w16cid:durableId="1612400124">
    <w:abstractNumId w:val="16"/>
    <w:lvlOverride w:ilvl="0">
      <w:lvl w:ilvl="0">
        <w:start w:val="1"/>
        <w:numFmt w:val="decimal"/>
        <w:lvlText w:val="%1."/>
        <w:lvlJc w:val="left"/>
        <w:pPr>
          <w:ind w:left="340" w:hanging="340"/>
        </w:pPr>
        <w:rPr>
          <w:rFonts w:hint="default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964" w:hanging="624"/>
        </w:pPr>
        <w:rPr>
          <w:rFonts w:hint="default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1588" w:hanging="624"/>
        </w:pPr>
        <w:rPr>
          <w:rFonts w:hint="default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2381" w:hanging="793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552" w:hanging="964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665" w:hanging="1077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2892" w:hanging="1304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119" w:hanging="1531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3345" w:hanging="1757"/>
        </w:pPr>
        <w:rPr>
          <w:rFonts w:hint="default"/>
        </w:rPr>
      </w:lvl>
    </w:lvlOverride>
  </w:num>
  <w:num w:numId="16" w16cid:durableId="1291204146">
    <w:abstractNumId w:val="10"/>
  </w:num>
  <w:num w:numId="17" w16cid:durableId="1428647789">
    <w:abstractNumId w:val="15"/>
  </w:num>
  <w:num w:numId="18" w16cid:durableId="24017356">
    <w:abstractNumId w:val="12"/>
  </w:num>
  <w:num w:numId="19" w16cid:durableId="122363922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4B67"/>
    <w:rsid w:val="003C2EF4"/>
    <w:rsid w:val="00B74216"/>
    <w:rsid w:val="00C84B67"/>
    <w:rsid w:val="00D62F8C"/>
    <w:rsid w:val="00F553FF"/>
    <w:rsid w:val="00FC48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ADCFF3"/>
  <w15:chartTrackingRefBased/>
  <w15:docId w15:val="{2489F0A8-80D7-4D3C-A8BB-0C5C66CCD6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0" w:unhideWhenUsed="1"/>
    <w:lsdException w:name="toc 2" w:semiHidden="1" w:uiPriority="10" w:unhideWhenUsed="1"/>
    <w:lsdException w:name="toc 3" w:semiHidden="1" w:uiPriority="10" w:unhideWhenUsed="1"/>
    <w:lsdException w:name="toc 4" w:semiHidden="1" w:uiPriority="10" w:unhideWhenUsed="1"/>
    <w:lsdException w:name="toc 5" w:semiHidden="1" w:uiPriority="10" w:unhideWhenUsed="1"/>
    <w:lsdException w:name="toc 6" w:semiHidden="1" w:uiPriority="10" w:unhideWhenUsed="1"/>
    <w:lsdException w:name="toc 7" w:semiHidden="1" w:uiPriority="10" w:unhideWhenUsed="1"/>
    <w:lsdException w:name="toc 8" w:semiHidden="1" w:uiPriority="10" w:unhideWhenUsed="1"/>
    <w:lsdException w:name="toc 9" w:semiHidden="1" w:uiPriority="10" w:unhideWhenUsed="1"/>
    <w:lsdException w:name="Normal Indent" w:semiHidden="1" w:unhideWhenUsed="1"/>
    <w:lsdException w:name="footnote text" w:semiHidden="1" w:uiPriority="8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8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2" w:unhideWhenUsed="1" w:qFormat="1"/>
    <w:lsdException w:name="List Number" w:semiHidden="1" w:uiPriority="2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8" w:unhideWhenUsed="1" w:qFormat="1"/>
    <w:lsdException w:name="FollowedHyperlink" w:semiHidden="1" w:unhideWhenUsed="1"/>
    <w:lsdException w:name="Strong" w:qFormat="1"/>
    <w:lsdException w:name="Emphasis" w:uiPriority="4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qFormat="1"/>
    <w:lsdException w:name="Quote" w:uiPriority="3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nhideWhenUsed="1"/>
    <w:lsdException w:name="TOC Heading" w:semiHidden="1" w:unhideWhenUsed="1" w:qFormat="1"/>
    <w:lsdException w:name="Plain Table 3" w:uiPriority="43"/>
    <w:lsdException w:name="Grid Table 1 Light Accent 1" w:uiPriority="46"/>
    <w:lsdException w:name="Grid Table 6 Colorful Accent 1" w:uiPriority="5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4B67"/>
    <w:rPr>
      <w:rFonts w:eastAsiaTheme="minorEastAsia"/>
      <w:kern w:val="0"/>
      <w:lang w:val="da-DK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84B67"/>
    <w:pPr>
      <w:keepNext/>
      <w:keepLines/>
      <w:numPr>
        <w:numId w:val="5"/>
      </w:numPr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84B67"/>
    <w:pPr>
      <w:keepNext/>
      <w:keepLines/>
      <w:numPr>
        <w:ilvl w:val="1"/>
        <w:numId w:val="5"/>
      </w:numPr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1"/>
    <w:unhideWhenUsed/>
    <w:qFormat/>
    <w:rsid w:val="00C84B67"/>
    <w:pPr>
      <w:keepNext/>
      <w:keepLines/>
      <w:numPr>
        <w:ilvl w:val="2"/>
        <w:numId w:val="5"/>
      </w:numPr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1"/>
    <w:semiHidden/>
    <w:unhideWhenUsed/>
    <w:qFormat/>
    <w:rsid w:val="00C84B67"/>
    <w:pPr>
      <w:keepNext/>
      <w:keepLines/>
      <w:numPr>
        <w:ilvl w:val="3"/>
        <w:numId w:val="5"/>
      </w:numPr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1"/>
    <w:semiHidden/>
    <w:unhideWhenUsed/>
    <w:qFormat/>
    <w:rsid w:val="00C84B67"/>
    <w:pPr>
      <w:keepNext/>
      <w:keepLines/>
      <w:numPr>
        <w:ilvl w:val="4"/>
        <w:numId w:val="5"/>
      </w:numPr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1"/>
    <w:semiHidden/>
    <w:unhideWhenUsed/>
    <w:qFormat/>
    <w:rsid w:val="00C84B67"/>
    <w:pPr>
      <w:keepNext/>
      <w:keepLines/>
      <w:numPr>
        <w:ilvl w:val="5"/>
        <w:numId w:val="5"/>
      </w:numPr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1"/>
    <w:semiHidden/>
    <w:unhideWhenUsed/>
    <w:qFormat/>
    <w:rsid w:val="00C84B67"/>
    <w:pPr>
      <w:keepNext/>
      <w:keepLines/>
      <w:numPr>
        <w:ilvl w:val="6"/>
        <w:numId w:val="5"/>
      </w:numPr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1"/>
    <w:semiHidden/>
    <w:unhideWhenUsed/>
    <w:qFormat/>
    <w:rsid w:val="00C84B67"/>
    <w:pPr>
      <w:keepNext/>
      <w:keepLines/>
      <w:numPr>
        <w:ilvl w:val="7"/>
        <w:numId w:val="5"/>
      </w:numPr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1"/>
    <w:semiHidden/>
    <w:unhideWhenUsed/>
    <w:qFormat/>
    <w:rsid w:val="00C84B67"/>
    <w:pPr>
      <w:keepNext/>
      <w:keepLines/>
      <w:numPr>
        <w:ilvl w:val="8"/>
        <w:numId w:val="5"/>
      </w:numPr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84B6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C84B6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1"/>
    <w:rsid w:val="00C84B6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1"/>
    <w:semiHidden/>
    <w:rsid w:val="00C84B6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1"/>
    <w:semiHidden/>
    <w:rsid w:val="00C84B6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1"/>
    <w:semiHidden/>
    <w:rsid w:val="00C84B6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1"/>
    <w:semiHidden/>
    <w:rsid w:val="00C84B6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1"/>
    <w:semiHidden/>
    <w:rsid w:val="00C84B6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1"/>
    <w:semiHidden/>
    <w:rsid w:val="00C84B6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84B6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84B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99"/>
    <w:qFormat/>
    <w:rsid w:val="00C84B6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99"/>
    <w:rsid w:val="00C84B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3"/>
    <w:qFormat/>
    <w:rsid w:val="00C84B6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3"/>
    <w:rsid w:val="00C84B6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99"/>
    <w:qFormat/>
    <w:rsid w:val="00C84B67"/>
    <w:pPr>
      <w:ind w:left="720"/>
      <w:contextualSpacing/>
    </w:pPr>
  </w:style>
  <w:style w:type="character" w:styleId="IntenseEmphasis">
    <w:name w:val="Intense Emphasis"/>
    <w:basedOn w:val="DefaultParagraphFont"/>
    <w:uiPriority w:val="99"/>
    <w:qFormat/>
    <w:rsid w:val="00C84B6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99"/>
    <w:qFormat/>
    <w:rsid w:val="00C84B6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99"/>
    <w:rsid w:val="00C84B6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99"/>
    <w:qFormat/>
    <w:rsid w:val="00C84B67"/>
    <w:rPr>
      <w:b/>
      <w:bCs/>
      <w:smallCaps/>
      <w:color w:val="0F4761" w:themeColor="accent1" w:themeShade="BF"/>
      <w:spacing w:val="5"/>
    </w:rPr>
  </w:style>
  <w:style w:type="paragraph" w:styleId="ListBullet">
    <w:name w:val="List Bullet"/>
    <w:basedOn w:val="Normal"/>
    <w:uiPriority w:val="2"/>
    <w:unhideWhenUsed/>
    <w:qFormat/>
    <w:rsid w:val="00C84B67"/>
    <w:pPr>
      <w:numPr>
        <w:numId w:val="1"/>
      </w:numPr>
      <w:contextualSpacing/>
    </w:pPr>
  </w:style>
  <w:style w:type="paragraph" w:styleId="ListNumber">
    <w:name w:val="List Number"/>
    <w:basedOn w:val="Normal"/>
    <w:uiPriority w:val="2"/>
    <w:unhideWhenUsed/>
    <w:qFormat/>
    <w:rsid w:val="00C84B67"/>
    <w:pPr>
      <w:numPr>
        <w:numId w:val="2"/>
      </w:numPr>
      <w:contextualSpacing/>
    </w:pPr>
  </w:style>
  <w:style w:type="paragraph" w:styleId="Header">
    <w:name w:val="header"/>
    <w:basedOn w:val="Normal"/>
    <w:link w:val="HeaderChar"/>
    <w:uiPriority w:val="99"/>
    <w:unhideWhenUsed/>
    <w:rsid w:val="00C84B6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84B67"/>
    <w:rPr>
      <w:rFonts w:eastAsiaTheme="minorEastAsia"/>
      <w:kern w:val="0"/>
      <w:lang w:val="da-DK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C84B6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84B67"/>
    <w:rPr>
      <w:rFonts w:eastAsiaTheme="minorEastAsia"/>
      <w:kern w:val="0"/>
      <w:lang w:val="da-DK"/>
      <w14:ligatures w14:val="none"/>
    </w:rPr>
  </w:style>
  <w:style w:type="paragraph" w:styleId="Caption">
    <w:name w:val="caption"/>
    <w:basedOn w:val="Normal"/>
    <w:next w:val="Normal"/>
    <w:uiPriority w:val="3"/>
    <w:semiHidden/>
    <w:unhideWhenUsed/>
    <w:qFormat/>
    <w:rsid w:val="00C84B67"/>
    <w:pPr>
      <w:spacing w:line="240" w:lineRule="auto"/>
    </w:pPr>
    <w:rPr>
      <w:b/>
      <w:bCs/>
      <w:smallCaps/>
      <w:color w:val="156082" w:themeColor="accent1"/>
      <w:spacing w:val="6"/>
    </w:rPr>
  </w:style>
  <w:style w:type="character" w:styleId="Strong">
    <w:name w:val="Strong"/>
    <w:basedOn w:val="DefaultParagraphFont"/>
    <w:uiPriority w:val="99"/>
    <w:qFormat/>
    <w:rsid w:val="00C84B67"/>
    <w:rPr>
      <w:b/>
      <w:bCs/>
    </w:rPr>
  </w:style>
  <w:style w:type="character" w:styleId="Emphasis">
    <w:name w:val="Emphasis"/>
    <w:basedOn w:val="DefaultParagraphFont"/>
    <w:uiPriority w:val="4"/>
    <w:qFormat/>
    <w:rsid w:val="00C84B67"/>
    <w:rPr>
      <w:i/>
      <w:iCs/>
    </w:rPr>
  </w:style>
  <w:style w:type="paragraph" w:styleId="NoSpacing">
    <w:name w:val="No Spacing"/>
    <w:qFormat/>
    <w:rsid w:val="00C84B67"/>
    <w:pPr>
      <w:spacing w:after="0" w:line="240" w:lineRule="auto"/>
    </w:pPr>
    <w:rPr>
      <w:rFonts w:eastAsiaTheme="minorEastAsia"/>
      <w:kern w:val="0"/>
      <w:lang w:val="da-DK"/>
      <w14:ligatures w14:val="none"/>
    </w:rPr>
  </w:style>
  <w:style w:type="character" w:styleId="SubtleEmphasis">
    <w:name w:val="Subtle Emphasis"/>
    <w:basedOn w:val="DefaultParagraphFont"/>
    <w:uiPriority w:val="99"/>
    <w:qFormat/>
    <w:rsid w:val="00C84B67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99"/>
    <w:qFormat/>
    <w:rsid w:val="00C84B67"/>
    <w:rPr>
      <w:smallCaps/>
      <w:color w:val="404040" w:themeColor="text1" w:themeTint="BF"/>
      <w:u w:val="single" w:color="7F7F7F" w:themeColor="text1" w:themeTint="80"/>
    </w:rPr>
  </w:style>
  <w:style w:type="character" w:styleId="BookTitle">
    <w:name w:val="Book Title"/>
    <w:basedOn w:val="DefaultParagraphFont"/>
    <w:uiPriority w:val="99"/>
    <w:qFormat/>
    <w:rsid w:val="00C84B67"/>
    <w:rPr>
      <w:b/>
      <w:bCs/>
      <w:smallCaps/>
    </w:rPr>
  </w:style>
  <w:style w:type="paragraph" w:styleId="TOCHeading">
    <w:name w:val="TOC Heading"/>
    <w:basedOn w:val="Heading1"/>
    <w:next w:val="Normal"/>
    <w:uiPriority w:val="99"/>
    <w:semiHidden/>
    <w:unhideWhenUsed/>
    <w:qFormat/>
    <w:rsid w:val="00C84B67"/>
    <w:pPr>
      <w:spacing w:before="240" w:after="0"/>
      <w:outlineLvl w:val="9"/>
    </w:pPr>
    <w:rPr>
      <w:sz w:val="32"/>
      <w:szCs w:val="32"/>
    </w:rPr>
  </w:style>
  <w:style w:type="paragraph" w:styleId="NormalWeb">
    <w:name w:val="Normal (Web)"/>
    <w:basedOn w:val="Normal"/>
    <w:uiPriority w:val="99"/>
    <w:unhideWhenUsed/>
    <w:rsid w:val="00C84B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a-DK"/>
    </w:rPr>
  </w:style>
  <w:style w:type="character" w:styleId="CommentReference">
    <w:name w:val="annotation reference"/>
    <w:basedOn w:val="DefaultParagraphFont"/>
    <w:uiPriority w:val="99"/>
    <w:semiHidden/>
    <w:unhideWhenUsed/>
    <w:rsid w:val="00C84B6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84B6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84B67"/>
    <w:rPr>
      <w:rFonts w:eastAsiaTheme="minorEastAsia"/>
      <w:kern w:val="0"/>
      <w:sz w:val="20"/>
      <w:szCs w:val="20"/>
      <w:lang w:val="da-DK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84B6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84B67"/>
    <w:rPr>
      <w:rFonts w:eastAsiaTheme="minorEastAsia"/>
      <w:b/>
      <w:bCs/>
      <w:kern w:val="0"/>
      <w:sz w:val="20"/>
      <w:szCs w:val="20"/>
      <w:lang w:val="da-DK"/>
      <w14:ligatures w14:val="none"/>
    </w:rPr>
  </w:style>
  <w:style w:type="character" w:customStyle="1" w:styleId="spelle">
    <w:name w:val="spelle"/>
    <w:basedOn w:val="DefaultParagraphFont"/>
    <w:rsid w:val="00C84B67"/>
  </w:style>
  <w:style w:type="character" w:customStyle="1" w:styleId="apple-converted-space">
    <w:name w:val="apple-converted-space"/>
    <w:basedOn w:val="DefaultParagraphFont"/>
    <w:rsid w:val="00C84B67"/>
  </w:style>
  <w:style w:type="character" w:styleId="Hyperlink">
    <w:name w:val="Hyperlink"/>
    <w:basedOn w:val="DefaultParagraphFont"/>
    <w:uiPriority w:val="8"/>
    <w:unhideWhenUsed/>
    <w:qFormat/>
    <w:rsid w:val="00C84B67"/>
    <w:rPr>
      <w:color w:val="0000FF"/>
      <w:u w:val="single"/>
    </w:rPr>
  </w:style>
  <w:style w:type="character" w:customStyle="1" w:styleId="cf01">
    <w:name w:val="cf01"/>
    <w:basedOn w:val="DefaultParagraphFont"/>
    <w:rsid w:val="00C84B67"/>
    <w:rPr>
      <w:rFonts w:ascii="Segoe UI" w:hAnsi="Segoe UI" w:cs="Segoe UI" w:hint="default"/>
      <w:sz w:val="18"/>
      <w:szCs w:val="18"/>
    </w:rPr>
  </w:style>
  <w:style w:type="paragraph" w:customStyle="1" w:styleId="Default">
    <w:name w:val="Default"/>
    <w:rsid w:val="00C84B67"/>
    <w:pPr>
      <w:autoSpaceDE w:val="0"/>
      <w:autoSpaceDN w:val="0"/>
      <w:adjustRightInd w:val="0"/>
      <w:spacing w:after="0" w:line="240" w:lineRule="auto"/>
    </w:pPr>
    <w:rPr>
      <w:rFonts w:ascii="Verdana" w:eastAsiaTheme="minorEastAsia" w:hAnsi="Verdana" w:cs="Verdana"/>
      <w:color w:val="000000"/>
      <w:kern w:val="0"/>
      <w:sz w:val="24"/>
      <w:szCs w:val="24"/>
      <w:lang w:val="da-DK"/>
      <w14:ligatures w14:val="none"/>
    </w:rPr>
  </w:style>
  <w:style w:type="paragraph" w:styleId="Revision">
    <w:name w:val="Revision"/>
    <w:hidden/>
    <w:uiPriority w:val="99"/>
    <w:semiHidden/>
    <w:rsid w:val="00C84B67"/>
    <w:pPr>
      <w:spacing w:after="0" w:line="240" w:lineRule="auto"/>
    </w:pPr>
    <w:rPr>
      <w:rFonts w:eastAsiaTheme="minorEastAsia"/>
      <w:kern w:val="0"/>
      <w:lang w:val="da-DK"/>
      <w14:ligatures w14:val="none"/>
    </w:rPr>
  </w:style>
  <w:style w:type="paragraph" w:styleId="FootnoteText">
    <w:name w:val="footnote text"/>
    <w:basedOn w:val="Normal"/>
    <w:link w:val="FootnoteTextChar"/>
    <w:uiPriority w:val="8"/>
    <w:semiHidden/>
    <w:unhideWhenUsed/>
    <w:qFormat/>
    <w:rsid w:val="00C84B67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8"/>
    <w:semiHidden/>
    <w:rsid w:val="00C84B67"/>
    <w:rPr>
      <w:rFonts w:eastAsiaTheme="minorEastAsia"/>
      <w:kern w:val="0"/>
      <w:sz w:val="20"/>
      <w:szCs w:val="20"/>
      <w:lang w:val="da-DK"/>
      <w14:ligatures w14:val="none"/>
    </w:rPr>
  </w:style>
  <w:style w:type="character" w:styleId="FootnoteReference">
    <w:name w:val="footnote reference"/>
    <w:basedOn w:val="DefaultParagraphFont"/>
    <w:uiPriority w:val="99"/>
    <w:semiHidden/>
    <w:unhideWhenUsed/>
    <w:rsid w:val="00C84B67"/>
    <w:rPr>
      <w:vertAlign w:val="superscript"/>
    </w:rPr>
  </w:style>
  <w:style w:type="paragraph" w:customStyle="1" w:styleId="pf0">
    <w:name w:val="pf0"/>
    <w:basedOn w:val="Normal"/>
    <w:rsid w:val="00C84B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a-DK"/>
    </w:rPr>
  </w:style>
  <w:style w:type="character" w:customStyle="1" w:styleId="cf11">
    <w:name w:val="cf11"/>
    <w:basedOn w:val="DefaultParagraphFont"/>
    <w:rsid w:val="00C84B67"/>
    <w:rPr>
      <w:rFonts w:ascii="Segoe UI" w:hAnsi="Segoe UI" w:cs="Segoe UI" w:hint="default"/>
      <w:color w:val="222222"/>
      <w:sz w:val="18"/>
      <w:szCs w:val="18"/>
      <w:shd w:val="clear" w:color="auto" w:fill="FFFFFF"/>
    </w:rPr>
  </w:style>
  <w:style w:type="character" w:styleId="UnresolvedMention">
    <w:name w:val="Unresolved Mention"/>
    <w:basedOn w:val="DefaultParagraphFont"/>
    <w:uiPriority w:val="99"/>
    <w:semiHidden/>
    <w:unhideWhenUsed/>
    <w:rsid w:val="00C84B6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84B67"/>
    <w:rPr>
      <w:color w:val="96607D" w:themeColor="followed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C84B67"/>
  </w:style>
  <w:style w:type="table" w:styleId="GridTable6Colorful-Accent1">
    <w:name w:val="Grid Table 6 Colorful Accent 1"/>
    <w:basedOn w:val="TableNormal"/>
    <w:uiPriority w:val="51"/>
    <w:rsid w:val="00C84B67"/>
    <w:pPr>
      <w:spacing w:after="0" w:line="240" w:lineRule="auto"/>
    </w:pPr>
    <w:rPr>
      <w:color w:val="0F4761" w:themeColor="accent1" w:themeShade="BF"/>
      <w:kern w:val="0"/>
      <w:lang w:val="da-DK"/>
      <w14:ligatures w14:val="none"/>
    </w:rPr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  <w:insideV w:val="single" w:sz="4" w:space="0" w:color="45B0E1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45B0E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paragraph" w:styleId="TOC1">
    <w:name w:val="toc 1"/>
    <w:basedOn w:val="Normal"/>
    <w:next w:val="Normal"/>
    <w:uiPriority w:val="10"/>
    <w:semiHidden/>
    <w:rsid w:val="00C84B67"/>
    <w:pPr>
      <w:ind w:right="567"/>
    </w:pPr>
    <w:rPr>
      <w:rFonts w:eastAsiaTheme="minorHAnsi"/>
      <w:b/>
    </w:rPr>
  </w:style>
  <w:style w:type="paragraph" w:styleId="TOC2">
    <w:name w:val="toc 2"/>
    <w:basedOn w:val="Normal"/>
    <w:next w:val="Normal"/>
    <w:uiPriority w:val="10"/>
    <w:semiHidden/>
    <w:rsid w:val="00C84B67"/>
    <w:pPr>
      <w:ind w:right="567"/>
    </w:pPr>
    <w:rPr>
      <w:rFonts w:eastAsiaTheme="minorHAnsi"/>
    </w:rPr>
  </w:style>
  <w:style w:type="paragraph" w:styleId="TOC3">
    <w:name w:val="toc 3"/>
    <w:basedOn w:val="Normal"/>
    <w:next w:val="Normal"/>
    <w:uiPriority w:val="10"/>
    <w:semiHidden/>
    <w:rsid w:val="00C84B67"/>
    <w:pPr>
      <w:ind w:right="567"/>
    </w:pPr>
    <w:rPr>
      <w:rFonts w:eastAsiaTheme="minorHAnsi"/>
    </w:rPr>
  </w:style>
  <w:style w:type="paragraph" w:styleId="TOC4">
    <w:name w:val="toc 4"/>
    <w:basedOn w:val="Normal"/>
    <w:next w:val="Normal"/>
    <w:uiPriority w:val="10"/>
    <w:semiHidden/>
    <w:rsid w:val="00C84B67"/>
    <w:pPr>
      <w:ind w:right="567"/>
    </w:pPr>
    <w:rPr>
      <w:rFonts w:eastAsiaTheme="minorHAnsi"/>
    </w:rPr>
  </w:style>
  <w:style w:type="paragraph" w:styleId="TOC5">
    <w:name w:val="toc 5"/>
    <w:basedOn w:val="Normal"/>
    <w:next w:val="Normal"/>
    <w:uiPriority w:val="10"/>
    <w:semiHidden/>
    <w:rsid w:val="00C84B67"/>
    <w:pPr>
      <w:ind w:right="567"/>
    </w:pPr>
    <w:rPr>
      <w:rFonts w:eastAsiaTheme="minorHAnsi"/>
    </w:rPr>
  </w:style>
  <w:style w:type="paragraph" w:styleId="TOC6">
    <w:name w:val="toc 6"/>
    <w:basedOn w:val="Normal"/>
    <w:next w:val="Normal"/>
    <w:uiPriority w:val="10"/>
    <w:semiHidden/>
    <w:rsid w:val="00C84B67"/>
    <w:pPr>
      <w:ind w:right="567"/>
    </w:pPr>
    <w:rPr>
      <w:rFonts w:eastAsiaTheme="minorHAnsi"/>
    </w:rPr>
  </w:style>
  <w:style w:type="paragraph" w:styleId="TOC7">
    <w:name w:val="toc 7"/>
    <w:basedOn w:val="Normal"/>
    <w:next w:val="Normal"/>
    <w:uiPriority w:val="10"/>
    <w:semiHidden/>
    <w:rsid w:val="00C84B67"/>
    <w:pPr>
      <w:ind w:right="567"/>
    </w:pPr>
    <w:rPr>
      <w:rFonts w:eastAsiaTheme="minorHAnsi"/>
    </w:rPr>
  </w:style>
  <w:style w:type="paragraph" w:styleId="TOC8">
    <w:name w:val="toc 8"/>
    <w:basedOn w:val="Normal"/>
    <w:next w:val="Normal"/>
    <w:uiPriority w:val="10"/>
    <w:semiHidden/>
    <w:rsid w:val="00C84B67"/>
    <w:pPr>
      <w:ind w:right="567"/>
    </w:pPr>
    <w:rPr>
      <w:rFonts w:eastAsiaTheme="minorHAnsi"/>
    </w:rPr>
  </w:style>
  <w:style w:type="paragraph" w:styleId="TOC9">
    <w:name w:val="toc 9"/>
    <w:basedOn w:val="Normal"/>
    <w:next w:val="Normal"/>
    <w:uiPriority w:val="10"/>
    <w:semiHidden/>
    <w:rsid w:val="00C84B67"/>
    <w:pPr>
      <w:ind w:right="567"/>
    </w:pPr>
    <w:rPr>
      <w:rFonts w:eastAsiaTheme="minorHAnsi"/>
    </w:rPr>
  </w:style>
  <w:style w:type="paragraph" w:styleId="BlockText">
    <w:name w:val="Block Text"/>
    <w:basedOn w:val="Normal"/>
    <w:uiPriority w:val="99"/>
    <w:semiHidden/>
    <w:rsid w:val="00C84B67"/>
    <w:pPr>
      <w:pBdr>
        <w:top w:val="single" w:sz="2" w:space="10" w:color="7F7F7F" w:themeColor="text1" w:themeTint="80"/>
        <w:left w:val="single" w:sz="2" w:space="10" w:color="7F7F7F" w:themeColor="text1" w:themeTint="80"/>
        <w:bottom w:val="single" w:sz="2" w:space="10" w:color="7F7F7F" w:themeColor="text1" w:themeTint="80"/>
        <w:right w:val="single" w:sz="2" w:space="10" w:color="7F7F7F" w:themeColor="text1" w:themeTint="80"/>
      </w:pBdr>
      <w:ind w:left="1151" w:right="1151"/>
    </w:pPr>
    <w:rPr>
      <w:i/>
      <w:iCs/>
    </w:rPr>
  </w:style>
  <w:style w:type="paragraph" w:styleId="EndnoteText">
    <w:name w:val="endnote text"/>
    <w:basedOn w:val="Normal"/>
    <w:link w:val="EndnoteTextChar"/>
    <w:uiPriority w:val="8"/>
    <w:semiHidden/>
    <w:qFormat/>
    <w:rsid w:val="00C84B67"/>
    <w:pPr>
      <w:spacing w:after="120" w:line="240" w:lineRule="atLeast"/>
      <w:ind w:left="85" w:hanging="85"/>
    </w:pPr>
    <w:rPr>
      <w:rFonts w:eastAsiaTheme="minorHAnsi"/>
      <w:sz w:val="16"/>
      <w:szCs w:val="20"/>
    </w:rPr>
  </w:style>
  <w:style w:type="character" w:customStyle="1" w:styleId="EndnoteTextChar">
    <w:name w:val="Endnote Text Char"/>
    <w:basedOn w:val="DefaultParagraphFont"/>
    <w:link w:val="EndnoteText"/>
    <w:uiPriority w:val="8"/>
    <w:semiHidden/>
    <w:rsid w:val="00C84B67"/>
    <w:rPr>
      <w:kern w:val="0"/>
      <w:sz w:val="16"/>
      <w:szCs w:val="20"/>
      <w:lang w:val="da-DK"/>
      <w14:ligatures w14:val="none"/>
    </w:rPr>
  </w:style>
  <w:style w:type="character" w:styleId="EndnoteReference">
    <w:name w:val="endnote reference"/>
    <w:basedOn w:val="DefaultParagraphFont"/>
    <w:uiPriority w:val="99"/>
    <w:semiHidden/>
    <w:rsid w:val="00C84B67"/>
    <w:rPr>
      <w:vertAlign w:val="superscript"/>
      <w:lang w:val="da-DK"/>
    </w:rPr>
  </w:style>
  <w:style w:type="character" w:styleId="PageNumber">
    <w:name w:val="page number"/>
    <w:basedOn w:val="DefaultParagraphFont"/>
    <w:uiPriority w:val="99"/>
    <w:semiHidden/>
    <w:rsid w:val="00C84B67"/>
    <w:rPr>
      <w:sz w:val="16"/>
      <w:lang w:val="da-DK"/>
    </w:rPr>
  </w:style>
  <w:style w:type="paragraph" w:customStyle="1" w:styleId="Template">
    <w:name w:val="Template"/>
    <w:uiPriority w:val="9"/>
    <w:semiHidden/>
    <w:rsid w:val="00C84B67"/>
    <w:pPr>
      <w:spacing w:after="200" w:line="280" w:lineRule="atLeast"/>
    </w:pPr>
    <w:rPr>
      <w:rFonts w:ascii="Arial" w:hAnsi="Arial"/>
      <w:noProof/>
      <w:color w:val="333333"/>
      <w:kern w:val="0"/>
      <w:sz w:val="16"/>
      <w:lang w:val="da-DK"/>
      <w14:ligatures w14:val="none"/>
    </w:rPr>
  </w:style>
  <w:style w:type="paragraph" w:customStyle="1" w:styleId="Template-Adresse">
    <w:name w:val="Template - Adresse"/>
    <w:basedOn w:val="Template"/>
    <w:uiPriority w:val="9"/>
    <w:semiHidden/>
    <w:rsid w:val="00C84B67"/>
    <w:pPr>
      <w:tabs>
        <w:tab w:val="right" w:pos="1134"/>
        <w:tab w:val="left" w:pos="1276"/>
      </w:tabs>
      <w:spacing w:after="0" w:line="192" w:lineRule="atLeast"/>
      <w:ind w:left="1049"/>
    </w:pPr>
    <w:rPr>
      <w:rFonts w:eastAsia="Times New Roman" w:cs="Times New Roman"/>
      <w:szCs w:val="24"/>
    </w:rPr>
  </w:style>
  <w:style w:type="paragraph" w:customStyle="1" w:styleId="Template-Virksomhedsnavn">
    <w:name w:val="Template - Virksomheds navn"/>
    <w:basedOn w:val="Template-Adresse"/>
    <w:next w:val="Template-Adresse"/>
    <w:uiPriority w:val="9"/>
    <w:semiHidden/>
    <w:rsid w:val="00C84B67"/>
    <w:pPr>
      <w:spacing w:line="200" w:lineRule="atLeast"/>
    </w:pPr>
    <w:rPr>
      <w:b/>
    </w:rPr>
  </w:style>
  <w:style w:type="paragraph" w:styleId="TOAHeading">
    <w:name w:val="toa heading"/>
    <w:basedOn w:val="Normal"/>
    <w:next w:val="Normal"/>
    <w:uiPriority w:val="99"/>
    <w:semiHidden/>
    <w:rsid w:val="00C84B67"/>
    <w:pPr>
      <w:spacing w:after="520" w:line="360" w:lineRule="atLeast"/>
    </w:pPr>
    <w:rPr>
      <w:rFonts w:eastAsiaTheme="majorEastAsia" w:cstheme="majorBidi"/>
      <w:b/>
      <w:bCs/>
      <w:sz w:val="28"/>
      <w:szCs w:val="24"/>
    </w:rPr>
  </w:style>
  <w:style w:type="paragraph" w:styleId="TableofFigures">
    <w:name w:val="table of figures"/>
    <w:basedOn w:val="Normal"/>
    <w:next w:val="Normal"/>
    <w:uiPriority w:val="99"/>
    <w:semiHidden/>
    <w:rsid w:val="00C84B67"/>
    <w:pPr>
      <w:ind w:right="567"/>
    </w:pPr>
    <w:rPr>
      <w:rFonts w:eastAsiaTheme="minorHAnsi"/>
    </w:rPr>
  </w:style>
  <w:style w:type="paragraph" w:styleId="Signature">
    <w:name w:val="Signature"/>
    <w:basedOn w:val="Normal"/>
    <w:link w:val="SignatureChar"/>
    <w:uiPriority w:val="99"/>
    <w:semiHidden/>
    <w:rsid w:val="00C84B67"/>
    <w:pPr>
      <w:spacing w:line="240" w:lineRule="auto"/>
      <w:ind w:left="4252"/>
    </w:pPr>
    <w:rPr>
      <w:rFonts w:eastAsiaTheme="minorHAnsi"/>
    </w:rPr>
  </w:style>
  <w:style w:type="character" w:customStyle="1" w:styleId="SignatureChar">
    <w:name w:val="Signature Char"/>
    <w:basedOn w:val="DefaultParagraphFont"/>
    <w:link w:val="Signature"/>
    <w:uiPriority w:val="99"/>
    <w:semiHidden/>
    <w:rsid w:val="00C84B67"/>
    <w:rPr>
      <w:kern w:val="0"/>
      <w:lang w:val="da-DK"/>
      <w14:ligatures w14:val="none"/>
    </w:rPr>
  </w:style>
  <w:style w:type="character" w:styleId="PlaceholderText">
    <w:name w:val="Placeholder Text"/>
    <w:basedOn w:val="DefaultParagraphFont"/>
    <w:uiPriority w:val="99"/>
    <w:semiHidden/>
    <w:rsid w:val="00C84B67"/>
    <w:rPr>
      <w:color w:val="auto"/>
      <w:lang w:val="da-DK"/>
    </w:rPr>
  </w:style>
  <w:style w:type="paragraph" w:customStyle="1" w:styleId="Tabel">
    <w:name w:val="Tabel"/>
    <w:uiPriority w:val="4"/>
    <w:semiHidden/>
    <w:rsid w:val="00C84B67"/>
    <w:pPr>
      <w:spacing w:before="60" w:after="60" w:line="280" w:lineRule="atLeast"/>
      <w:ind w:left="113" w:right="113"/>
    </w:pPr>
    <w:rPr>
      <w:rFonts w:ascii="Arial" w:hAnsi="Arial" w:cs="Verdana"/>
      <w:color w:val="E97132" w:themeColor="accent2"/>
      <w:kern w:val="0"/>
      <w:sz w:val="18"/>
      <w:szCs w:val="18"/>
      <w:lang w:val="da-DK"/>
      <w14:ligatures w14:val="none"/>
    </w:rPr>
  </w:style>
  <w:style w:type="paragraph" w:customStyle="1" w:styleId="Tabel-Tekst">
    <w:name w:val="Tabel - Tekst"/>
    <w:basedOn w:val="Tabel"/>
    <w:uiPriority w:val="4"/>
    <w:rsid w:val="00C84B67"/>
  </w:style>
  <w:style w:type="paragraph" w:customStyle="1" w:styleId="Tabel-TekstTotal">
    <w:name w:val="Tabel - Tekst Total"/>
    <w:basedOn w:val="Tabel-Tekst"/>
    <w:uiPriority w:val="4"/>
    <w:rsid w:val="00C84B67"/>
    <w:rPr>
      <w:b/>
    </w:rPr>
  </w:style>
  <w:style w:type="paragraph" w:customStyle="1" w:styleId="Tabel-Tal">
    <w:name w:val="Tabel - Tal"/>
    <w:basedOn w:val="Tabel"/>
    <w:uiPriority w:val="4"/>
    <w:rsid w:val="00C84B67"/>
    <w:pPr>
      <w:jc w:val="right"/>
    </w:pPr>
  </w:style>
  <w:style w:type="paragraph" w:customStyle="1" w:styleId="Tabel-TalTotal">
    <w:name w:val="Tabel - Tal Total"/>
    <w:basedOn w:val="Tabel-Tal"/>
    <w:uiPriority w:val="4"/>
    <w:rsid w:val="00C84B67"/>
    <w:rPr>
      <w:b/>
    </w:rPr>
  </w:style>
  <w:style w:type="paragraph" w:styleId="TableofAuthorities">
    <w:name w:val="table of authorities"/>
    <w:basedOn w:val="Normal"/>
    <w:next w:val="Normal"/>
    <w:uiPriority w:val="99"/>
    <w:semiHidden/>
    <w:rsid w:val="00C84B67"/>
    <w:pPr>
      <w:ind w:right="567"/>
    </w:pPr>
    <w:rPr>
      <w:rFonts w:eastAsiaTheme="minorHAnsi"/>
    </w:rPr>
  </w:style>
  <w:style w:type="paragraph" w:styleId="NormalIndent">
    <w:name w:val="Normal Indent"/>
    <w:basedOn w:val="Normal"/>
    <w:uiPriority w:val="99"/>
    <w:semiHidden/>
    <w:rsid w:val="00C84B67"/>
    <w:pPr>
      <w:ind w:left="1134"/>
    </w:pPr>
    <w:rPr>
      <w:rFonts w:eastAsiaTheme="minorHAnsi"/>
    </w:rPr>
  </w:style>
  <w:style w:type="table" w:styleId="TableGrid">
    <w:name w:val="Table Grid"/>
    <w:basedOn w:val="TableNormal"/>
    <w:uiPriority w:val="39"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ocumentName">
    <w:name w:val="Document Name"/>
    <w:basedOn w:val="Normal"/>
    <w:uiPriority w:val="99"/>
    <w:semiHidden/>
    <w:rsid w:val="00C84B67"/>
    <w:pPr>
      <w:spacing w:line="360" w:lineRule="atLeast"/>
    </w:pPr>
    <w:rPr>
      <w:rFonts w:eastAsiaTheme="minorHAnsi"/>
      <w:b/>
      <w:caps/>
      <w:sz w:val="28"/>
    </w:rPr>
  </w:style>
  <w:style w:type="paragraph" w:customStyle="1" w:styleId="Template-Dato">
    <w:name w:val="Template - Dato"/>
    <w:basedOn w:val="Template"/>
    <w:uiPriority w:val="9"/>
    <w:semiHidden/>
    <w:rsid w:val="00C84B67"/>
  </w:style>
  <w:style w:type="table" w:customStyle="1" w:styleId="Blank">
    <w:name w:val="Blank"/>
    <w:basedOn w:val="TableNormal"/>
    <w:uiPriority w:val="99"/>
    <w:rsid w:val="00C84B67"/>
    <w:pPr>
      <w:spacing w:after="0" w:line="280" w:lineRule="atLeast"/>
    </w:pPr>
    <w:rPr>
      <w:rFonts w:ascii="Arial" w:hAnsi="Arial"/>
      <w:color w:val="333333"/>
      <w:kern w:val="0"/>
      <w:lang w:val="da-DK"/>
      <w14:ligatures w14:val="none"/>
    </w:rPr>
    <w:tblPr>
      <w:tblCellMar>
        <w:left w:w="0" w:type="dxa"/>
        <w:right w:w="0" w:type="dxa"/>
      </w:tblCellMar>
    </w:tblPr>
  </w:style>
  <w:style w:type="paragraph" w:customStyle="1" w:styleId="Template-Omrde">
    <w:name w:val="Template - Område"/>
    <w:basedOn w:val="Template"/>
    <w:next w:val="Template-Adresse"/>
    <w:uiPriority w:val="9"/>
    <w:semiHidden/>
    <w:rsid w:val="00C84B67"/>
    <w:pPr>
      <w:spacing w:after="0" w:line="190" w:lineRule="atLeast"/>
      <w:ind w:left="1049"/>
    </w:pPr>
    <w:rPr>
      <w:rFonts w:eastAsia="Times New Roman" w:cs="Times New Roman"/>
      <w:b/>
      <w:sz w:val="20"/>
      <w:szCs w:val="24"/>
    </w:rPr>
  </w:style>
  <w:style w:type="paragraph" w:customStyle="1" w:styleId="Dokumenttype">
    <w:name w:val="Dokumenttype"/>
    <w:basedOn w:val="Title"/>
    <w:uiPriority w:val="99"/>
    <w:semiHidden/>
    <w:rsid w:val="00C84B67"/>
    <w:pPr>
      <w:spacing w:after="0" w:line="300" w:lineRule="atLeast"/>
    </w:pPr>
    <w:rPr>
      <w:rFonts w:asciiTheme="minorHAnsi" w:hAnsiTheme="minorHAnsi"/>
      <w:b/>
      <w:caps/>
      <w:spacing w:val="0"/>
      <w:sz w:val="30"/>
      <w:szCs w:val="52"/>
    </w:rPr>
  </w:style>
  <w:style w:type="paragraph" w:customStyle="1" w:styleId="Template-Label">
    <w:name w:val="Template - Label"/>
    <w:basedOn w:val="Template"/>
    <w:uiPriority w:val="9"/>
    <w:semiHidden/>
    <w:rsid w:val="00C84B67"/>
    <w:rPr>
      <w:sz w:val="22"/>
    </w:rPr>
  </w:style>
  <w:style w:type="paragraph" w:customStyle="1" w:styleId="Data">
    <w:name w:val="Data"/>
    <w:basedOn w:val="Normal"/>
    <w:uiPriority w:val="99"/>
    <w:semiHidden/>
    <w:rsid w:val="00C84B67"/>
    <w:rPr>
      <w:rFonts w:eastAsiaTheme="minorHAnsi"/>
      <w:b/>
    </w:rPr>
  </w:style>
  <w:style w:type="numbering" w:styleId="111111">
    <w:name w:val="Outline List 2"/>
    <w:basedOn w:val="NoList"/>
    <w:uiPriority w:val="99"/>
    <w:semiHidden/>
    <w:rsid w:val="00C84B67"/>
    <w:pPr>
      <w:numPr>
        <w:numId w:val="19"/>
      </w:numPr>
    </w:pPr>
  </w:style>
  <w:style w:type="numbering" w:styleId="1ai">
    <w:name w:val="Outline List 1"/>
    <w:basedOn w:val="NoList"/>
    <w:uiPriority w:val="99"/>
    <w:semiHidden/>
    <w:rsid w:val="00C84B67"/>
    <w:pPr>
      <w:numPr>
        <w:numId w:val="17"/>
      </w:numPr>
    </w:pPr>
  </w:style>
  <w:style w:type="numbering" w:styleId="ArticleSection">
    <w:name w:val="Outline List 3"/>
    <w:basedOn w:val="NoList"/>
    <w:uiPriority w:val="99"/>
    <w:semiHidden/>
    <w:rsid w:val="00C84B67"/>
    <w:pPr>
      <w:numPr>
        <w:numId w:val="18"/>
      </w:numPr>
    </w:pPr>
  </w:style>
  <w:style w:type="paragraph" w:styleId="BalloonText">
    <w:name w:val="Balloon Text"/>
    <w:basedOn w:val="Normal"/>
    <w:link w:val="BalloonTextChar"/>
    <w:uiPriority w:val="99"/>
    <w:semiHidden/>
    <w:rsid w:val="00C84B67"/>
    <w:pPr>
      <w:spacing w:line="240" w:lineRule="auto"/>
    </w:pPr>
    <w:rPr>
      <w:rFonts w:ascii="Segoe UI" w:eastAsiaTheme="minorHAns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4B67"/>
    <w:rPr>
      <w:rFonts w:ascii="Segoe UI" w:hAnsi="Segoe UI" w:cs="Segoe UI"/>
      <w:kern w:val="0"/>
      <w:sz w:val="18"/>
      <w:szCs w:val="18"/>
      <w:lang w:val="da-DK"/>
      <w14:ligatures w14:val="none"/>
    </w:rPr>
  </w:style>
  <w:style w:type="paragraph" w:styleId="Bibliography">
    <w:name w:val="Bibliography"/>
    <w:basedOn w:val="Normal"/>
    <w:next w:val="Normal"/>
    <w:uiPriority w:val="99"/>
    <w:semiHidden/>
    <w:rsid w:val="00C84B67"/>
    <w:rPr>
      <w:rFonts w:eastAsiaTheme="minorHAnsi"/>
    </w:rPr>
  </w:style>
  <w:style w:type="paragraph" w:styleId="BodyText">
    <w:name w:val="Body Text"/>
    <w:basedOn w:val="Normal"/>
    <w:link w:val="BodyTextChar"/>
    <w:uiPriority w:val="99"/>
    <w:semiHidden/>
    <w:rsid w:val="00C84B67"/>
    <w:pPr>
      <w:spacing w:after="120"/>
    </w:pPr>
    <w:rPr>
      <w:rFonts w:eastAsiaTheme="minorHAnsi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C84B67"/>
    <w:rPr>
      <w:kern w:val="0"/>
      <w:lang w:val="da-DK"/>
      <w14:ligatures w14:val="none"/>
    </w:rPr>
  </w:style>
  <w:style w:type="paragraph" w:styleId="BodyText2">
    <w:name w:val="Body Text 2"/>
    <w:basedOn w:val="Normal"/>
    <w:link w:val="BodyText2Char"/>
    <w:uiPriority w:val="99"/>
    <w:semiHidden/>
    <w:rsid w:val="00C84B67"/>
    <w:pPr>
      <w:spacing w:after="120" w:line="480" w:lineRule="auto"/>
    </w:pPr>
    <w:rPr>
      <w:rFonts w:eastAsiaTheme="minorHAnsi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C84B67"/>
    <w:rPr>
      <w:kern w:val="0"/>
      <w:lang w:val="da-DK"/>
      <w14:ligatures w14:val="none"/>
    </w:rPr>
  </w:style>
  <w:style w:type="paragraph" w:styleId="BodyText3">
    <w:name w:val="Body Text 3"/>
    <w:basedOn w:val="Normal"/>
    <w:link w:val="BodyText3Char"/>
    <w:uiPriority w:val="99"/>
    <w:semiHidden/>
    <w:rsid w:val="00C84B67"/>
    <w:pPr>
      <w:spacing w:after="120"/>
    </w:pPr>
    <w:rPr>
      <w:rFonts w:eastAsiaTheme="minorHAnsi"/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C84B67"/>
    <w:rPr>
      <w:kern w:val="0"/>
      <w:sz w:val="16"/>
      <w:szCs w:val="16"/>
      <w:lang w:val="da-DK"/>
      <w14:ligatures w14:val="none"/>
    </w:rPr>
  </w:style>
  <w:style w:type="paragraph" w:styleId="BodyTextFirstIndent">
    <w:name w:val="Body Text First Indent"/>
    <w:basedOn w:val="BodyText"/>
    <w:link w:val="BodyTextFirstIndentChar"/>
    <w:uiPriority w:val="99"/>
    <w:semiHidden/>
    <w:rsid w:val="00C84B67"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C84B67"/>
    <w:rPr>
      <w:kern w:val="0"/>
      <w:lang w:val="da-DK"/>
      <w14:ligatures w14:val="none"/>
    </w:rPr>
  </w:style>
  <w:style w:type="paragraph" w:styleId="BodyTextIndent">
    <w:name w:val="Body Text Indent"/>
    <w:basedOn w:val="Normal"/>
    <w:link w:val="BodyTextIndentChar"/>
    <w:uiPriority w:val="99"/>
    <w:semiHidden/>
    <w:rsid w:val="00C84B67"/>
    <w:pPr>
      <w:spacing w:after="120"/>
      <w:ind w:left="283"/>
    </w:pPr>
    <w:rPr>
      <w:rFonts w:eastAsiaTheme="minorHAnsi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C84B67"/>
    <w:rPr>
      <w:kern w:val="0"/>
      <w:lang w:val="da-DK"/>
      <w14:ligatures w14:val="none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rsid w:val="00C84B67"/>
    <w:pPr>
      <w:spacing w:after="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C84B67"/>
    <w:rPr>
      <w:kern w:val="0"/>
      <w:lang w:val="da-DK"/>
      <w14:ligatures w14:val="none"/>
    </w:rPr>
  </w:style>
  <w:style w:type="paragraph" w:styleId="BodyTextIndent2">
    <w:name w:val="Body Text Indent 2"/>
    <w:basedOn w:val="Normal"/>
    <w:link w:val="BodyTextIndent2Char"/>
    <w:uiPriority w:val="99"/>
    <w:semiHidden/>
    <w:rsid w:val="00C84B67"/>
    <w:pPr>
      <w:spacing w:after="120" w:line="480" w:lineRule="auto"/>
      <w:ind w:left="283"/>
    </w:pPr>
    <w:rPr>
      <w:rFonts w:eastAsiaTheme="minorHAnsi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C84B67"/>
    <w:rPr>
      <w:kern w:val="0"/>
      <w:lang w:val="da-DK"/>
      <w14:ligatures w14:val="none"/>
    </w:rPr>
  </w:style>
  <w:style w:type="paragraph" w:styleId="BodyTextIndent3">
    <w:name w:val="Body Text Indent 3"/>
    <w:basedOn w:val="Normal"/>
    <w:link w:val="BodyTextIndent3Char"/>
    <w:uiPriority w:val="99"/>
    <w:semiHidden/>
    <w:rsid w:val="00C84B67"/>
    <w:pPr>
      <w:spacing w:after="120"/>
      <w:ind w:left="283"/>
    </w:pPr>
    <w:rPr>
      <w:rFonts w:eastAsiaTheme="minorHAnsi"/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C84B67"/>
    <w:rPr>
      <w:kern w:val="0"/>
      <w:sz w:val="16"/>
      <w:szCs w:val="16"/>
      <w:lang w:val="da-DK"/>
      <w14:ligatures w14:val="none"/>
    </w:rPr>
  </w:style>
  <w:style w:type="paragraph" w:styleId="Closing">
    <w:name w:val="Closing"/>
    <w:basedOn w:val="Normal"/>
    <w:link w:val="ClosingChar"/>
    <w:uiPriority w:val="99"/>
    <w:semiHidden/>
    <w:rsid w:val="00C84B67"/>
    <w:pPr>
      <w:spacing w:line="240" w:lineRule="auto"/>
      <w:ind w:left="4252"/>
    </w:pPr>
    <w:rPr>
      <w:rFonts w:eastAsiaTheme="minorHAnsi"/>
    </w:rPr>
  </w:style>
  <w:style w:type="character" w:customStyle="1" w:styleId="ClosingChar">
    <w:name w:val="Closing Char"/>
    <w:basedOn w:val="DefaultParagraphFont"/>
    <w:link w:val="Closing"/>
    <w:uiPriority w:val="99"/>
    <w:semiHidden/>
    <w:rsid w:val="00C84B67"/>
    <w:rPr>
      <w:kern w:val="0"/>
      <w:lang w:val="da-DK"/>
      <w14:ligatures w14:val="none"/>
    </w:rPr>
  </w:style>
  <w:style w:type="table" w:styleId="ColorfulGrid">
    <w:name w:val="Colorful Grid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000000" w:themeColor="text1"/>
      <w:kern w:val="0"/>
      <w:lang w:val="da-DK"/>
      <w14:ligatures w14:val="non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000000" w:themeColor="text1"/>
      <w:kern w:val="0"/>
      <w:lang w:val="da-DK"/>
      <w14:ligatures w14:val="non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1E4F5" w:themeFill="accent1" w:themeFillTint="33"/>
    </w:tcPr>
    <w:tblStylePr w:type="firstRow">
      <w:rPr>
        <w:b/>
        <w:bCs/>
      </w:rPr>
      <w:tblPr/>
      <w:tcPr>
        <w:shd w:val="clear" w:color="auto" w:fill="83CAE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3CAE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F476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F4761" w:themeFill="accent1" w:themeFillShade="BF"/>
      </w:tcPr>
    </w:tblStylePr>
    <w:tblStylePr w:type="band1Vert">
      <w:tblPr/>
      <w:tcPr>
        <w:shd w:val="clear" w:color="auto" w:fill="64BDE6" w:themeFill="accent1" w:themeFillTint="7F"/>
      </w:tcPr>
    </w:tblStylePr>
    <w:tblStylePr w:type="band1Horz">
      <w:tblPr/>
      <w:tcPr>
        <w:shd w:val="clear" w:color="auto" w:fill="64BDE6" w:themeFill="accent1" w:themeFillTint="7F"/>
      </w:tcPr>
    </w:tblStylePr>
  </w:style>
  <w:style w:type="table" w:styleId="ColorfulGrid-Accent2">
    <w:name w:val="Colorful Grid Accent 2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000000" w:themeColor="text1"/>
      <w:kern w:val="0"/>
      <w:lang w:val="da-DK"/>
      <w14:ligatures w14:val="non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AE2D5" w:themeFill="accent2" w:themeFillTint="33"/>
    </w:tcPr>
    <w:tblStylePr w:type="firstRow">
      <w:rPr>
        <w:b/>
        <w:bCs/>
      </w:rPr>
      <w:tblPr/>
      <w:tcPr>
        <w:shd w:val="clear" w:color="auto" w:fill="F6C5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6C5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BF4E1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BF4E14" w:themeFill="accent2" w:themeFillShade="BF"/>
      </w:tcPr>
    </w:tblStylePr>
    <w:tblStylePr w:type="band1Vert">
      <w:tblPr/>
      <w:tcPr>
        <w:shd w:val="clear" w:color="auto" w:fill="F4B798" w:themeFill="accent2" w:themeFillTint="7F"/>
      </w:tcPr>
    </w:tblStylePr>
    <w:tblStylePr w:type="band1Horz">
      <w:tblPr/>
      <w:tcPr>
        <w:shd w:val="clear" w:color="auto" w:fill="F4B798" w:themeFill="accent2" w:themeFillTint="7F"/>
      </w:tcPr>
    </w:tblStylePr>
  </w:style>
  <w:style w:type="table" w:styleId="ColorfulGrid-Accent3">
    <w:name w:val="Colorful Grid Accent 3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000000" w:themeColor="text1"/>
      <w:kern w:val="0"/>
      <w:lang w:val="da-DK"/>
      <w14:ligatures w14:val="non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1F0C7" w:themeFill="accent3" w:themeFillTint="33"/>
    </w:tcPr>
    <w:tblStylePr w:type="firstRow">
      <w:rPr>
        <w:b/>
        <w:bCs/>
      </w:rPr>
      <w:tblPr/>
      <w:tcPr>
        <w:shd w:val="clear" w:color="auto" w:fill="84E290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4E290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124F1A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124F1A" w:themeFill="accent3" w:themeFillShade="BF"/>
      </w:tcPr>
    </w:tblStylePr>
    <w:tblStylePr w:type="band1Vert">
      <w:tblPr/>
      <w:tcPr>
        <w:shd w:val="clear" w:color="auto" w:fill="66DB75" w:themeFill="accent3" w:themeFillTint="7F"/>
      </w:tcPr>
    </w:tblStylePr>
    <w:tblStylePr w:type="band1Horz">
      <w:tblPr/>
      <w:tcPr>
        <w:shd w:val="clear" w:color="auto" w:fill="66DB75" w:themeFill="accent3" w:themeFillTint="7F"/>
      </w:tcPr>
    </w:tblStylePr>
  </w:style>
  <w:style w:type="table" w:styleId="ColorfulGrid-Accent4">
    <w:name w:val="Colorful Grid Accent 4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000000" w:themeColor="text1"/>
      <w:kern w:val="0"/>
      <w:lang w:val="da-DK"/>
      <w14:ligatures w14:val="non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AEDFB" w:themeFill="accent4" w:themeFillTint="33"/>
    </w:tcPr>
    <w:tblStylePr w:type="firstRow">
      <w:rPr>
        <w:b/>
        <w:bCs/>
      </w:rPr>
      <w:tblPr/>
      <w:tcPr>
        <w:shd w:val="clear" w:color="auto" w:fill="95DCF7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5DCF7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0B769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0B769F" w:themeFill="accent4" w:themeFillShade="BF"/>
      </w:tcPr>
    </w:tblStylePr>
    <w:tblStylePr w:type="band1Vert">
      <w:tblPr/>
      <w:tcPr>
        <w:shd w:val="clear" w:color="auto" w:fill="7BD3F5" w:themeFill="accent4" w:themeFillTint="7F"/>
      </w:tcPr>
    </w:tblStylePr>
    <w:tblStylePr w:type="band1Horz">
      <w:tblPr/>
      <w:tcPr>
        <w:shd w:val="clear" w:color="auto" w:fill="7BD3F5" w:themeFill="accent4" w:themeFillTint="7F"/>
      </w:tcPr>
    </w:tblStylePr>
  </w:style>
  <w:style w:type="table" w:styleId="ColorfulGrid-Accent5">
    <w:name w:val="Colorful Grid Accent 5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000000" w:themeColor="text1"/>
      <w:kern w:val="0"/>
      <w:lang w:val="da-DK"/>
      <w14:ligatures w14:val="non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CEED" w:themeFill="accent5" w:themeFillTint="33"/>
    </w:tcPr>
    <w:tblStylePr w:type="firstRow">
      <w:rPr>
        <w:b/>
        <w:bCs/>
      </w:rPr>
      <w:tblPr/>
      <w:tcPr>
        <w:shd w:val="clear" w:color="auto" w:fill="E59EDC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9EDC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77206D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77206D" w:themeFill="accent5" w:themeFillShade="BF"/>
      </w:tcPr>
    </w:tblStylePr>
    <w:tblStylePr w:type="band1Vert">
      <w:tblPr/>
      <w:tcPr>
        <w:shd w:val="clear" w:color="auto" w:fill="DE86D4" w:themeFill="accent5" w:themeFillTint="7F"/>
      </w:tcPr>
    </w:tblStylePr>
    <w:tblStylePr w:type="band1Horz">
      <w:tblPr/>
      <w:tcPr>
        <w:shd w:val="clear" w:color="auto" w:fill="DE86D4" w:themeFill="accent5" w:themeFillTint="7F"/>
      </w:tcPr>
    </w:tblStylePr>
  </w:style>
  <w:style w:type="table" w:styleId="ColorfulGrid-Accent6">
    <w:name w:val="Colorful Grid Accent 6"/>
    <w:basedOn w:val="TableNormal"/>
    <w:uiPriority w:val="99"/>
    <w:unhideWhenUsed/>
    <w:rsid w:val="00C84B67"/>
    <w:pPr>
      <w:spacing w:after="200" w:line="280" w:lineRule="atLeast"/>
    </w:pPr>
    <w:rPr>
      <w:rFonts w:ascii="Arial" w:hAnsi="Arial"/>
      <w:color w:val="000000" w:themeColor="text1"/>
      <w:kern w:val="0"/>
      <w:lang w:val="da-DK"/>
      <w14:ligatures w14:val="non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F2D0" w:themeFill="accent6" w:themeFillTint="33"/>
    </w:tcPr>
    <w:tblStylePr w:type="firstRow">
      <w:rPr>
        <w:b/>
        <w:bCs/>
      </w:rPr>
      <w:tblPr/>
      <w:tcPr>
        <w:shd w:val="clear" w:color="auto" w:fill="B3E5A1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3E5A1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A7C22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A7C22" w:themeFill="accent6" w:themeFillShade="BF"/>
      </w:tcPr>
    </w:tblStylePr>
    <w:tblStylePr w:type="band1Vert">
      <w:tblPr/>
      <w:tcPr>
        <w:shd w:val="clear" w:color="auto" w:fill="A0DF8A" w:themeFill="accent6" w:themeFillTint="7F"/>
      </w:tcPr>
    </w:tblStylePr>
    <w:tblStylePr w:type="band1Horz">
      <w:tblPr/>
      <w:tcPr>
        <w:shd w:val="clear" w:color="auto" w:fill="A0DF8A" w:themeFill="accent6" w:themeFillTint="7F"/>
      </w:tcPr>
    </w:tblStylePr>
  </w:style>
  <w:style w:type="table" w:styleId="ColorfulList">
    <w:name w:val="Colorful List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000000" w:themeColor="text1"/>
      <w:kern w:val="0"/>
      <w:lang w:val="da-DK"/>
      <w14:ligatures w14:val="none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5416" w:themeFill="accent2" w:themeFillShade="CC"/>
      </w:tcPr>
    </w:tblStylePr>
    <w:tblStylePr w:type="lastRow">
      <w:rPr>
        <w:b/>
        <w:bCs/>
        <w:color w:val="CC5416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000000" w:themeColor="text1"/>
      <w:kern w:val="0"/>
      <w:lang w:val="da-DK"/>
      <w14:ligatures w14:val="none"/>
    </w:rPr>
    <w:tblPr>
      <w:tblStyleRowBandSize w:val="1"/>
      <w:tblStyleColBandSize w:val="1"/>
    </w:tblPr>
    <w:tcPr>
      <w:shd w:val="clear" w:color="auto" w:fill="E0F2FA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5416" w:themeFill="accent2" w:themeFillShade="CC"/>
      </w:tcPr>
    </w:tblStylePr>
    <w:tblStylePr w:type="lastRow">
      <w:rPr>
        <w:b/>
        <w:bCs/>
        <w:color w:val="CC5416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EF2" w:themeFill="accent1" w:themeFillTint="3F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ColorfulList-Accent2">
    <w:name w:val="Colorful List Accent 2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000000" w:themeColor="text1"/>
      <w:kern w:val="0"/>
      <w:lang w:val="da-DK"/>
      <w14:ligatures w14:val="none"/>
    </w:rPr>
    <w:tblPr>
      <w:tblStyleRowBandSize w:val="1"/>
      <w:tblStyleColBandSize w:val="1"/>
    </w:tblPr>
    <w:tcPr>
      <w:shd w:val="clear" w:color="auto" w:fill="FCF0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5416" w:themeFill="accent2" w:themeFillShade="CC"/>
      </w:tcPr>
    </w:tblStylePr>
    <w:tblStylePr w:type="lastRow">
      <w:rPr>
        <w:b/>
        <w:bCs/>
        <w:color w:val="CC5416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BCC" w:themeFill="accent2" w:themeFillTint="3F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ColorfulList-Accent3">
    <w:name w:val="Colorful List Accent 3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000000" w:themeColor="text1"/>
      <w:kern w:val="0"/>
      <w:lang w:val="da-DK"/>
      <w14:ligatures w14:val="none"/>
    </w:rPr>
    <w:tblPr>
      <w:tblStyleRowBandSize w:val="1"/>
      <w:tblStyleColBandSize w:val="1"/>
    </w:tblPr>
    <w:tcPr>
      <w:shd w:val="clear" w:color="auto" w:fill="E0F8E3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C7EAA" w:themeFill="accent4" w:themeFillShade="CC"/>
      </w:tcPr>
    </w:tblStylePr>
    <w:tblStylePr w:type="lastRow">
      <w:rPr>
        <w:b/>
        <w:bCs/>
        <w:color w:val="0C7EAA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3EDBA" w:themeFill="accent3" w:themeFillTint="3F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ColorfulList-Accent4">
    <w:name w:val="Colorful List Accent 4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000000" w:themeColor="text1"/>
      <w:kern w:val="0"/>
      <w:lang w:val="da-DK"/>
      <w14:ligatures w14:val="none"/>
    </w:rPr>
    <w:tblPr>
      <w:tblStyleRowBandSize w:val="1"/>
      <w:tblStyleColBandSize w:val="1"/>
    </w:tblPr>
    <w:tcPr>
      <w:shd w:val="clear" w:color="auto" w:fill="E5F6F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4551C" w:themeFill="accent3" w:themeFillShade="CC"/>
      </w:tcPr>
    </w:tblStylePr>
    <w:tblStylePr w:type="lastRow">
      <w:rPr>
        <w:b/>
        <w:bCs/>
        <w:color w:val="14551C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DE9FA" w:themeFill="accent4" w:themeFillTint="3F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ColorfulList-Accent5">
    <w:name w:val="Colorful List Accent 5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000000" w:themeColor="text1"/>
      <w:kern w:val="0"/>
      <w:lang w:val="da-DK"/>
      <w14:ligatures w14:val="none"/>
    </w:rPr>
    <w:tblPr>
      <w:tblStyleRowBandSize w:val="1"/>
      <w:tblStyleColBandSize w:val="1"/>
    </w:tblPr>
    <w:tcPr>
      <w:shd w:val="clear" w:color="auto" w:fill="F8E7F6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E8524" w:themeFill="accent6" w:themeFillShade="CC"/>
      </w:tcPr>
    </w:tblStylePr>
    <w:tblStylePr w:type="lastRow">
      <w:rPr>
        <w:b/>
        <w:bCs/>
        <w:color w:val="3E8524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C3E9" w:themeFill="accent5" w:themeFillTint="3F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ColorfulList-Accent6">
    <w:name w:val="Colorful List Accent 6"/>
    <w:basedOn w:val="TableNormal"/>
    <w:uiPriority w:val="99"/>
    <w:unhideWhenUsed/>
    <w:rsid w:val="00C84B67"/>
    <w:pPr>
      <w:spacing w:after="200" w:line="280" w:lineRule="atLeast"/>
    </w:pPr>
    <w:rPr>
      <w:rFonts w:ascii="Arial" w:hAnsi="Arial"/>
      <w:color w:val="000000" w:themeColor="text1"/>
      <w:kern w:val="0"/>
      <w:lang w:val="da-DK"/>
      <w14:ligatures w14:val="none"/>
    </w:rPr>
    <w:tblPr>
      <w:tblStyleRowBandSize w:val="1"/>
      <w:tblStyleColBandSize w:val="1"/>
    </w:tblPr>
    <w:tcPr>
      <w:shd w:val="clear" w:color="auto" w:fill="ECF8E8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F2275" w:themeFill="accent5" w:themeFillShade="CC"/>
      </w:tcPr>
    </w:tblStylePr>
    <w:tblStylePr w:type="lastRow">
      <w:rPr>
        <w:b/>
        <w:bCs/>
        <w:color w:val="7F227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EFC5" w:themeFill="accent6" w:themeFillTint="3F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table" w:styleId="ColorfulShading">
    <w:name w:val="Colorful Shading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000000" w:themeColor="text1"/>
      <w:kern w:val="0"/>
      <w:lang w:val="da-DK"/>
      <w14:ligatures w14:val="none"/>
    </w:rPr>
    <w:tblPr>
      <w:tblStyleRowBandSize w:val="1"/>
      <w:tblStyleColBandSize w:val="1"/>
      <w:tblBorders>
        <w:top w:val="single" w:sz="24" w:space="0" w:color="E9713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9713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000000" w:themeColor="text1"/>
      <w:kern w:val="0"/>
      <w:lang w:val="da-DK"/>
      <w14:ligatures w14:val="none"/>
    </w:rPr>
    <w:tblPr>
      <w:tblStyleRowBandSize w:val="1"/>
      <w:tblStyleColBandSize w:val="1"/>
      <w:tblBorders>
        <w:top w:val="single" w:sz="24" w:space="0" w:color="E97132" w:themeColor="accent2"/>
        <w:left w:val="single" w:sz="4" w:space="0" w:color="156082" w:themeColor="accent1"/>
        <w:bottom w:val="single" w:sz="4" w:space="0" w:color="156082" w:themeColor="accent1"/>
        <w:right w:val="single" w:sz="4" w:space="0" w:color="156082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F2FA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9713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C394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C394D" w:themeColor="accent1" w:themeShade="99"/>
          <w:insideV w:val="nil"/>
        </w:tcBorders>
        <w:shd w:val="clear" w:color="auto" w:fill="0C394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394D" w:themeFill="accent1" w:themeFillShade="99"/>
      </w:tcPr>
    </w:tblStylePr>
    <w:tblStylePr w:type="band1Vert">
      <w:tblPr/>
      <w:tcPr>
        <w:shd w:val="clear" w:color="auto" w:fill="83CAEB" w:themeFill="accent1" w:themeFillTint="66"/>
      </w:tcPr>
    </w:tblStylePr>
    <w:tblStylePr w:type="band1Horz">
      <w:tblPr/>
      <w:tcPr>
        <w:shd w:val="clear" w:color="auto" w:fill="64BDE6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000000" w:themeColor="text1"/>
      <w:kern w:val="0"/>
      <w:lang w:val="da-DK"/>
      <w14:ligatures w14:val="none"/>
    </w:rPr>
    <w:tblPr>
      <w:tblStyleRowBandSize w:val="1"/>
      <w:tblStyleColBandSize w:val="1"/>
      <w:tblBorders>
        <w:top w:val="single" w:sz="24" w:space="0" w:color="E97132" w:themeColor="accent2"/>
        <w:left w:val="single" w:sz="4" w:space="0" w:color="E97132" w:themeColor="accent2"/>
        <w:bottom w:val="single" w:sz="4" w:space="0" w:color="E97132" w:themeColor="accent2"/>
        <w:right w:val="single" w:sz="4" w:space="0" w:color="E9713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F0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9713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3F10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3F10" w:themeColor="accent2" w:themeShade="99"/>
          <w:insideV w:val="nil"/>
        </w:tcBorders>
        <w:shd w:val="clear" w:color="auto" w:fill="993F10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3F10" w:themeFill="accent2" w:themeFillShade="99"/>
      </w:tcPr>
    </w:tblStylePr>
    <w:tblStylePr w:type="band1Vert">
      <w:tblPr/>
      <w:tcPr>
        <w:shd w:val="clear" w:color="auto" w:fill="F6C5AC" w:themeFill="accent2" w:themeFillTint="66"/>
      </w:tcPr>
    </w:tblStylePr>
    <w:tblStylePr w:type="band1Horz">
      <w:tblPr/>
      <w:tcPr>
        <w:shd w:val="clear" w:color="auto" w:fill="F4B7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000000" w:themeColor="text1"/>
      <w:kern w:val="0"/>
      <w:lang w:val="da-DK"/>
      <w14:ligatures w14:val="none"/>
    </w:rPr>
    <w:tblPr>
      <w:tblStyleRowBandSize w:val="1"/>
      <w:tblStyleColBandSize w:val="1"/>
      <w:tblBorders>
        <w:top w:val="single" w:sz="24" w:space="0" w:color="0F9ED5" w:themeColor="accent4"/>
        <w:left w:val="single" w:sz="4" w:space="0" w:color="196B24" w:themeColor="accent3"/>
        <w:bottom w:val="single" w:sz="4" w:space="0" w:color="196B24" w:themeColor="accent3"/>
        <w:right w:val="single" w:sz="4" w:space="0" w:color="196B24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F8E3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F9ED5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F4015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F4015" w:themeColor="accent3" w:themeShade="99"/>
          <w:insideV w:val="nil"/>
        </w:tcBorders>
        <w:shd w:val="clear" w:color="auto" w:fill="0F4015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F4015" w:themeFill="accent3" w:themeFillShade="99"/>
      </w:tcPr>
    </w:tblStylePr>
    <w:tblStylePr w:type="band1Vert">
      <w:tblPr/>
      <w:tcPr>
        <w:shd w:val="clear" w:color="auto" w:fill="84E290" w:themeFill="accent3" w:themeFillTint="66"/>
      </w:tcPr>
    </w:tblStylePr>
    <w:tblStylePr w:type="band1Horz">
      <w:tblPr/>
      <w:tcPr>
        <w:shd w:val="clear" w:color="auto" w:fill="66DB75" w:themeFill="accent3" w:themeFillTint="7F"/>
      </w:tcPr>
    </w:tblStylePr>
  </w:style>
  <w:style w:type="table" w:styleId="ColorfulShading-Accent4">
    <w:name w:val="Colorful Shading Accent 4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000000" w:themeColor="text1"/>
      <w:kern w:val="0"/>
      <w:lang w:val="da-DK"/>
      <w14:ligatures w14:val="none"/>
    </w:rPr>
    <w:tblPr>
      <w:tblStyleRowBandSize w:val="1"/>
      <w:tblStyleColBandSize w:val="1"/>
      <w:tblBorders>
        <w:top w:val="single" w:sz="24" w:space="0" w:color="196B24" w:themeColor="accent3"/>
        <w:left w:val="single" w:sz="4" w:space="0" w:color="0F9ED5" w:themeColor="accent4"/>
        <w:bottom w:val="single" w:sz="4" w:space="0" w:color="0F9ED5" w:themeColor="accent4"/>
        <w:right w:val="single" w:sz="4" w:space="0" w:color="0F9ED5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F6F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196B24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95E7F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95E7F" w:themeColor="accent4" w:themeShade="99"/>
          <w:insideV w:val="nil"/>
        </w:tcBorders>
        <w:shd w:val="clear" w:color="auto" w:fill="095E7F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5E7F" w:themeFill="accent4" w:themeFillShade="99"/>
      </w:tcPr>
    </w:tblStylePr>
    <w:tblStylePr w:type="band1Vert">
      <w:tblPr/>
      <w:tcPr>
        <w:shd w:val="clear" w:color="auto" w:fill="95DCF7" w:themeFill="accent4" w:themeFillTint="66"/>
      </w:tcPr>
    </w:tblStylePr>
    <w:tblStylePr w:type="band1Horz">
      <w:tblPr/>
      <w:tcPr>
        <w:shd w:val="clear" w:color="auto" w:fill="7BD3F5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000000" w:themeColor="text1"/>
      <w:kern w:val="0"/>
      <w:lang w:val="da-DK"/>
      <w14:ligatures w14:val="none"/>
    </w:rPr>
    <w:tblPr>
      <w:tblStyleRowBandSize w:val="1"/>
      <w:tblStyleColBandSize w:val="1"/>
      <w:tblBorders>
        <w:top w:val="single" w:sz="24" w:space="0" w:color="4EA72E" w:themeColor="accent6"/>
        <w:left w:val="single" w:sz="4" w:space="0" w:color="A02B93" w:themeColor="accent5"/>
        <w:bottom w:val="single" w:sz="4" w:space="0" w:color="A02B93" w:themeColor="accent5"/>
        <w:right w:val="single" w:sz="4" w:space="0" w:color="A02B93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7F6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EA72E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F1957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F1957" w:themeColor="accent5" w:themeShade="99"/>
          <w:insideV w:val="nil"/>
        </w:tcBorders>
        <w:shd w:val="clear" w:color="auto" w:fill="5F1957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1957" w:themeFill="accent5" w:themeFillShade="99"/>
      </w:tcPr>
    </w:tblStylePr>
    <w:tblStylePr w:type="band1Vert">
      <w:tblPr/>
      <w:tcPr>
        <w:shd w:val="clear" w:color="auto" w:fill="E59EDC" w:themeFill="accent5" w:themeFillTint="66"/>
      </w:tcPr>
    </w:tblStylePr>
    <w:tblStylePr w:type="band1Horz">
      <w:tblPr/>
      <w:tcPr>
        <w:shd w:val="clear" w:color="auto" w:fill="DE86D4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99"/>
    <w:unhideWhenUsed/>
    <w:rsid w:val="00C84B67"/>
    <w:pPr>
      <w:spacing w:after="200" w:line="280" w:lineRule="atLeast"/>
    </w:pPr>
    <w:rPr>
      <w:rFonts w:ascii="Arial" w:hAnsi="Arial"/>
      <w:color w:val="000000" w:themeColor="text1"/>
      <w:kern w:val="0"/>
      <w:lang w:val="da-DK"/>
      <w14:ligatures w14:val="none"/>
    </w:rPr>
    <w:tblPr>
      <w:tblStyleRowBandSize w:val="1"/>
      <w:tblStyleColBandSize w:val="1"/>
      <w:tblBorders>
        <w:top w:val="single" w:sz="24" w:space="0" w:color="A02B93" w:themeColor="accent5"/>
        <w:left w:val="single" w:sz="4" w:space="0" w:color="4EA72E" w:themeColor="accent6"/>
        <w:bottom w:val="single" w:sz="4" w:space="0" w:color="4EA72E" w:themeColor="accent6"/>
        <w:right w:val="single" w:sz="4" w:space="0" w:color="4EA72E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8E8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02B93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641B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E641B" w:themeColor="accent6" w:themeShade="99"/>
          <w:insideV w:val="nil"/>
        </w:tcBorders>
        <w:shd w:val="clear" w:color="auto" w:fill="2E641B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641B" w:themeFill="accent6" w:themeFillShade="99"/>
      </w:tcPr>
    </w:tblStylePr>
    <w:tblStylePr w:type="band1Vert">
      <w:tblPr/>
      <w:tcPr>
        <w:shd w:val="clear" w:color="auto" w:fill="B3E5A1" w:themeFill="accent6" w:themeFillTint="66"/>
      </w:tcPr>
    </w:tblStylePr>
    <w:tblStylePr w:type="band1Horz">
      <w:tblPr/>
      <w:tcPr>
        <w:shd w:val="clear" w:color="auto" w:fill="A0DF8A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arkList">
    <w:name w:val="Dark List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FFFFFF" w:themeColor="background1"/>
      <w:kern w:val="0"/>
      <w:lang w:val="da-DK"/>
      <w14:ligatures w14:val="none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FFFFFF" w:themeColor="background1"/>
      <w:kern w:val="0"/>
      <w:lang w:val="da-DK"/>
      <w14:ligatures w14:val="none"/>
    </w:rPr>
    <w:tblPr>
      <w:tblStyleRowBandSize w:val="1"/>
      <w:tblStyleColBandSize w:val="1"/>
    </w:tblPr>
    <w:tcPr>
      <w:shd w:val="clear" w:color="auto" w:fill="156082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A2F4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F476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F476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F476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F4761" w:themeFill="accent1" w:themeFillShade="BF"/>
      </w:tcPr>
    </w:tblStylePr>
  </w:style>
  <w:style w:type="table" w:styleId="DarkList-Accent2">
    <w:name w:val="Dark List Accent 2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FFFFFF" w:themeColor="background1"/>
      <w:kern w:val="0"/>
      <w:lang w:val="da-DK"/>
      <w14:ligatures w14:val="none"/>
    </w:rPr>
    <w:tblPr>
      <w:tblStyleRowBandSize w:val="1"/>
      <w:tblStyleColBandSize w:val="1"/>
    </w:tblPr>
    <w:tcPr>
      <w:shd w:val="clear" w:color="auto" w:fill="E9713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340D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4E1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4E1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4E1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4E14" w:themeFill="accent2" w:themeFillShade="BF"/>
      </w:tcPr>
    </w:tblStylePr>
  </w:style>
  <w:style w:type="table" w:styleId="DarkList-Accent3">
    <w:name w:val="Dark List Accent 3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FFFFFF" w:themeColor="background1"/>
      <w:kern w:val="0"/>
      <w:lang w:val="da-DK"/>
      <w14:ligatures w14:val="none"/>
    </w:rPr>
    <w:tblPr>
      <w:tblStyleRowBandSize w:val="1"/>
      <w:tblStyleColBandSize w:val="1"/>
    </w:tblPr>
    <w:tcPr>
      <w:shd w:val="clear" w:color="auto" w:fill="196B24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C3511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24F1A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24F1A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24F1A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24F1A" w:themeFill="accent3" w:themeFillShade="BF"/>
      </w:tcPr>
    </w:tblStylePr>
  </w:style>
  <w:style w:type="table" w:styleId="DarkList-Accent4">
    <w:name w:val="Dark List Accent 4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FFFFFF" w:themeColor="background1"/>
      <w:kern w:val="0"/>
      <w:lang w:val="da-DK"/>
      <w14:ligatures w14:val="none"/>
    </w:rPr>
    <w:tblPr>
      <w:tblStyleRowBandSize w:val="1"/>
      <w:tblStyleColBandSize w:val="1"/>
    </w:tblPr>
    <w:tcPr>
      <w:shd w:val="clear" w:color="auto" w:fill="0F9ED5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74E69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B769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B769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B769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B769F" w:themeFill="accent4" w:themeFillShade="BF"/>
      </w:tcPr>
    </w:tblStylePr>
  </w:style>
  <w:style w:type="table" w:styleId="DarkList-Accent5">
    <w:name w:val="Dark List Accent 5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FFFFFF" w:themeColor="background1"/>
      <w:kern w:val="0"/>
      <w:lang w:val="da-DK"/>
      <w14:ligatures w14:val="none"/>
    </w:rPr>
    <w:tblPr>
      <w:tblStyleRowBandSize w:val="1"/>
      <w:tblStyleColBandSize w:val="1"/>
    </w:tblPr>
    <w:tcPr>
      <w:shd w:val="clear" w:color="auto" w:fill="A02B93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F1548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7206D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7206D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06D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06D" w:themeFill="accent5" w:themeFillShade="BF"/>
      </w:tcPr>
    </w:tblStylePr>
  </w:style>
  <w:style w:type="table" w:styleId="DarkList-Accent6">
    <w:name w:val="Dark List Accent 6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FFFFFF" w:themeColor="background1"/>
      <w:kern w:val="0"/>
      <w:lang w:val="da-DK"/>
      <w14:ligatures w14:val="none"/>
    </w:rPr>
    <w:tblPr>
      <w:tblStyleRowBandSize w:val="1"/>
      <w:tblStyleColBandSize w:val="1"/>
    </w:tblPr>
    <w:tcPr>
      <w:shd w:val="clear" w:color="auto" w:fill="4EA72E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5317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A7C22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A7C22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7C22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7C22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rsid w:val="00C84B67"/>
    <w:rPr>
      <w:rFonts w:eastAsiaTheme="minorHAnsi"/>
    </w:rPr>
  </w:style>
  <w:style w:type="character" w:customStyle="1" w:styleId="DateChar">
    <w:name w:val="Date Char"/>
    <w:basedOn w:val="DefaultParagraphFont"/>
    <w:link w:val="Date"/>
    <w:uiPriority w:val="99"/>
    <w:semiHidden/>
    <w:rsid w:val="00C84B67"/>
    <w:rPr>
      <w:kern w:val="0"/>
      <w:lang w:val="da-DK"/>
      <w14:ligatures w14:val="none"/>
    </w:rPr>
  </w:style>
  <w:style w:type="paragraph" w:styleId="DocumentMap">
    <w:name w:val="Document Map"/>
    <w:basedOn w:val="Normal"/>
    <w:link w:val="DocumentMapChar"/>
    <w:uiPriority w:val="99"/>
    <w:semiHidden/>
    <w:rsid w:val="00C84B67"/>
    <w:pPr>
      <w:spacing w:line="240" w:lineRule="auto"/>
    </w:pPr>
    <w:rPr>
      <w:rFonts w:ascii="Segoe UI" w:eastAsiaTheme="minorHAnsi" w:hAnsi="Segoe UI" w:cs="Segoe UI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C84B67"/>
    <w:rPr>
      <w:rFonts w:ascii="Segoe UI" w:hAnsi="Segoe UI" w:cs="Segoe UI"/>
      <w:kern w:val="0"/>
      <w:sz w:val="16"/>
      <w:szCs w:val="16"/>
      <w:lang w:val="da-DK"/>
      <w14:ligatures w14:val="none"/>
    </w:rPr>
  </w:style>
  <w:style w:type="paragraph" w:styleId="E-mailSignature">
    <w:name w:val="E-mail Signature"/>
    <w:basedOn w:val="Normal"/>
    <w:link w:val="E-mailSignatureChar"/>
    <w:uiPriority w:val="99"/>
    <w:semiHidden/>
    <w:rsid w:val="00C84B67"/>
    <w:pPr>
      <w:spacing w:line="240" w:lineRule="auto"/>
    </w:pPr>
    <w:rPr>
      <w:rFonts w:eastAsiaTheme="minorHAnsi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C84B67"/>
    <w:rPr>
      <w:kern w:val="0"/>
      <w:lang w:val="da-DK"/>
      <w14:ligatures w14:val="none"/>
    </w:rPr>
  </w:style>
  <w:style w:type="paragraph" w:styleId="EnvelopeAddress">
    <w:name w:val="envelope address"/>
    <w:basedOn w:val="Normal"/>
    <w:uiPriority w:val="99"/>
    <w:semiHidden/>
    <w:rsid w:val="00C84B67"/>
    <w:pPr>
      <w:framePr w:w="7920" w:h="1980" w:hRule="exact" w:hSpace="141" w:wrap="auto" w:hAnchor="page" w:xAlign="center" w:yAlign="bottom"/>
      <w:spacing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rsid w:val="00C84B67"/>
    <w:pPr>
      <w:spacing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table" w:styleId="GridTable1Light">
    <w:name w:val="Grid Table 1 Light"/>
    <w:basedOn w:val="TableNormal"/>
    <w:uiPriority w:val="99"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  <w:tblBorders>
        <w:top w:val="single" w:sz="4" w:space="0" w:color="83CAEB" w:themeColor="accent1" w:themeTint="66"/>
        <w:left w:val="single" w:sz="4" w:space="0" w:color="83CAEB" w:themeColor="accent1" w:themeTint="66"/>
        <w:bottom w:val="single" w:sz="4" w:space="0" w:color="83CAEB" w:themeColor="accent1" w:themeTint="66"/>
        <w:right w:val="single" w:sz="4" w:space="0" w:color="83CAEB" w:themeColor="accent1" w:themeTint="66"/>
        <w:insideH w:val="single" w:sz="4" w:space="0" w:color="83CAEB" w:themeColor="accent1" w:themeTint="66"/>
        <w:insideV w:val="single" w:sz="4" w:space="0" w:color="83CAE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45B0E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99"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  <w:tblBorders>
        <w:top w:val="single" w:sz="4" w:space="0" w:color="F6C5AC" w:themeColor="accent2" w:themeTint="66"/>
        <w:left w:val="single" w:sz="4" w:space="0" w:color="F6C5AC" w:themeColor="accent2" w:themeTint="66"/>
        <w:bottom w:val="single" w:sz="4" w:space="0" w:color="F6C5AC" w:themeColor="accent2" w:themeTint="66"/>
        <w:right w:val="single" w:sz="4" w:space="0" w:color="F6C5AC" w:themeColor="accent2" w:themeTint="66"/>
        <w:insideH w:val="single" w:sz="4" w:space="0" w:color="F6C5AC" w:themeColor="accent2" w:themeTint="66"/>
        <w:insideV w:val="single" w:sz="4" w:space="0" w:color="F6C5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99"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  <w:tblBorders>
        <w:top w:val="single" w:sz="4" w:space="0" w:color="84E290" w:themeColor="accent3" w:themeTint="66"/>
        <w:left w:val="single" w:sz="4" w:space="0" w:color="84E290" w:themeColor="accent3" w:themeTint="66"/>
        <w:bottom w:val="single" w:sz="4" w:space="0" w:color="84E290" w:themeColor="accent3" w:themeTint="66"/>
        <w:right w:val="single" w:sz="4" w:space="0" w:color="84E290" w:themeColor="accent3" w:themeTint="66"/>
        <w:insideH w:val="single" w:sz="4" w:space="0" w:color="84E290" w:themeColor="accent3" w:themeTint="66"/>
        <w:insideV w:val="single" w:sz="4" w:space="0" w:color="84E290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47D45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99"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  <w:tblBorders>
        <w:top w:val="single" w:sz="4" w:space="0" w:color="95DCF7" w:themeColor="accent4" w:themeTint="66"/>
        <w:left w:val="single" w:sz="4" w:space="0" w:color="95DCF7" w:themeColor="accent4" w:themeTint="66"/>
        <w:bottom w:val="single" w:sz="4" w:space="0" w:color="95DCF7" w:themeColor="accent4" w:themeTint="66"/>
        <w:right w:val="single" w:sz="4" w:space="0" w:color="95DCF7" w:themeColor="accent4" w:themeTint="66"/>
        <w:insideH w:val="single" w:sz="4" w:space="0" w:color="95DCF7" w:themeColor="accent4" w:themeTint="66"/>
        <w:insideV w:val="single" w:sz="4" w:space="0" w:color="95DCF7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60CAF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0CAF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99"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  <w:tblBorders>
        <w:top w:val="single" w:sz="4" w:space="0" w:color="E59EDC" w:themeColor="accent5" w:themeTint="66"/>
        <w:left w:val="single" w:sz="4" w:space="0" w:color="E59EDC" w:themeColor="accent5" w:themeTint="66"/>
        <w:bottom w:val="single" w:sz="4" w:space="0" w:color="E59EDC" w:themeColor="accent5" w:themeTint="66"/>
        <w:right w:val="single" w:sz="4" w:space="0" w:color="E59EDC" w:themeColor="accent5" w:themeTint="66"/>
        <w:insideH w:val="single" w:sz="4" w:space="0" w:color="E59EDC" w:themeColor="accent5" w:themeTint="66"/>
        <w:insideV w:val="single" w:sz="4" w:space="0" w:color="E59EDC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D86DC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86DC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99"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  <w:tblBorders>
        <w:top w:val="single" w:sz="4" w:space="0" w:color="B3E5A1" w:themeColor="accent6" w:themeTint="66"/>
        <w:left w:val="single" w:sz="4" w:space="0" w:color="B3E5A1" w:themeColor="accent6" w:themeTint="66"/>
        <w:bottom w:val="single" w:sz="4" w:space="0" w:color="B3E5A1" w:themeColor="accent6" w:themeTint="66"/>
        <w:right w:val="single" w:sz="4" w:space="0" w:color="B3E5A1" w:themeColor="accent6" w:themeTint="66"/>
        <w:insideH w:val="single" w:sz="4" w:space="0" w:color="B3E5A1" w:themeColor="accent6" w:themeTint="66"/>
        <w:insideV w:val="single" w:sz="4" w:space="0" w:color="B3E5A1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8DD873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DD873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99"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99"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  <w:tblBorders>
        <w:top w:val="single" w:sz="2" w:space="0" w:color="45B0E1" w:themeColor="accent1" w:themeTint="99"/>
        <w:bottom w:val="single" w:sz="2" w:space="0" w:color="45B0E1" w:themeColor="accent1" w:themeTint="99"/>
        <w:insideH w:val="single" w:sz="2" w:space="0" w:color="45B0E1" w:themeColor="accent1" w:themeTint="99"/>
        <w:insideV w:val="single" w:sz="2" w:space="0" w:color="45B0E1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5B0E1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5B0E1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GridTable2-Accent2">
    <w:name w:val="Grid Table 2 Accent 2"/>
    <w:basedOn w:val="TableNormal"/>
    <w:uiPriority w:val="99"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  <w:tblBorders>
        <w:top w:val="single" w:sz="2" w:space="0" w:color="F1A983" w:themeColor="accent2" w:themeTint="99"/>
        <w:bottom w:val="single" w:sz="2" w:space="0" w:color="F1A983" w:themeColor="accent2" w:themeTint="99"/>
        <w:insideH w:val="single" w:sz="2" w:space="0" w:color="F1A983" w:themeColor="accent2" w:themeTint="99"/>
        <w:insideV w:val="single" w:sz="2" w:space="0" w:color="F1A9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1A9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1A9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GridTable2-Accent3">
    <w:name w:val="Grid Table 2 Accent 3"/>
    <w:basedOn w:val="TableNormal"/>
    <w:uiPriority w:val="99"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  <w:tblBorders>
        <w:top w:val="single" w:sz="2" w:space="0" w:color="47D459" w:themeColor="accent3" w:themeTint="99"/>
        <w:bottom w:val="single" w:sz="2" w:space="0" w:color="47D459" w:themeColor="accent3" w:themeTint="99"/>
        <w:insideH w:val="single" w:sz="2" w:space="0" w:color="47D459" w:themeColor="accent3" w:themeTint="99"/>
        <w:insideV w:val="single" w:sz="2" w:space="0" w:color="47D45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7D45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7D45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GridTable2-Accent4">
    <w:name w:val="Grid Table 2 Accent 4"/>
    <w:basedOn w:val="TableNormal"/>
    <w:uiPriority w:val="99"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  <w:tblBorders>
        <w:top w:val="single" w:sz="2" w:space="0" w:color="60CAF3" w:themeColor="accent4" w:themeTint="99"/>
        <w:bottom w:val="single" w:sz="2" w:space="0" w:color="60CAF3" w:themeColor="accent4" w:themeTint="99"/>
        <w:insideH w:val="single" w:sz="2" w:space="0" w:color="60CAF3" w:themeColor="accent4" w:themeTint="99"/>
        <w:insideV w:val="single" w:sz="2" w:space="0" w:color="60CAF3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0CAF3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0CAF3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GridTable2-Accent5">
    <w:name w:val="Grid Table 2 Accent 5"/>
    <w:basedOn w:val="TableNormal"/>
    <w:uiPriority w:val="99"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  <w:tblBorders>
        <w:top w:val="single" w:sz="2" w:space="0" w:color="D86DCB" w:themeColor="accent5" w:themeTint="99"/>
        <w:bottom w:val="single" w:sz="2" w:space="0" w:color="D86DCB" w:themeColor="accent5" w:themeTint="99"/>
        <w:insideH w:val="single" w:sz="2" w:space="0" w:color="D86DCB" w:themeColor="accent5" w:themeTint="99"/>
        <w:insideV w:val="single" w:sz="2" w:space="0" w:color="D86DC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86DC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86DC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GridTable2-Accent6">
    <w:name w:val="Grid Table 2 Accent 6"/>
    <w:basedOn w:val="TableNormal"/>
    <w:uiPriority w:val="99"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  <w:tblBorders>
        <w:top w:val="single" w:sz="2" w:space="0" w:color="8DD873" w:themeColor="accent6" w:themeTint="99"/>
        <w:bottom w:val="single" w:sz="2" w:space="0" w:color="8DD873" w:themeColor="accent6" w:themeTint="99"/>
        <w:insideH w:val="single" w:sz="2" w:space="0" w:color="8DD873" w:themeColor="accent6" w:themeTint="99"/>
        <w:insideV w:val="single" w:sz="2" w:space="0" w:color="8DD873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DD873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DD873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table" w:styleId="GridTable3">
    <w:name w:val="Grid Table 3"/>
    <w:basedOn w:val="TableNormal"/>
    <w:uiPriority w:val="99"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99"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  <w:insideV w:val="single" w:sz="4" w:space="0" w:color="45B0E1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  <w:tblStylePr w:type="neCell">
      <w:tblPr/>
      <w:tcPr>
        <w:tcBorders>
          <w:bottom w:val="single" w:sz="4" w:space="0" w:color="45B0E1" w:themeColor="accent1" w:themeTint="99"/>
        </w:tcBorders>
      </w:tcPr>
    </w:tblStylePr>
    <w:tblStylePr w:type="nwCell">
      <w:tblPr/>
      <w:tcPr>
        <w:tcBorders>
          <w:bottom w:val="single" w:sz="4" w:space="0" w:color="45B0E1" w:themeColor="accent1" w:themeTint="99"/>
        </w:tcBorders>
      </w:tcPr>
    </w:tblStylePr>
    <w:tblStylePr w:type="seCell">
      <w:tblPr/>
      <w:tcPr>
        <w:tcBorders>
          <w:top w:val="single" w:sz="4" w:space="0" w:color="45B0E1" w:themeColor="accent1" w:themeTint="99"/>
        </w:tcBorders>
      </w:tcPr>
    </w:tblStylePr>
    <w:tblStylePr w:type="swCell">
      <w:tblPr/>
      <w:tcPr>
        <w:tcBorders>
          <w:top w:val="single" w:sz="4" w:space="0" w:color="45B0E1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99"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  <w:tblStylePr w:type="neCell">
      <w:tblPr/>
      <w:tcPr>
        <w:tcBorders>
          <w:bottom w:val="single" w:sz="4" w:space="0" w:color="F1A983" w:themeColor="accent2" w:themeTint="99"/>
        </w:tcBorders>
      </w:tcPr>
    </w:tblStylePr>
    <w:tblStylePr w:type="nwCell">
      <w:tblPr/>
      <w:tcPr>
        <w:tcBorders>
          <w:bottom w:val="single" w:sz="4" w:space="0" w:color="F1A983" w:themeColor="accent2" w:themeTint="99"/>
        </w:tcBorders>
      </w:tcPr>
    </w:tblStylePr>
    <w:tblStylePr w:type="seCell">
      <w:tblPr/>
      <w:tcPr>
        <w:tcBorders>
          <w:top w:val="single" w:sz="4" w:space="0" w:color="F1A983" w:themeColor="accent2" w:themeTint="99"/>
        </w:tcBorders>
      </w:tcPr>
    </w:tblStylePr>
    <w:tblStylePr w:type="swCell">
      <w:tblPr/>
      <w:tcPr>
        <w:tcBorders>
          <w:top w:val="single" w:sz="4" w:space="0" w:color="F1A983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99"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  <w:tblBorders>
        <w:top w:val="single" w:sz="4" w:space="0" w:color="47D459" w:themeColor="accent3" w:themeTint="99"/>
        <w:left w:val="single" w:sz="4" w:space="0" w:color="47D459" w:themeColor="accent3" w:themeTint="99"/>
        <w:bottom w:val="single" w:sz="4" w:space="0" w:color="47D459" w:themeColor="accent3" w:themeTint="99"/>
        <w:right w:val="single" w:sz="4" w:space="0" w:color="47D459" w:themeColor="accent3" w:themeTint="99"/>
        <w:insideH w:val="single" w:sz="4" w:space="0" w:color="47D459" w:themeColor="accent3" w:themeTint="99"/>
        <w:insideV w:val="single" w:sz="4" w:space="0" w:color="47D45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  <w:tblStylePr w:type="neCell">
      <w:tblPr/>
      <w:tcPr>
        <w:tcBorders>
          <w:bottom w:val="single" w:sz="4" w:space="0" w:color="47D459" w:themeColor="accent3" w:themeTint="99"/>
        </w:tcBorders>
      </w:tcPr>
    </w:tblStylePr>
    <w:tblStylePr w:type="nwCell">
      <w:tblPr/>
      <w:tcPr>
        <w:tcBorders>
          <w:bottom w:val="single" w:sz="4" w:space="0" w:color="47D459" w:themeColor="accent3" w:themeTint="99"/>
        </w:tcBorders>
      </w:tcPr>
    </w:tblStylePr>
    <w:tblStylePr w:type="seCell">
      <w:tblPr/>
      <w:tcPr>
        <w:tcBorders>
          <w:top w:val="single" w:sz="4" w:space="0" w:color="47D459" w:themeColor="accent3" w:themeTint="99"/>
        </w:tcBorders>
      </w:tcPr>
    </w:tblStylePr>
    <w:tblStylePr w:type="swCell">
      <w:tblPr/>
      <w:tcPr>
        <w:tcBorders>
          <w:top w:val="single" w:sz="4" w:space="0" w:color="47D459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99"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  <w:tblBorders>
        <w:top w:val="single" w:sz="4" w:space="0" w:color="60CAF3" w:themeColor="accent4" w:themeTint="99"/>
        <w:left w:val="single" w:sz="4" w:space="0" w:color="60CAF3" w:themeColor="accent4" w:themeTint="99"/>
        <w:bottom w:val="single" w:sz="4" w:space="0" w:color="60CAF3" w:themeColor="accent4" w:themeTint="99"/>
        <w:right w:val="single" w:sz="4" w:space="0" w:color="60CAF3" w:themeColor="accent4" w:themeTint="99"/>
        <w:insideH w:val="single" w:sz="4" w:space="0" w:color="60CAF3" w:themeColor="accent4" w:themeTint="99"/>
        <w:insideV w:val="single" w:sz="4" w:space="0" w:color="60CAF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  <w:tblStylePr w:type="neCell">
      <w:tblPr/>
      <w:tcPr>
        <w:tcBorders>
          <w:bottom w:val="single" w:sz="4" w:space="0" w:color="60CAF3" w:themeColor="accent4" w:themeTint="99"/>
        </w:tcBorders>
      </w:tcPr>
    </w:tblStylePr>
    <w:tblStylePr w:type="nwCell">
      <w:tblPr/>
      <w:tcPr>
        <w:tcBorders>
          <w:bottom w:val="single" w:sz="4" w:space="0" w:color="60CAF3" w:themeColor="accent4" w:themeTint="99"/>
        </w:tcBorders>
      </w:tcPr>
    </w:tblStylePr>
    <w:tblStylePr w:type="seCell">
      <w:tblPr/>
      <w:tcPr>
        <w:tcBorders>
          <w:top w:val="single" w:sz="4" w:space="0" w:color="60CAF3" w:themeColor="accent4" w:themeTint="99"/>
        </w:tcBorders>
      </w:tcPr>
    </w:tblStylePr>
    <w:tblStylePr w:type="swCell">
      <w:tblPr/>
      <w:tcPr>
        <w:tcBorders>
          <w:top w:val="single" w:sz="4" w:space="0" w:color="60CAF3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99"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  <w:tblBorders>
        <w:top w:val="single" w:sz="4" w:space="0" w:color="D86DCB" w:themeColor="accent5" w:themeTint="99"/>
        <w:left w:val="single" w:sz="4" w:space="0" w:color="D86DCB" w:themeColor="accent5" w:themeTint="99"/>
        <w:bottom w:val="single" w:sz="4" w:space="0" w:color="D86DCB" w:themeColor="accent5" w:themeTint="99"/>
        <w:right w:val="single" w:sz="4" w:space="0" w:color="D86DCB" w:themeColor="accent5" w:themeTint="99"/>
        <w:insideH w:val="single" w:sz="4" w:space="0" w:color="D86DCB" w:themeColor="accent5" w:themeTint="99"/>
        <w:insideV w:val="single" w:sz="4" w:space="0" w:color="D86DC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  <w:tblStylePr w:type="neCell">
      <w:tblPr/>
      <w:tcPr>
        <w:tcBorders>
          <w:bottom w:val="single" w:sz="4" w:space="0" w:color="D86DCB" w:themeColor="accent5" w:themeTint="99"/>
        </w:tcBorders>
      </w:tcPr>
    </w:tblStylePr>
    <w:tblStylePr w:type="nwCell">
      <w:tblPr/>
      <w:tcPr>
        <w:tcBorders>
          <w:bottom w:val="single" w:sz="4" w:space="0" w:color="D86DCB" w:themeColor="accent5" w:themeTint="99"/>
        </w:tcBorders>
      </w:tcPr>
    </w:tblStylePr>
    <w:tblStylePr w:type="seCell">
      <w:tblPr/>
      <w:tcPr>
        <w:tcBorders>
          <w:top w:val="single" w:sz="4" w:space="0" w:color="D86DCB" w:themeColor="accent5" w:themeTint="99"/>
        </w:tcBorders>
      </w:tcPr>
    </w:tblStylePr>
    <w:tblStylePr w:type="swCell">
      <w:tblPr/>
      <w:tcPr>
        <w:tcBorders>
          <w:top w:val="single" w:sz="4" w:space="0" w:color="D86DCB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99"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  <w:tblBorders>
        <w:top w:val="single" w:sz="4" w:space="0" w:color="8DD873" w:themeColor="accent6" w:themeTint="99"/>
        <w:left w:val="single" w:sz="4" w:space="0" w:color="8DD873" w:themeColor="accent6" w:themeTint="99"/>
        <w:bottom w:val="single" w:sz="4" w:space="0" w:color="8DD873" w:themeColor="accent6" w:themeTint="99"/>
        <w:right w:val="single" w:sz="4" w:space="0" w:color="8DD873" w:themeColor="accent6" w:themeTint="99"/>
        <w:insideH w:val="single" w:sz="4" w:space="0" w:color="8DD873" w:themeColor="accent6" w:themeTint="99"/>
        <w:insideV w:val="single" w:sz="4" w:space="0" w:color="8DD873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  <w:tblStylePr w:type="neCell">
      <w:tblPr/>
      <w:tcPr>
        <w:tcBorders>
          <w:bottom w:val="single" w:sz="4" w:space="0" w:color="8DD873" w:themeColor="accent6" w:themeTint="99"/>
        </w:tcBorders>
      </w:tcPr>
    </w:tblStylePr>
    <w:tblStylePr w:type="nwCell">
      <w:tblPr/>
      <w:tcPr>
        <w:tcBorders>
          <w:bottom w:val="single" w:sz="4" w:space="0" w:color="8DD873" w:themeColor="accent6" w:themeTint="99"/>
        </w:tcBorders>
      </w:tcPr>
    </w:tblStylePr>
    <w:tblStylePr w:type="seCell">
      <w:tblPr/>
      <w:tcPr>
        <w:tcBorders>
          <w:top w:val="single" w:sz="4" w:space="0" w:color="8DD873" w:themeColor="accent6" w:themeTint="99"/>
        </w:tcBorders>
      </w:tcPr>
    </w:tblStylePr>
    <w:tblStylePr w:type="swCell">
      <w:tblPr/>
      <w:tcPr>
        <w:tcBorders>
          <w:top w:val="single" w:sz="4" w:space="0" w:color="8DD873" w:themeColor="accent6" w:themeTint="99"/>
        </w:tcBorders>
      </w:tcPr>
    </w:tblStylePr>
  </w:style>
  <w:style w:type="table" w:styleId="GridTable4">
    <w:name w:val="Grid Table 4"/>
    <w:basedOn w:val="TableNormal"/>
    <w:uiPriority w:val="99"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99"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  <w:insideV w:val="single" w:sz="4" w:space="0" w:color="45B0E1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56082" w:themeColor="accent1"/>
          <w:left w:val="single" w:sz="4" w:space="0" w:color="156082" w:themeColor="accent1"/>
          <w:bottom w:val="single" w:sz="4" w:space="0" w:color="156082" w:themeColor="accent1"/>
          <w:right w:val="single" w:sz="4" w:space="0" w:color="156082" w:themeColor="accent1"/>
          <w:insideH w:val="nil"/>
          <w:insideV w:val="nil"/>
        </w:tcBorders>
        <w:shd w:val="clear" w:color="auto" w:fill="156082" w:themeFill="accent1"/>
      </w:tcPr>
    </w:tblStylePr>
    <w:tblStylePr w:type="lastRow">
      <w:rPr>
        <w:b/>
        <w:bCs/>
      </w:rPr>
      <w:tblPr/>
      <w:tcPr>
        <w:tcBorders>
          <w:top w:val="double" w:sz="4" w:space="0" w:color="15608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GridTable4-Accent2">
    <w:name w:val="Grid Table 4 Accent 2"/>
    <w:basedOn w:val="TableNormal"/>
    <w:uiPriority w:val="99"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97132" w:themeColor="accent2"/>
          <w:left w:val="single" w:sz="4" w:space="0" w:color="E97132" w:themeColor="accent2"/>
          <w:bottom w:val="single" w:sz="4" w:space="0" w:color="E97132" w:themeColor="accent2"/>
          <w:right w:val="single" w:sz="4" w:space="0" w:color="E97132" w:themeColor="accent2"/>
          <w:insideH w:val="nil"/>
          <w:insideV w:val="nil"/>
        </w:tcBorders>
        <w:shd w:val="clear" w:color="auto" w:fill="E97132" w:themeFill="accent2"/>
      </w:tcPr>
    </w:tblStylePr>
    <w:tblStylePr w:type="lastRow">
      <w:rPr>
        <w:b/>
        <w:bCs/>
      </w:rPr>
      <w:tblPr/>
      <w:tcPr>
        <w:tcBorders>
          <w:top w:val="double" w:sz="4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GridTable4-Accent3">
    <w:name w:val="Grid Table 4 Accent 3"/>
    <w:basedOn w:val="TableNormal"/>
    <w:uiPriority w:val="99"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  <w:tblBorders>
        <w:top w:val="single" w:sz="4" w:space="0" w:color="47D459" w:themeColor="accent3" w:themeTint="99"/>
        <w:left w:val="single" w:sz="4" w:space="0" w:color="47D459" w:themeColor="accent3" w:themeTint="99"/>
        <w:bottom w:val="single" w:sz="4" w:space="0" w:color="47D459" w:themeColor="accent3" w:themeTint="99"/>
        <w:right w:val="single" w:sz="4" w:space="0" w:color="47D459" w:themeColor="accent3" w:themeTint="99"/>
        <w:insideH w:val="single" w:sz="4" w:space="0" w:color="47D459" w:themeColor="accent3" w:themeTint="99"/>
        <w:insideV w:val="single" w:sz="4" w:space="0" w:color="47D45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96B24" w:themeColor="accent3"/>
          <w:left w:val="single" w:sz="4" w:space="0" w:color="196B24" w:themeColor="accent3"/>
          <w:bottom w:val="single" w:sz="4" w:space="0" w:color="196B24" w:themeColor="accent3"/>
          <w:right w:val="single" w:sz="4" w:space="0" w:color="196B24" w:themeColor="accent3"/>
          <w:insideH w:val="nil"/>
          <w:insideV w:val="nil"/>
        </w:tcBorders>
        <w:shd w:val="clear" w:color="auto" w:fill="196B24" w:themeFill="accent3"/>
      </w:tcPr>
    </w:tblStylePr>
    <w:tblStylePr w:type="lastRow">
      <w:rPr>
        <w:b/>
        <w:bCs/>
      </w:rPr>
      <w:tblPr/>
      <w:tcPr>
        <w:tcBorders>
          <w:top w:val="double" w:sz="4" w:space="0" w:color="196B24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GridTable4-Accent4">
    <w:name w:val="Grid Table 4 Accent 4"/>
    <w:basedOn w:val="TableNormal"/>
    <w:uiPriority w:val="99"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  <w:tblBorders>
        <w:top w:val="single" w:sz="4" w:space="0" w:color="60CAF3" w:themeColor="accent4" w:themeTint="99"/>
        <w:left w:val="single" w:sz="4" w:space="0" w:color="60CAF3" w:themeColor="accent4" w:themeTint="99"/>
        <w:bottom w:val="single" w:sz="4" w:space="0" w:color="60CAF3" w:themeColor="accent4" w:themeTint="99"/>
        <w:right w:val="single" w:sz="4" w:space="0" w:color="60CAF3" w:themeColor="accent4" w:themeTint="99"/>
        <w:insideH w:val="single" w:sz="4" w:space="0" w:color="60CAF3" w:themeColor="accent4" w:themeTint="99"/>
        <w:insideV w:val="single" w:sz="4" w:space="0" w:color="60CAF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F9ED5" w:themeColor="accent4"/>
          <w:left w:val="single" w:sz="4" w:space="0" w:color="0F9ED5" w:themeColor="accent4"/>
          <w:bottom w:val="single" w:sz="4" w:space="0" w:color="0F9ED5" w:themeColor="accent4"/>
          <w:right w:val="single" w:sz="4" w:space="0" w:color="0F9ED5" w:themeColor="accent4"/>
          <w:insideH w:val="nil"/>
          <w:insideV w:val="nil"/>
        </w:tcBorders>
        <w:shd w:val="clear" w:color="auto" w:fill="0F9ED5" w:themeFill="accent4"/>
      </w:tcPr>
    </w:tblStylePr>
    <w:tblStylePr w:type="lastRow">
      <w:rPr>
        <w:b/>
        <w:bCs/>
      </w:rPr>
      <w:tblPr/>
      <w:tcPr>
        <w:tcBorders>
          <w:top w:val="double" w:sz="4" w:space="0" w:color="0F9ED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GridTable4-Accent5">
    <w:name w:val="Grid Table 4 Accent 5"/>
    <w:basedOn w:val="TableNormal"/>
    <w:uiPriority w:val="99"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  <w:tblBorders>
        <w:top w:val="single" w:sz="4" w:space="0" w:color="D86DCB" w:themeColor="accent5" w:themeTint="99"/>
        <w:left w:val="single" w:sz="4" w:space="0" w:color="D86DCB" w:themeColor="accent5" w:themeTint="99"/>
        <w:bottom w:val="single" w:sz="4" w:space="0" w:color="D86DCB" w:themeColor="accent5" w:themeTint="99"/>
        <w:right w:val="single" w:sz="4" w:space="0" w:color="D86DCB" w:themeColor="accent5" w:themeTint="99"/>
        <w:insideH w:val="single" w:sz="4" w:space="0" w:color="D86DCB" w:themeColor="accent5" w:themeTint="99"/>
        <w:insideV w:val="single" w:sz="4" w:space="0" w:color="D86DC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02B93" w:themeColor="accent5"/>
          <w:left w:val="single" w:sz="4" w:space="0" w:color="A02B93" w:themeColor="accent5"/>
          <w:bottom w:val="single" w:sz="4" w:space="0" w:color="A02B93" w:themeColor="accent5"/>
          <w:right w:val="single" w:sz="4" w:space="0" w:color="A02B93" w:themeColor="accent5"/>
          <w:insideH w:val="nil"/>
          <w:insideV w:val="nil"/>
        </w:tcBorders>
        <w:shd w:val="clear" w:color="auto" w:fill="A02B93" w:themeFill="accent5"/>
      </w:tcPr>
    </w:tblStylePr>
    <w:tblStylePr w:type="lastRow">
      <w:rPr>
        <w:b/>
        <w:bCs/>
      </w:rPr>
      <w:tblPr/>
      <w:tcPr>
        <w:tcBorders>
          <w:top w:val="double" w:sz="4" w:space="0" w:color="A02B93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GridTable4-Accent6">
    <w:name w:val="Grid Table 4 Accent 6"/>
    <w:basedOn w:val="TableNormal"/>
    <w:uiPriority w:val="99"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  <w:tblBorders>
        <w:top w:val="single" w:sz="4" w:space="0" w:color="8DD873" w:themeColor="accent6" w:themeTint="99"/>
        <w:left w:val="single" w:sz="4" w:space="0" w:color="8DD873" w:themeColor="accent6" w:themeTint="99"/>
        <w:bottom w:val="single" w:sz="4" w:space="0" w:color="8DD873" w:themeColor="accent6" w:themeTint="99"/>
        <w:right w:val="single" w:sz="4" w:space="0" w:color="8DD873" w:themeColor="accent6" w:themeTint="99"/>
        <w:insideH w:val="single" w:sz="4" w:space="0" w:color="8DD873" w:themeColor="accent6" w:themeTint="99"/>
        <w:insideV w:val="single" w:sz="4" w:space="0" w:color="8DD873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EA72E" w:themeColor="accent6"/>
          <w:left w:val="single" w:sz="4" w:space="0" w:color="4EA72E" w:themeColor="accent6"/>
          <w:bottom w:val="single" w:sz="4" w:space="0" w:color="4EA72E" w:themeColor="accent6"/>
          <w:right w:val="single" w:sz="4" w:space="0" w:color="4EA72E" w:themeColor="accent6"/>
          <w:insideH w:val="nil"/>
          <w:insideV w:val="nil"/>
        </w:tcBorders>
        <w:shd w:val="clear" w:color="auto" w:fill="4EA72E" w:themeFill="accent6"/>
      </w:tcPr>
    </w:tblStylePr>
    <w:tblStylePr w:type="lastRow">
      <w:rPr>
        <w:b/>
        <w:bCs/>
      </w:rPr>
      <w:tblPr/>
      <w:tcPr>
        <w:tcBorders>
          <w:top w:val="double" w:sz="4" w:space="0" w:color="4EA72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table" w:styleId="GridTable5Dark">
    <w:name w:val="Grid Table 5 Dark"/>
    <w:basedOn w:val="TableNormal"/>
    <w:uiPriority w:val="99"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99"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1E4F5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56082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56082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56082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56082" w:themeFill="accent1"/>
      </w:tcPr>
    </w:tblStylePr>
    <w:tblStylePr w:type="band1Vert">
      <w:tblPr/>
      <w:tcPr>
        <w:shd w:val="clear" w:color="auto" w:fill="83CAEB" w:themeFill="accent1" w:themeFillTint="66"/>
      </w:tcPr>
    </w:tblStylePr>
    <w:tblStylePr w:type="band1Horz">
      <w:tblPr/>
      <w:tcPr>
        <w:shd w:val="clear" w:color="auto" w:fill="83CAEB" w:themeFill="accent1" w:themeFillTint="66"/>
      </w:tcPr>
    </w:tblStylePr>
  </w:style>
  <w:style w:type="table" w:styleId="GridTable5Dark-Accent2">
    <w:name w:val="Grid Table 5 Dark Accent 2"/>
    <w:basedOn w:val="TableNormal"/>
    <w:uiPriority w:val="99"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AE2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9713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9713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9713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97132" w:themeFill="accent2"/>
      </w:tcPr>
    </w:tblStylePr>
    <w:tblStylePr w:type="band1Vert">
      <w:tblPr/>
      <w:tcPr>
        <w:shd w:val="clear" w:color="auto" w:fill="F6C5AC" w:themeFill="accent2" w:themeFillTint="66"/>
      </w:tcPr>
    </w:tblStylePr>
    <w:tblStylePr w:type="band1Horz">
      <w:tblPr/>
      <w:tcPr>
        <w:shd w:val="clear" w:color="auto" w:fill="F6C5AC" w:themeFill="accent2" w:themeFillTint="66"/>
      </w:tcPr>
    </w:tblStylePr>
  </w:style>
  <w:style w:type="table" w:styleId="GridTable5Dark-Accent3">
    <w:name w:val="Grid Table 5 Dark Accent 3"/>
    <w:basedOn w:val="TableNormal"/>
    <w:uiPriority w:val="99"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1F0C7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96B24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96B24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96B24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96B24" w:themeFill="accent3"/>
      </w:tcPr>
    </w:tblStylePr>
    <w:tblStylePr w:type="band1Vert">
      <w:tblPr/>
      <w:tcPr>
        <w:shd w:val="clear" w:color="auto" w:fill="84E290" w:themeFill="accent3" w:themeFillTint="66"/>
      </w:tcPr>
    </w:tblStylePr>
    <w:tblStylePr w:type="band1Horz">
      <w:tblPr/>
      <w:tcPr>
        <w:shd w:val="clear" w:color="auto" w:fill="84E290" w:themeFill="accent3" w:themeFillTint="66"/>
      </w:tcPr>
    </w:tblStylePr>
  </w:style>
  <w:style w:type="table" w:styleId="GridTable5Dark-Accent4">
    <w:name w:val="Grid Table 5 Dark Accent 4"/>
    <w:basedOn w:val="TableNormal"/>
    <w:uiPriority w:val="99"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AEDFB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F9ED5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F9ED5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F9ED5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F9ED5" w:themeFill="accent4"/>
      </w:tcPr>
    </w:tblStylePr>
    <w:tblStylePr w:type="band1Vert">
      <w:tblPr/>
      <w:tcPr>
        <w:shd w:val="clear" w:color="auto" w:fill="95DCF7" w:themeFill="accent4" w:themeFillTint="66"/>
      </w:tcPr>
    </w:tblStylePr>
    <w:tblStylePr w:type="band1Horz">
      <w:tblPr/>
      <w:tcPr>
        <w:shd w:val="clear" w:color="auto" w:fill="95DCF7" w:themeFill="accent4" w:themeFillTint="66"/>
      </w:tcPr>
    </w:tblStylePr>
  </w:style>
  <w:style w:type="table" w:styleId="GridTable5Dark-Accent5">
    <w:name w:val="Grid Table 5 Dark Accent 5"/>
    <w:basedOn w:val="TableNormal"/>
    <w:uiPriority w:val="99"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CEED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02B93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02B93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02B93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02B93" w:themeFill="accent5"/>
      </w:tcPr>
    </w:tblStylePr>
    <w:tblStylePr w:type="band1Vert">
      <w:tblPr/>
      <w:tcPr>
        <w:shd w:val="clear" w:color="auto" w:fill="E59EDC" w:themeFill="accent5" w:themeFillTint="66"/>
      </w:tcPr>
    </w:tblStylePr>
    <w:tblStylePr w:type="band1Horz">
      <w:tblPr/>
      <w:tcPr>
        <w:shd w:val="clear" w:color="auto" w:fill="E59EDC" w:themeFill="accent5" w:themeFillTint="66"/>
      </w:tcPr>
    </w:tblStylePr>
  </w:style>
  <w:style w:type="table" w:styleId="GridTable5Dark-Accent6">
    <w:name w:val="Grid Table 5 Dark Accent 6"/>
    <w:basedOn w:val="TableNormal"/>
    <w:uiPriority w:val="99"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F2D0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EA72E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EA72E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EA72E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EA72E" w:themeFill="accent6"/>
      </w:tcPr>
    </w:tblStylePr>
    <w:tblStylePr w:type="band1Vert">
      <w:tblPr/>
      <w:tcPr>
        <w:shd w:val="clear" w:color="auto" w:fill="B3E5A1" w:themeFill="accent6" w:themeFillTint="66"/>
      </w:tcPr>
    </w:tblStylePr>
    <w:tblStylePr w:type="band1Horz">
      <w:tblPr/>
      <w:tcPr>
        <w:shd w:val="clear" w:color="auto" w:fill="B3E5A1" w:themeFill="accent6" w:themeFillTint="66"/>
      </w:tcPr>
    </w:tblStylePr>
  </w:style>
  <w:style w:type="table" w:styleId="GridTable6Colorful">
    <w:name w:val="Grid Table 6 Colorful"/>
    <w:basedOn w:val="TableNormal"/>
    <w:uiPriority w:val="99"/>
    <w:rsid w:val="00C84B67"/>
    <w:pPr>
      <w:spacing w:after="200" w:line="280" w:lineRule="atLeast"/>
    </w:pPr>
    <w:rPr>
      <w:rFonts w:ascii="Arial" w:hAnsi="Arial"/>
      <w:color w:val="000000" w:themeColor="text1"/>
      <w:kern w:val="0"/>
      <w:lang w:val="da-DK"/>
      <w14:ligatures w14:val="none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2">
    <w:name w:val="Grid Table 6 Colorful Accent 2"/>
    <w:basedOn w:val="TableNormal"/>
    <w:uiPriority w:val="99"/>
    <w:rsid w:val="00C84B67"/>
    <w:pPr>
      <w:spacing w:after="200" w:line="280" w:lineRule="atLeast"/>
    </w:pPr>
    <w:rPr>
      <w:rFonts w:ascii="Arial" w:hAnsi="Arial"/>
      <w:color w:val="BF4E14" w:themeColor="accent2" w:themeShade="BF"/>
      <w:kern w:val="0"/>
      <w:lang w:val="da-DK"/>
      <w14:ligatures w14:val="none"/>
    </w:r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GridTable6Colorful-Accent3">
    <w:name w:val="Grid Table 6 Colorful Accent 3"/>
    <w:basedOn w:val="TableNormal"/>
    <w:uiPriority w:val="99"/>
    <w:rsid w:val="00C84B67"/>
    <w:pPr>
      <w:spacing w:after="200" w:line="280" w:lineRule="atLeast"/>
    </w:pPr>
    <w:rPr>
      <w:rFonts w:ascii="Arial" w:hAnsi="Arial"/>
      <w:color w:val="124F1A" w:themeColor="accent3" w:themeShade="BF"/>
      <w:kern w:val="0"/>
      <w:lang w:val="da-DK"/>
      <w14:ligatures w14:val="none"/>
    </w:rPr>
    <w:tblPr>
      <w:tblStyleRowBandSize w:val="1"/>
      <w:tblStyleColBandSize w:val="1"/>
      <w:tblBorders>
        <w:top w:val="single" w:sz="4" w:space="0" w:color="47D459" w:themeColor="accent3" w:themeTint="99"/>
        <w:left w:val="single" w:sz="4" w:space="0" w:color="47D459" w:themeColor="accent3" w:themeTint="99"/>
        <w:bottom w:val="single" w:sz="4" w:space="0" w:color="47D459" w:themeColor="accent3" w:themeTint="99"/>
        <w:right w:val="single" w:sz="4" w:space="0" w:color="47D459" w:themeColor="accent3" w:themeTint="99"/>
        <w:insideH w:val="single" w:sz="4" w:space="0" w:color="47D459" w:themeColor="accent3" w:themeTint="99"/>
        <w:insideV w:val="single" w:sz="4" w:space="0" w:color="47D45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47D45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GridTable6Colorful-Accent4">
    <w:name w:val="Grid Table 6 Colorful Accent 4"/>
    <w:basedOn w:val="TableNormal"/>
    <w:uiPriority w:val="99"/>
    <w:rsid w:val="00C84B67"/>
    <w:pPr>
      <w:spacing w:after="200" w:line="280" w:lineRule="atLeast"/>
    </w:pPr>
    <w:rPr>
      <w:rFonts w:ascii="Arial" w:hAnsi="Arial"/>
      <w:color w:val="0B769F" w:themeColor="accent4" w:themeShade="BF"/>
      <w:kern w:val="0"/>
      <w:lang w:val="da-DK"/>
      <w14:ligatures w14:val="none"/>
    </w:rPr>
    <w:tblPr>
      <w:tblStyleRowBandSize w:val="1"/>
      <w:tblStyleColBandSize w:val="1"/>
      <w:tblBorders>
        <w:top w:val="single" w:sz="4" w:space="0" w:color="60CAF3" w:themeColor="accent4" w:themeTint="99"/>
        <w:left w:val="single" w:sz="4" w:space="0" w:color="60CAF3" w:themeColor="accent4" w:themeTint="99"/>
        <w:bottom w:val="single" w:sz="4" w:space="0" w:color="60CAF3" w:themeColor="accent4" w:themeTint="99"/>
        <w:right w:val="single" w:sz="4" w:space="0" w:color="60CAF3" w:themeColor="accent4" w:themeTint="99"/>
        <w:insideH w:val="single" w:sz="4" w:space="0" w:color="60CAF3" w:themeColor="accent4" w:themeTint="99"/>
        <w:insideV w:val="single" w:sz="4" w:space="0" w:color="60CAF3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60CAF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0CAF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GridTable6Colorful-Accent5">
    <w:name w:val="Grid Table 6 Colorful Accent 5"/>
    <w:basedOn w:val="TableNormal"/>
    <w:uiPriority w:val="99"/>
    <w:rsid w:val="00C84B67"/>
    <w:pPr>
      <w:spacing w:after="200" w:line="280" w:lineRule="atLeast"/>
    </w:pPr>
    <w:rPr>
      <w:rFonts w:ascii="Arial" w:hAnsi="Arial"/>
      <w:color w:val="77206D" w:themeColor="accent5" w:themeShade="BF"/>
      <w:kern w:val="0"/>
      <w:lang w:val="da-DK"/>
      <w14:ligatures w14:val="none"/>
    </w:rPr>
    <w:tblPr>
      <w:tblStyleRowBandSize w:val="1"/>
      <w:tblStyleColBandSize w:val="1"/>
      <w:tblBorders>
        <w:top w:val="single" w:sz="4" w:space="0" w:color="D86DCB" w:themeColor="accent5" w:themeTint="99"/>
        <w:left w:val="single" w:sz="4" w:space="0" w:color="D86DCB" w:themeColor="accent5" w:themeTint="99"/>
        <w:bottom w:val="single" w:sz="4" w:space="0" w:color="D86DCB" w:themeColor="accent5" w:themeTint="99"/>
        <w:right w:val="single" w:sz="4" w:space="0" w:color="D86DCB" w:themeColor="accent5" w:themeTint="99"/>
        <w:insideH w:val="single" w:sz="4" w:space="0" w:color="D86DCB" w:themeColor="accent5" w:themeTint="99"/>
        <w:insideV w:val="single" w:sz="4" w:space="0" w:color="D86DCB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D86DC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86DC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GridTable6Colorful-Accent6">
    <w:name w:val="Grid Table 6 Colorful Accent 6"/>
    <w:basedOn w:val="TableNormal"/>
    <w:uiPriority w:val="99"/>
    <w:rsid w:val="00C84B67"/>
    <w:pPr>
      <w:spacing w:after="200" w:line="280" w:lineRule="atLeast"/>
    </w:pPr>
    <w:rPr>
      <w:rFonts w:ascii="Arial" w:hAnsi="Arial"/>
      <w:color w:val="3A7C22" w:themeColor="accent6" w:themeShade="BF"/>
      <w:kern w:val="0"/>
      <w:lang w:val="da-DK"/>
      <w14:ligatures w14:val="none"/>
    </w:rPr>
    <w:tblPr>
      <w:tblStyleRowBandSize w:val="1"/>
      <w:tblStyleColBandSize w:val="1"/>
      <w:tblBorders>
        <w:top w:val="single" w:sz="4" w:space="0" w:color="8DD873" w:themeColor="accent6" w:themeTint="99"/>
        <w:left w:val="single" w:sz="4" w:space="0" w:color="8DD873" w:themeColor="accent6" w:themeTint="99"/>
        <w:bottom w:val="single" w:sz="4" w:space="0" w:color="8DD873" w:themeColor="accent6" w:themeTint="99"/>
        <w:right w:val="single" w:sz="4" w:space="0" w:color="8DD873" w:themeColor="accent6" w:themeTint="99"/>
        <w:insideH w:val="single" w:sz="4" w:space="0" w:color="8DD873" w:themeColor="accent6" w:themeTint="99"/>
        <w:insideV w:val="single" w:sz="4" w:space="0" w:color="8DD873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8DD873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DD873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table" w:styleId="GridTable7Colorful">
    <w:name w:val="Grid Table 7 Colorful"/>
    <w:basedOn w:val="TableNormal"/>
    <w:uiPriority w:val="99"/>
    <w:rsid w:val="00C84B67"/>
    <w:pPr>
      <w:spacing w:after="200" w:line="280" w:lineRule="atLeast"/>
    </w:pPr>
    <w:rPr>
      <w:rFonts w:ascii="Arial" w:hAnsi="Arial"/>
      <w:color w:val="000000" w:themeColor="text1"/>
      <w:kern w:val="0"/>
      <w:lang w:val="da-DK"/>
      <w14:ligatures w14:val="none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99"/>
    <w:rsid w:val="00C84B67"/>
    <w:pPr>
      <w:spacing w:after="200" w:line="280" w:lineRule="atLeast"/>
    </w:pPr>
    <w:rPr>
      <w:rFonts w:ascii="Arial" w:hAnsi="Arial"/>
      <w:color w:val="0F4761" w:themeColor="accent1" w:themeShade="BF"/>
      <w:kern w:val="0"/>
      <w:lang w:val="da-DK"/>
      <w14:ligatures w14:val="none"/>
    </w:rPr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  <w:insideV w:val="single" w:sz="4" w:space="0" w:color="45B0E1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  <w:tblStylePr w:type="neCell">
      <w:tblPr/>
      <w:tcPr>
        <w:tcBorders>
          <w:bottom w:val="single" w:sz="4" w:space="0" w:color="45B0E1" w:themeColor="accent1" w:themeTint="99"/>
        </w:tcBorders>
      </w:tcPr>
    </w:tblStylePr>
    <w:tblStylePr w:type="nwCell">
      <w:tblPr/>
      <w:tcPr>
        <w:tcBorders>
          <w:bottom w:val="single" w:sz="4" w:space="0" w:color="45B0E1" w:themeColor="accent1" w:themeTint="99"/>
        </w:tcBorders>
      </w:tcPr>
    </w:tblStylePr>
    <w:tblStylePr w:type="seCell">
      <w:tblPr/>
      <w:tcPr>
        <w:tcBorders>
          <w:top w:val="single" w:sz="4" w:space="0" w:color="45B0E1" w:themeColor="accent1" w:themeTint="99"/>
        </w:tcBorders>
      </w:tcPr>
    </w:tblStylePr>
    <w:tblStylePr w:type="swCell">
      <w:tblPr/>
      <w:tcPr>
        <w:tcBorders>
          <w:top w:val="single" w:sz="4" w:space="0" w:color="45B0E1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99"/>
    <w:rsid w:val="00C84B67"/>
    <w:pPr>
      <w:spacing w:after="200" w:line="280" w:lineRule="atLeast"/>
    </w:pPr>
    <w:rPr>
      <w:rFonts w:ascii="Arial" w:hAnsi="Arial"/>
      <w:color w:val="BF4E14" w:themeColor="accent2" w:themeShade="BF"/>
      <w:kern w:val="0"/>
      <w:lang w:val="da-DK"/>
      <w14:ligatures w14:val="none"/>
    </w:r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  <w:tblStylePr w:type="neCell">
      <w:tblPr/>
      <w:tcPr>
        <w:tcBorders>
          <w:bottom w:val="single" w:sz="4" w:space="0" w:color="F1A983" w:themeColor="accent2" w:themeTint="99"/>
        </w:tcBorders>
      </w:tcPr>
    </w:tblStylePr>
    <w:tblStylePr w:type="nwCell">
      <w:tblPr/>
      <w:tcPr>
        <w:tcBorders>
          <w:bottom w:val="single" w:sz="4" w:space="0" w:color="F1A983" w:themeColor="accent2" w:themeTint="99"/>
        </w:tcBorders>
      </w:tcPr>
    </w:tblStylePr>
    <w:tblStylePr w:type="seCell">
      <w:tblPr/>
      <w:tcPr>
        <w:tcBorders>
          <w:top w:val="single" w:sz="4" w:space="0" w:color="F1A983" w:themeColor="accent2" w:themeTint="99"/>
        </w:tcBorders>
      </w:tcPr>
    </w:tblStylePr>
    <w:tblStylePr w:type="swCell">
      <w:tblPr/>
      <w:tcPr>
        <w:tcBorders>
          <w:top w:val="single" w:sz="4" w:space="0" w:color="F1A983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99"/>
    <w:rsid w:val="00C84B67"/>
    <w:pPr>
      <w:spacing w:after="200" w:line="280" w:lineRule="atLeast"/>
    </w:pPr>
    <w:rPr>
      <w:rFonts w:ascii="Arial" w:hAnsi="Arial"/>
      <w:color w:val="124F1A" w:themeColor="accent3" w:themeShade="BF"/>
      <w:kern w:val="0"/>
      <w:lang w:val="da-DK"/>
      <w14:ligatures w14:val="none"/>
    </w:rPr>
    <w:tblPr>
      <w:tblStyleRowBandSize w:val="1"/>
      <w:tblStyleColBandSize w:val="1"/>
      <w:tblBorders>
        <w:top w:val="single" w:sz="4" w:space="0" w:color="47D459" w:themeColor="accent3" w:themeTint="99"/>
        <w:left w:val="single" w:sz="4" w:space="0" w:color="47D459" w:themeColor="accent3" w:themeTint="99"/>
        <w:bottom w:val="single" w:sz="4" w:space="0" w:color="47D459" w:themeColor="accent3" w:themeTint="99"/>
        <w:right w:val="single" w:sz="4" w:space="0" w:color="47D459" w:themeColor="accent3" w:themeTint="99"/>
        <w:insideH w:val="single" w:sz="4" w:space="0" w:color="47D459" w:themeColor="accent3" w:themeTint="99"/>
        <w:insideV w:val="single" w:sz="4" w:space="0" w:color="47D45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  <w:tblStylePr w:type="neCell">
      <w:tblPr/>
      <w:tcPr>
        <w:tcBorders>
          <w:bottom w:val="single" w:sz="4" w:space="0" w:color="47D459" w:themeColor="accent3" w:themeTint="99"/>
        </w:tcBorders>
      </w:tcPr>
    </w:tblStylePr>
    <w:tblStylePr w:type="nwCell">
      <w:tblPr/>
      <w:tcPr>
        <w:tcBorders>
          <w:bottom w:val="single" w:sz="4" w:space="0" w:color="47D459" w:themeColor="accent3" w:themeTint="99"/>
        </w:tcBorders>
      </w:tcPr>
    </w:tblStylePr>
    <w:tblStylePr w:type="seCell">
      <w:tblPr/>
      <w:tcPr>
        <w:tcBorders>
          <w:top w:val="single" w:sz="4" w:space="0" w:color="47D459" w:themeColor="accent3" w:themeTint="99"/>
        </w:tcBorders>
      </w:tcPr>
    </w:tblStylePr>
    <w:tblStylePr w:type="swCell">
      <w:tblPr/>
      <w:tcPr>
        <w:tcBorders>
          <w:top w:val="single" w:sz="4" w:space="0" w:color="47D459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99"/>
    <w:rsid w:val="00C84B67"/>
    <w:pPr>
      <w:spacing w:after="200" w:line="280" w:lineRule="atLeast"/>
    </w:pPr>
    <w:rPr>
      <w:rFonts w:ascii="Arial" w:hAnsi="Arial"/>
      <w:color w:val="0B769F" w:themeColor="accent4" w:themeShade="BF"/>
      <w:kern w:val="0"/>
      <w:lang w:val="da-DK"/>
      <w14:ligatures w14:val="none"/>
    </w:rPr>
    <w:tblPr>
      <w:tblStyleRowBandSize w:val="1"/>
      <w:tblStyleColBandSize w:val="1"/>
      <w:tblBorders>
        <w:top w:val="single" w:sz="4" w:space="0" w:color="60CAF3" w:themeColor="accent4" w:themeTint="99"/>
        <w:left w:val="single" w:sz="4" w:space="0" w:color="60CAF3" w:themeColor="accent4" w:themeTint="99"/>
        <w:bottom w:val="single" w:sz="4" w:space="0" w:color="60CAF3" w:themeColor="accent4" w:themeTint="99"/>
        <w:right w:val="single" w:sz="4" w:space="0" w:color="60CAF3" w:themeColor="accent4" w:themeTint="99"/>
        <w:insideH w:val="single" w:sz="4" w:space="0" w:color="60CAF3" w:themeColor="accent4" w:themeTint="99"/>
        <w:insideV w:val="single" w:sz="4" w:space="0" w:color="60CAF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  <w:tblStylePr w:type="neCell">
      <w:tblPr/>
      <w:tcPr>
        <w:tcBorders>
          <w:bottom w:val="single" w:sz="4" w:space="0" w:color="60CAF3" w:themeColor="accent4" w:themeTint="99"/>
        </w:tcBorders>
      </w:tcPr>
    </w:tblStylePr>
    <w:tblStylePr w:type="nwCell">
      <w:tblPr/>
      <w:tcPr>
        <w:tcBorders>
          <w:bottom w:val="single" w:sz="4" w:space="0" w:color="60CAF3" w:themeColor="accent4" w:themeTint="99"/>
        </w:tcBorders>
      </w:tcPr>
    </w:tblStylePr>
    <w:tblStylePr w:type="seCell">
      <w:tblPr/>
      <w:tcPr>
        <w:tcBorders>
          <w:top w:val="single" w:sz="4" w:space="0" w:color="60CAF3" w:themeColor="accent4" w:themeTint="99"/>
        </w:tcBorders>
      </w:tcPr>
    </w:tblStylePr>
    <w:tblStylePr w:type="swCell">
      <w:tblPr/>
      <w:tcPr>
        <w:tcBorders>
          <w:top w:val="single" w:sz="4" w:space="0" w:color="60CAF3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99"/>
    <w:rsid w:val="00C84B67"/>
    <w:pPr>
      <w:spacing w:after="200" w:line="280" w:lineRule="atLeast"/>
    </w:pPr>
    <w:rPr>
      <w:rFonts w:ascii="Arial" w:hAnsi="Arial"/>
      <w:color w:val="77206D" w:themeColor="accent5" w:themeShade="BF"/>
      <w:kern w:val="0"/>
      <w:lang w:val="da-DK"/>
      <w14:ligatures w14:val="none"/>
    </w:rPr>
    <w:tblPr>
      <w:tblStyleRowBandSize w:val="1"/>
      <w:tblStyleColBandSize w:val="1"/>
      <w:tblBorders>
        <w:top w:val="single" w:sz="4" w:space="0" w:color="D86DCB" w:themeColor="accent5" w:themeTint="99"/>
        <w:left w:val="single" w:sz="4" w:space="0" w:color="D86DCB" w:themeColor="accent5" w:themeTint="99"/>
        <w:bottom w:val="single" w:sz="4" w:space="0" w:color="D86DCB" w:themeColor="accent5" w:themeTint="99"/>
        <w:right w:val="single" w:sz="4" w:space="0" w:color="D86DCB" w:themeColor="accent5" w:themeTint="99"/>
        <w:insideH w:val="single" w:sz="4" w:space="0" w:color="D86DCB" w:themeColor="accent5" w:themeTint="99"/>
        <w:insideV w:val="single" w:sz="4" w:space="0" w:color="D86DC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  <w:tblStylePr w:type="neCell">
      <w:tblPr/>
      <w:tcPr>
        <w:tcBorders>
          <w:bottom w:val="single" w:sz="4" w:space="0" w:color="D86DCB" w:themeColor="accent5" w:themeTint="99"/>
        </w:tcBorders>
      </w:tcPr>
    </w:tblStylePr>
    <w:tblStylePr w:type="nwCell">
      <w:tblPr/>
      <w:tcPr>
        <w:tcBorders>
          <w:bottom w:val="single" w:sz="4" w:space="0" w:color="D86DCB" w:themeColor="accent5" w:themeTint="99"/>
        </w:tcBorders>
      </w:tcPr>
    </w:tblStylePr>
    <w:tblStylePr w:type="seCell">
      <w:tblPr/>
      <w:tcPr>
        <w:tcBorders>
          <w:top w:val="single" w:sz="4" w:space="0" w:color="D86DCB" w:themeColor="accent5" w:themeTint="99"/>
        </w:tcBorders>
      </w:tcPr>
    </w:tblStylePr>
    <w:tblStylePr w:type="swCell">
      <w:tblPr/>
      <w:tcPr>
        <w:tcBorders>
          <w:top w:val="single" w:sz="4" w:space="0" w:color="D86DCB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99"/>
    <w:rsid w:val="00C84B67"/>
    <w:pPr>
      <w:spacing w:after="200" w:line="280" w:lineRule="atLeast"/>
    </w:pPr>
    <w:rPr>
      <w:rFonts w:ascii="Arial" w:hAnsi="Arial"/>
      <w:color w:val="3A7C22" w:themeColor="accent6" w:themeShade="BF"/>
      <w:kern w:val="0"/>
      <w:lang w:val="da-DK"/>
      <w14:ligatures w14:val="none"/>
    </w:rPr>
    <w:tblPr>
      <w:tblStyleRowBandSize w:val="1"/>
      <w:tblStyleColBandSize w:val="1"/>
      <w:tblBorders>
        <w:top w:val="single" w:sz="4" w:space="0" w:color="8DD873" w:themeColor="accent6" w:themeTint="99"/>
        <w:left w:val="single" w:sz="4" w:space="0" w:color="8DD873" w:themeColor="accent6" w:themeTint="99"/>
        <w:bottom w:val="single" w:sz="4" w:space="0" w:color="8DD873" w:themeColor="accent6" w:themeTint="99"/>
        <w:right w:val="single" w:sz="4" w:space="0" w:color="8DD873" w:themeColor="accent6" w:themeTint="99"/>
        <w:insideH w:val="single" w:sz="4" w:space="0" w:color="8DD873" w:themeColor="accent6" w:themeTint="99"/>
        <w:insideV w:val="single" w:sz="4" w:space="0" w:color="8DD873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  <w:tblStylePr w:type="neCell">
      <w:tblPr/>
      <w:tcPr>
        <w:tcBorders>
          <w:bottom w:val="single" w:sz="4" w:space="0" w:color="8DD873" w:themeColor="accent6" w:themeTint="99"/>
        </w:tcBorders>
      </w:tcPr>
    </w:tblStylePr>
    <w:tblStylePr w:type="nwCell">
      <w:tblPr/>
      <w:tcPr>
        <w:tcBorders>
          <w:bottom w:val="single" w:sz="4" w:space="0" w:color="8DD873" w:themeColor="accent6" w:themeTint="99"/>
        </w:tcBorders>
      </w:tcPr>
    </w:tblStylePr>
    <w:tblStylePr w:type="seCell">
      <w:tblPr/>
      <w:tcPr>
        <w:tcBorders>
          <w:top w:val="single" w:sz="4" w:space="0" w:color="8DD873" w:themeColor="accent6" w:themeTint="99"/>
        </w:tcBorders>
      </w:tcPr>
    </w:tblStylePr>
    <w:tblStylePr w:type="swCell">
      <w:tblPr/>
      <w:tcPr>
        <w:tcBorders>
          <w:top w:val="single" w:sz="4" w:space="0" w:color="8DD873" w:themeColor="accent6" w:themeTint="99"/>
        </w:tcBorders>
      </w:tcPr>
    </w:tblStylePr>
  </w:style>
  <w:style w:type="character" w:styleId="HTMLAcronym">
    <w:name w:val="HTML Acronym"/>
    <w:basedOn w:val="DefaultParagraphFont"/>
    <w:uiPriority w:val="99"/>
    <w:semiHidden/>
    <w:rsid w:val="00C84B67"/>
    <w:rPr>
      <w:lang w:val="da-DK"/>
    </w:rPr>
  </w:style>
  <w:style w:type="paragraph" w:styleId="HTMLAddress">
    <w:name w:val="HTML Address"/>
    <w:basedOn w:val="Normal"/>
    <w:link w:val="HTMLAddressChar"/>
    <w:uiPriority w:val="99"/>
    <w:semiHidden/>
    <w:rsid w:val="00C84B67"/>
    <w:pPr>
      <w:spacing w:line="240" w:lineRule="auto"/>
    </w:pPr>
    <w:rPr>
      <w:rFonts w:eastAsiaTheme="minorHAnsi"/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C84B67"/>
    <w:rPr>
      <w:i/>
      <w:iCs/>
      <w:kern w:val="0"/>
      <w:lang w:val="da-DK"/>
      <w14:ligatures w14:val="none"/>
    </w:rPr>
  </w:style>
  <w:style w:type="character" w:styleId="HTMLCite">
    <w:name w:val="HTML Cite"/>
    <w:basedOn w:val="DefaultParagraphFont"/>
    <w:uiPriority w:val="99"/>
    <w:semiHidden/>
    <w:rsid w:val="00C84B67"/>
    <w:rPr>
      <w:i/>
      <w:iCs/>
      <w:lang w:val="da-DK"/>
    </w:rPr>
  </w:style>
  <w:style w:type="character" w:styleId="HTMLCode">
    <w:name w:val="HTML Code"/>
    <w:basedOn w:val="DefaultParagraphFont"/>
    <w:uiPriority w:val="99"/>
    <w:semiHidden/>
    <w:rsid w:val="00C84B67"/>
    <w:rPr>
      <w:rFonts w:ascii="Consolas" w:hAnsi="Consolas" w:cs="Consolas"/>
      <w:sz w:val="20"/>
      <w:szCs w:val="20"/>
      <w:lang w:val="da-DK"/>
    </w:rPr>
  </w:style>
  <w:style w:type="character" w:styleId="HTMLDefinition">
    <w:name w:val="HTML Definition"/>
    <w:basedOn w:val="DefaultParagraphFont"/>
    <w:uiPriority w:val="99"/>
    <w:semiHidden/>
    <w:rsid w:val="00C84B67"/>
    <w:rPr>
      <w:i/>
      <w:iCs/>
      <w:lang w:val="da-DK"/>
    </w:rPr>
  </w:style>
  <w:style w:type="character" w:styleId="HTMLKeyboard">
    <w:name w:val="HTML Keyboard"/>
    <w:basedOn w:val="DefaultParagraphFont"/>
    <w:uiPriority w:val="99"/>
    <w:semiHidden/>
    <w:rsid w:val="00C84B67"/>
    <w:rPr>
      <w:rFonts w:ascii="Consolas" w:hAnsi="Consolas" w:cs="Consolas"/>
      <w:sz w:val="20"/>
      <w:szCs w:val="20"/>
      <w:lang w:val="da-DK"/>
    </w:rPr>
  </w:style>
  <w:style w:type="paragraph" w:styleId="HTMLPreformatted">
    <w:name w:val="HTML Preformatted"/>
    <w:basedOn w:val="Normal"/>
    <w:link w:val="HTMLPreformattedChar"/>
    <w:uiPriority w:val="99"/>
    <w:semiHidden/>
    <w:rsid w:val="00C84B67"/>
    <w:pPr>
      <w:spacing w:line="240" w:lineRule="auto"/>
    </w:pPr>
    <w:rPr>
      <w:rFonts w:ascii="Consolas" w:eastAsiaTheme="minorHAnsi" w:hAnsi="Consolas" w:cs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84B67"/>
    <w:rPr>
      <w:rFonts w:ascii="Consolas" w:hAnsi="Consolas" w:cs="Consolas"/>
      <w:kern w:val="0"/>
      <w:sz w:val="20"/>
      <w:szCs w:val="20"/>
      <w:lang w:val="da-DK"/>
      <w14:ligatures w14:val="none"/>
    </w:rPr>
  </w:style>
  <w:style w:type="character" w:styleId="HTMLSample">
    <w:name w:val="HTML Sample"/>
    <w:basedOn w:val="DefaultParagraphFont"/>
    <w:uiPriority w:val="99"/>
    <w:semiHidden/>
    <w:rsid w:val="00C84B67"/>
    <w:rPr>
      <w:rFonts w:ascii="Consolas" w:hAnsi="Consolas" w:cs="Consolas"/>
      <w:sz w:val="24"/>
      <w:szCs w:val="24"/>
      <w:lang w:val="da-DK"/>
    </w:rPr>
  </w:style>
  <w:style w:type="character" w:styleId="HTMLTypewriter">
    <w:name w:val="HTML Typewriter"/>
    <w:basedOn w:val="DefaultParagraphFont"/>
    <w:uiPriority w:val="99"/>
    <w:semiHidden/>
    <w:rsid w:val="00C84B67"/>
    <w:rPr>
      <w:rFonts w:ascii="Consolas" w:hAnsi="Consolas" w:cs="Consolas"/>
      <w:sz w:val="20"/>
      <w:szCs w:val="20"/>
      <w:lang w:val="da-DK"/>
    </w:rPr>
  </w:style>
  <w:style w:type="character" w:styleId="HTMLVariable">
    <w:name w:val="HTML Variable"/>
    <w:basedOn w:val="DefaultParagraphFont"/>
    <w:uiPriority w:val="99"/>
    <w:semiHidden/>
    <w:rsid w:val="00C84B67"/>
    <w:rPr>
      <w:i/>
      <w:iCs/>
      <w:lang w:val="da-DK"/>
    </w:rPr>
  </w:style>
  <w:style w:type="paragraph" w:styleId="Index1">
    <w:name w:val="index 1"/>
    <w:basedOn w:val="Normal"/>
    <w:next w:val="Normal"/>
    <w:autoRedefine/>
    <w:uiPriority w:val="99"/>
    <w:semiHidden/>
    <w:rsid w:val="00C84B67"/>
    <w:pPr>
      <w:spacing w:line="240" w:lineRule="auto"/>
      <w:ind w:left="220" w:hanging="220"/>
    </w:pPr>
    <w:rPr>
      <w:rFonts w:eastAsiaTheme="minorHAnsi"/>
    </w:rPr>
  </w:style>
  <w:style w:type="paragraph" w:styleId="Index2">
    <w:name w:val="index 2"/>
    <w:basedOn w:val="Normal"/>
    <w:next w:val="Normal"/>
    <w:autoRedefine/>
    <w:uiPriority w:val="99"/>
    <w:semiHidden/>
    <w:rsid w:val="00C84B67"/>
    <w:pPr>
      <w:spacing w:line="240" w:lineRule="auto"/>
      <w:ind w:left="440" w:hanging="220"/>
    </w:pPr>
    <w:rPr>
      <w:rFonts w:eastAsiaTheme="minorHAnsi"/>
    </w:rPr>
  </w:style>
  <w:style w:type="paragraph" w:styleId="Index3">
    <w:name w:val="index 3"/>
    <w:basedOn w:val="Normal"/>
    <w:next w:val="Normal"/>
    <w:autoRedefine/>
    <w:uiPriority w:val="99"/>
    <w:semiHidden/>
    <w:rsid w:val="00C84B67"/>
    <w:pPr>
      <w:spacing w:line="240" w:lineRule="auto"/>
      <w:ind w:left="660" w:hanging="220"/>
    </w:pPr>
    <w:rPr>
      <w:rFonts w:eastAsiaTheme="minorHAnsi"/>
    </w:rPr>
  </w:style>
  <w:style w:type="paragraph" w:styleId="Index4">
    <w:name w:val="index 4"/>
    <w:basedOn w:val="Normal"/>
    <w:next w:val="Normal"/>
    <w:autoRedefine/>
    <w:uiPriority w:val="99"/>
    <w:semiHidden/>
    <w:rsid w:val="00C84B67"/>
    <w:pPr>
      <w:spacing w:line="240" w:lineRule="auto"/>
      <w:ind w:left="880" w:hanging="220"/>
    </w:pPr>
    <w:rPr>
      <w:rFonts w:eastAsiaTheme="minorHAnsi"/>
    </w:rPr>
  </w:style>
  <w:style w:type="paragraph" w:styleId="Index5">
    <w:name w:val="index 5"/>
    <w:basedOn w:val="Normal"/>
    <w:next w:val="Normal"/>
    <w:autoRedefine/>
    <w:uiPriority w:val="99"/>
    <w:semiHidden/>
    <w:rsid w:val="00C84B67"/>
    <w:pPr>
      <w:spacing w:line="240" w:lineRule="auto"/>
      <w:ind w:left="1100" w:hanging="220"/>
    </w:pPr>
    <w:rPr>
      <w:rFonts w:eastAsiaTheme="minorHAnsi"/>
    </w:rPr>
  </w:style>
  <w:style w:type="paragraph" w:styleId="Index6">
    <w:name w:val="index 6"/>
    <w:basedOn w:val="Normal"/>
    <w:next w:val="Normal"/>
    <w:autoRedefine/>
    <w:uiPriority w:val="99"/>
    <w:semiHidden/>
    <w:rsid w:val="00C84B67"/>
    <w:pPr>
      <w:spacing w:line="240" w:lineRule="auto"/>
      <w:ind w:left="1320" w:hanging="220"/>
    </w:pPr>
    <w:rPr>
      <w:rFonts w:eastAsiaTheme="minorHAnsi"/>
    </w:rPr>
  </w:style>
  <w:style w:type="paragraph" w:styleId="Index7">
    <w:name w:val="index 7"/>
    <w:basedOn w:val="Normal"/>
    <w:next w:val="Normal"/>
    <w:autoRedefine/>
    <w:uiPriority w:val="99"/>
    <w:semiHidden/>
    <w:rsid w:val="00C84B67"/>
    <w:pPr>
      <w:spacing w:line="240" w:lineRule="auto"/>
      <w:ind w:left="1540" w:hanging="220"/>
    </w:pPr>
    <w:rPr>
      <w:rFonts w:eastAsiaTheme="minorHAnsi"/>
    </w:rPr>
  </w:style>
  <w:style w:type="paragraph" w:styleId="Index8">
    <w:name w:val="index 8"/>
    <w:basedOn w:val="Normal"/>
    <w:next w:val="Normal"/>
    <w:autoRedefine/>
    <w:uiPriority w:val="99"/>
    <w:semiHidden/>
    <w:rsid w:val="00C84B67"/>
    <w:pPr>
      <w:spacing w:line="240" w:lineRule="auto"/>
      <w:ind w:left="1760" w:hanging="220"/>
    </w:pPr>
    <w:rPr>
      <w:rFonts w:eastAsiaTheme="minorHAnsi"/>
    </w:rPr>
  </w:style>
  <w:style w:type="paragraph" w:styleId="Index9">
    <w:name w:val="index 9"/>
    <w:basedOn w:val="Normal"/>
    <w:next w:val="Normal"/>
    <w:autoRedefine/>
    <w:uiPriority w:val="99"/>
    <w:semiHidden/>
    <w:rsid w:val="00C84B67"/>
    <w:pPr>
      <w:spacing w:line="240" w:lineRule="auto"/>
      <w:ind w:left="1980" w:hanging="220"/>
    </w:pPr>
    <w:rPr>
      <w:rFonts w:eastAsiaTheme="minorHAnsi"/>
    </w:rPr>
  </w:style>
  <w:style w:type="paragraph" w:styleId="IndexHeading">
    <w:name w:val="index heading"/>
    <w:basedOn w:val="Normal"/>
    <w:next w:val="Index1"/>
    <w:uiPriority w:val="99"/>
    <w:semiHidden/>
    <w:rsid w:val="00C84B67"/>
    <w:rPr>
      <w:rFonts w:asciiTheme="majorHAnsi" w:eastAsiaTheme="majorEastAsia" w:hAnsiTheme="majorHAnsi" w:cstheme="majorBidi"/>
      <w:b/>
      <w:bCs/>
    </w:rPr>
  </w:style>
  <w:style w:type="table" w:styleId="LightGrid">
    <w:name w:val="Light Grid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  <w:tblBorders>
        <w:top w:val="single" w:sz="8" w:space="0" w:color="156082" w:themeColor="accent1"/>
        <w:left w:val="single" w:sz="8" w:space="0" w:color="156082" w:themeColor="accent1"/>
        <w:bottom w:val="single" w:sz="8" w:space="0" w:color="156082" w:themeColor="accent1"/>
        <w:right w:val="single" w:sz="8" w:space="0" w:color="156082" w:themeColor="accent1"/>
        <w:insideH w:val="single" w:sz="8" w:space="0" w:color="156082" w:themeColor="accent1"/>
        <w:insideV w:val="single" w:sz="8" w:space="0" w:color="156082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18" w:space="0" w:color="156082" w:themeColor="accent1"/>
          <w:right w:val="single" w:sz="8" w:space="0" w:color="156082" w:themeColor="accent1"/>
          <w:insideH w:val="nil"/>
          <w:insideV w:val="single" w:sz="8" w:space="0" w:color="156082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  <w:insideH w:val="nil"/>
          <w:insideV w:val="single" w:sz="8" w:space="0" w:color="156082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</w:tcBorders>
      </w:tcPr>
    </w:tblStylePr>
    <w:tblStylePr w:type="band1Vert"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</w:tcBorders>
        <w:shd w:val="clear" w:color="auto" w:fill="B2DEF2" w:themeFill="accent1" w:themeFillTint="3F"/>
      </w:tcPr>
    </w:tblStylePr>
    <w:tblStylePr w:type="band1Horz"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  <w:insideV w:val="single" w:sz="8" w:space="0" w:color="156082" w:themeColor="accent1"/>
        </w:tcBorders>
        <w:shd w:val="clear" w:color="auto" w:fill="B2DEF2" w:themeFill="accent1" w:themeFillTint="3F"/>
      </w:tcPr>
    </w:tblStylePr>
    <w:tblStylePr w:type="band2Horz"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  <w:insideV w:val="single" w:sz="8" w:space="0" w:color="156082" w:themeColor="accent1"/>
        </w:tcBorders>
      </w:tcPr>
    </w:tblStylePr>
  </w:style>
  <w:style w:type="table" w:styleId="LightGrid-Accent2">
    <w:name w:val="Light Grid Accent 2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  <w:tblBorders>
        <w:top w:val="single" w:sz="8" w:space="0" w:color="E97132" w:themeColor="accent2"/>
        <w:left w:val="single" w:sz="8" w:space="0" w:color="E97132" w:themeColor="accent2"/>
        <w:bottom w:val="single" w:sz="8" w:space="0" w:color="E97132" w:themeColor="accent2"/>
        <w:right w:val="single" w:sz="8" w:space="0" w:color="E97132" w:themeColor="accent2"/>
        <w:insideH w:val="single" w:sz="8" w:space="0" w:color="E97132" w:themeColor="accent2"/>
        <w:insideV w:val="single" w:sz="8" w:space="0" w:color="E9713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18" w:space="0" w:color="E97132" w:themeColor="accent2"/>
          <w:right w:val="single" w:sz="8" w:space="0" w:color="E97132" w:themeColor="accent2"/>
          <w:insideH w:val="nil"/>
          <w:insideV w:val="single" w:sz="8" w:space="0" w:color="E97132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  <w:insideH w:val="nil"/>
          <w:insideV w:val="single" w:sz="8" w:space="0" w:color="E97132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</w:tcPr>
    </w:tblStylePr>
    <w:tblStylePr w:type="band1Vert"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  <w:shd w:val="clear" w:color="auto" w:fill="F9DBCC" w:themeFill="accent2" w:themeFillTint="3F"/>
      </w:tcPr>
    </w:tblStylePr>
    <w:tblStylePr w:type="band1Horz"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  <w:insideV w:val="single" w:sz="8" w:space="0" w:color="E97132" w:themeColor="accent2"/>
        </w:tcBorders>
        <w:shd w:val="clear" w:color="auto" w:fill="F9DBCC" w:themeFill="accent2" w:themeFillTint="3F"/>
      </w:tcPr>
    </w:tblStylePr>
    <w:tblStylePr w:type="band2Horz"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  <w:insideV w:val="single" w:sz="8" w:space="0" w:color="E97132" w:themeColor="accent2"/>
        </w:tcBorders>
      </w:tcPr>
    </w:tblStylePr>
  </w:style>
  <w:style w:type="table" w:styleId="LightGrid-Accent3">
    <w:name w:val="Light Grid Accent 3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  <w:tblBorders>
        <w:top w:val="single" w:sz="8" w:space="0" w:color="196B24" w:themeColor="accent3"/>
        <w:left w:val="single" w:sz="8" w:space="0" w:color="196B24" w:themeColor="accent3"/>
        <w:bottom w:val="single" w:sz="8" w:space="0" w:color="196B24" w:themeColor="accent3"/>
        <w:right w:val="single" w:sz="8" w:space="0" w:color="196B24" w:themeColor="accent3"/>
        <w:insideH w:val="single" w:sz="8" w:space="0" w:color="196B24" w:themeColor="accent3"/>
        <w:insideV w:val="single" w:sz="8" w:space="0" w:color="196B24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18" w:space="0" w:color="196B24" w:themeColor="accent3"/>
          <w:right w:val="single" w:sz="8" w:space="0" w:color="196B24" w:themeColor="accent3"/>
          <w:insideH w:val="nil"/>
          <w:insideV w:val="single" w:sz="8" w:space="0" w:color="196B24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  <w:insideH w:val="nil"/>
          <w:insideV w:val="single" w:sz="8" w:space="0" w:color="196B24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</w:tcBorders>
      </w:tcPr>
    </w:tblStylePr>
    <w:tblStylePr w:type="band1Vert"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</w:tcBorders>
        <w:shd w:val="clear" w:color="auto" w:fill="B3EDBA" w:themeFill="accent3" w:themeFillTint="3F"/>
      </w:tcPr>
    </w:tblStylePr>
    <w:tblStylePr w:type="band1Horz"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  <w:insideV w:val="single" w:sz="8" w:space="0" w:color="196B24" w:themeColor="accent3"/>
        </w:tcBorders>
        <w:shd w:val="clear" w:color="auto" w:fill="B3EDBA" w:themeFill="accent3" w:themeFillTint="3F"/>
      </w:tcPr>
    </w:tblStylePr>
    <w:tblStylePr w:type="band2Horz"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  <w:insideV w:val="single" w:sz="8" w:space="0" w:color="196B24" w:themeColor="accent3"/>
        </w:tcBorders>
      </w:tcPr>
    </w:tblStylePr>
  </w:style>
  <w:style w:type="table" w:styleId="LightGrid-Accent4">
    <w:name w:val="Light Grid Accent 4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  <w:tblBorders>
        <w:top w:val="single" w:sz="8" w:space="0" w:color="0F9ED5" w:themeColor="accent4"/>
        <w:left w:val="single" w:sz="8" w:space="0" w:color="0F9ED5" w:themeColor="accent4"/>
        <w:bottom w:val="single" w:sz="8" w:space="0" w:color="0F9ED5" w:themeColor="accent4"/>
        <w:right w:val="single" w:sz="8" w:space="0" w:color="0F9ED5" w:themeColor="accent4"/>
        <w:insideH w:val="single" w:sz="8" w:space="0" w:color="0F9ED5" w:themeColor="accent4"/>
        <w:insideV w:val="single" w:sz="8" w:space="0" w:color="0F9ED5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18" w:space="0" w:color="0F9ED5" w:themeColor="accent4"/>
          <w:right w:val="single" w:sz="8" w:space="0" w:color="0F9ED5" w:themeColor="accent4"/>
          <w:insideH w:val="nil"/>
          <w:insideV w:val="single" w:sz="8" w:space="0" w:color="0F9ED5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  <w:insideH w:val="nil"/>
          <w:insideV w:val="single" w:sz="8" w:space="0" w:color="0F9ED5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</w:tcBorders>
      </w:tcPr>
    </w:tblStylePr>
    <w:tblStylePr w:type="band1Vert"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</w:tcBorders>
        <w:shd w:val="clear" w:color="auto" w:fill="BDE9FA" w:themeFill="accent4" w:themeFillTint="3F"/>
      </w:tcPr>
    </w:tblStylePr>
    <w:tblStylePr w:type="band1Horz"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  <w:insideV w:val="single" w:sz="8" w:space="0" w:color="0F9ED5" w:themeColor="accent4"/>
        </w:tcBorders>
        <w:shd w:val="clear" w:color="auto" w:fill="BDE9FA" w:themeFill="accent4" w:themeFillTint="3F"/>
      </w:tcPr>
    </w:tblStylePr>
    <w:tblStylePr w:type="band2Horz"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  <w:insideV w:val="single" w:sz="8" w:space="0" w:color="0F9ED5" w:themeColor="accent4"/>
        </w:tcBorders>
      </w:tcPr>
    </w:tblStylePr>
  </w:style>
  <w:style w:type="table" w:styleId="LightGrid-Accent5">
    <w:name w:val="Light Grid Accent 5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  <w:tblBorders>
        <w:top w:val="single" w:sz="8" w:space="0" w:color="A02B93" w:themeColor="accent5"/>
        <w:left w:val="single" w:sz="8" w:space="0" w:color="A02B93" w:themeColor="accent5"/>
        <w:bottom w:val="single" w:sz="8" w:space="0" w:color="A02B93" w:themeColor="accent5"/>
        <w:right w:val="single" w:sz="8" w:space="0" w:color="A02B93" w:themeColor="accent5"/>
        <w:insideH w:val="single" w:sz="8" w:space="0" w:color="A02B93" w:themeColor="accent5"/>
        <w:insideV w:val="single" w:sz="8" w:space="0" w:color="A02B93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18" w:space="0" w:color="A02B93" w:themeColor="accent5"/>
          <w:right w:val="single" w:sz="8" w:space="0" w:color="A02B93" w:themeColor="accent5"/>
          <w:insideH w:val="nil"/>
          <w:insideV w:val="single" w:sz="8" w:space="0" w:color="A02B93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  <w:insideH w:val="nil"/>
          <w:insideV w:val="single" w:sz="8" w:space="0" w:color="A02B93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</w:tcPr>
    </w:tblStylePr>
    <w:tblStylePr w:type="band1Vert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  <w:shd w:val="clear" w:color="auto" w:fill="EFC3E9" w:themeFill="accent5" w:themeFillTint="3F"/>
      </w:tcPr>
    </w:tblStylePr>
    <w:tblStylePr w:type="band1Horz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  <w:insideV w:val="single" w:sz="8" w:space="0" w:color="A02B93" w:themeColor="accent5"/>
        </w:tcBorders>
        <w:shd w:val="clear" w:color="auto" w:fill="EFC3E9" w:themeFill="accent5" w:themeFillTint="3F"/>
      </w:tcPr>
    </w:tblStylePr>
    <w:tblStylePr w:type="band2Horz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  <w:insideV w:val="single" w:sz="8" w:space="0" w:color="A02B93" w:themeColor="accent5"/>
        </w:tcBorders>
      </w:tcPr>
    </w:tblStylePr>
  </w:style>
  <w:style w:type="table" w:styleId="LightGrid-Accent6">
    <w:name w:val="Light Grid Accent 6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  <w:tblBorders>
        <w:top w:val="single" w:sz="8" w:space="0" w:color="4EA72E" w:themeColor="accent6"/>
        <w:left w:val="single" w:sz="8" w:space="0" w:color="4EA72E" w:themeColor="accent6"/>
        <w:bottom w:val="single" w:sz="8" w:space="0" w:color="4EA72E" w:themeColor="accent6"/>
        <w:right w:val="single" w:sz="8" w:space="0" w:color="4EA72E" w:themeColor="accent6"/>
        <w:insideH w:val="single" w:sz="8" w:space="0" w:color="4EA72E" w:themeColor="accent6"/>
        <w:insideV w:val="single" w:sz="8" w:space="0" w:color="4EA72E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18" w:space="0" w:color="4EA72E" w:themeColor="accent6"/>
          <w:right w:val="single" w:sz="8" w:space="0" w:color="4EA72E" w:themeColor="accent6"/>
          <w:insideH w:val="nil"/>
          <w:insideV w:val="single" w:sz="8" w:space="0" w:color="4EA72E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  <w:insideH w:val="nil"/>
          <w:insideV w:val="single" w:sz="8" w:space="0" w:color="4EA72E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</w:tcBorders>
      </w:tcPr>
    </w:tblStylePr>
    <w:tblStylePr w:type="band1Vert"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</w:tcBorders>
        <w:shd w:val="clear" w:color="auto" w:fill="D0EFC5" w:themeFill="accent6" w:themeFillTint="3F"/>
      </w:tcPr>
    </w:tblStylePr>
    <w:tblStylePr w:type="band1Horz"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  <w:insideV w:val="single" w:sz="8" w:space="0" w:color="4EA72E" w:themeColor="accent6"/>
        </w:tcBorders>
        <w:shd w:val="clear" w:color="auto" w:fill="D0EFC5" w:themeFill="accent6" w:themeFillTint="3F"/>
      </w:tcPr>
    </w:tblStylePr>
    <w:tblStylePr w:type="band2Horz"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  <w:insideV w:val="single" w:sz="8" w:space="0" w:color="4EA72E" w:themeColor="accent6"/>
        </w:tcBorders>
      </w:tcPr>
    </w:tblStylePr>
  </w:style>
  <w:style w:type="table" w:styleId="LightList">
    <w:name w:val="Light List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  <w:tblBorders>
        <w:top w:val="single" w:sz="8" w:space="0" w:color="156082" w:themeColor="accent1"/>
        <w:left w:val="single" w:sz="8" w:space="0" w:color="156082" w:themeColor="accent1"/>
        <w:bottom w:val="single" w:sz="8" w:space="0" w:color="156082" w:themeColor="accent1"/>
        <w:right w:val="single" w:sz="8" w:space="0" w:color="156082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56082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</w:tcBorders>
      </w:tcPr>
    </w:tblStylePr>
    <w:tblStylePr w:type="band1Horz"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</w:tcBorders>
      </w:tcPr>
    </w:tblStylePr>
  </w:style>
  <w:style w:type="table" w:styleId="LightList-Accent2">
    <w:name w:val="Light List Accent 2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  <w:tblBorders>
        <w:top w:val="single" w:sz="8" w:space="0" w:color="E97132" w:themeColor="accent2"/>
        <w:left w:val="single" w:sz="8" w:space="0" w:color="E97132" w:themeColor="accent2"/>
        <w:bottom w:val="single" w:sz="8" w:space="0" w:color="E97132" w:themeColor="accent2"/>
        <w:right w:val="single" w:sz="8" w:space="0" w:color="E9713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9713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</w:tcPr>
    </w:tblStylePr>
    <w:tblStylePr w:type="band1Horz"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</w:tcPr>
    </w:tblStylePr>
  </w:style>
  <w:style w:type="table" w:styleId="LightList-Accent3">
    <w:name w:val="Light List Accent 3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  <w:tblBorders>
        <w:top w:val="single" w:sz="8" w:space="0" w:color="196B24" w:themeColor="accent3"/>
        <w:left w:val="single" w:sz="8" w:space="0" w:color="196B24" w:themeColor="accent3"/>
        <w:bottom w:val="single" w:sz="8" w:space="0" w:color="196B24" w:themeColor="accent3"/>
        <w:right w:val="single" w:sz="8" w:space="0" w:color="196B24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96B24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</w:tcBorders>
      </w:tcPr>
    </w:tblStylePr>
    <w:tblStylePr w:type="band1Horz"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</w:tcBorders>
      </w:tcPr>
    </w:tblStylePr>
  </w:style>
  <w:style w:type="table" w:styleId="LightList-Accent4">
    <w:name w:val="Light List Accent 4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  <w:tblBorders>
        <w:top w:val="single" w:sz="8" w:space="0" w:color="0F9ED5" w:themeColor="accent4"/>
        <w:left w:val="single" w:sz="8" w:space="0" w:color="0F9ED5" w:themeColor="accent4"/>
        <w:bottom w:val="single" w:sz="8" w:space="0" w:color="0F9ED5" w:themeColor="accent4"/>
        <w:right w:val="single" w:sz="8" w:space="0" w:color="0F9ED5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F9ED5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</w:tcBorders>
      </w:tcPr>
    </w:tblStylePr>
    <w:tblStylePr w:type="band1Horz"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</w:tcBorders>
      </w:tcPr>
    </w:tblStylePr>
  </w:style>
  <w:style w:type="table" w:styleId="LightList-Accent5">
    <w:name w:val="Light List Accent 5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  <w:tblBorders>
        <w:top w:val="single" w:sz="8" w:space="0" w:color="A02B93" w:themeColor="accent5"/>
        <w:left w:val="single" w:sz="8" w:space="0" w:color="A02B93" w:themeColor="accent5"/>
        <w:bottom w:val="single" w:sz="8" w:space="0" w:color="A02B93" w:themeColor="accent5"/>
        <w:right w:val="single" w:sz="8" w:space="0" w:color="A02B93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02B93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</w:tcPr>
    </w:tblStylePr>
    <w:tblStylePr w:type="band1Horz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</w:tcPr>
    </w:tblStylePr>
  </w:style>
  <w:style w:type="table" w:styleId="LightList-Accent6">
    <w:name w:val="Light List Accent 6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  <w:tblBorders>
        <w:top w:val="single" w:sz="8" w:space="0" w:color="4EA72E" w:themeColor="accent6"/>
        <w:left w:val="single" w:sz="8" w:space="0" w:color="4EA72E" w:themeColor="accent6"/>
        <w:bottom w:val="single" w:sz="8" w:space="0" w:color="4EA72E" w:themeColor="accent6"/>
        <w:right w:val="single" w:sz="8" w:space="0" w:color="4EA72E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EA72E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</w:tcBorders>
      </w:tcPr>
    </w:tblStylePr>
    <w:tblStylePr w:type="band1Horz"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</w:tcBorders>
      </w:tcPr>
    </w:tblStylePr>
  </w:style>
  <w:style w:type="table" w:styleId="LightShading">
    <w:name w:val="Light Shading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000000" w:themeColor="text1" w:themeShade="BF"/>
      <w:kern w:val="0"/>
      <w:lang w:val="da-DK"/>
      <w14:ligatures w14:val="none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0F4761" w:themeColor="accent1" w:themeShade="BF"/>
      <w:kern w:val="0"/>
      <w:lang w:val="da-DK"/>
      <w14:ligatures w14:val="none"/>
    </w:rPr>
    <w:tblPr>
      <w:tblStyleRowBandSize w:val="1"/>
      <w:tblStyleColBandSize w:val="1"/>
      <w:tblBorders>
        <w:top w:val="single" w:sz="8" w:space="0" w:color="156082" w:themeColor="accent1"/>
        <w:bottom w:val="single" w:sz="8" w:space="0" w:color="156082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56082" w:themeColor="accent1"/>
          <w:left w:val="nil"/>
          <w:bottom w:val="single" w:sz="8" w:space="0" w:color="156082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56082" w:themeColor="accent1"/>
          <w:left w:val="nil"/>
          <w:bottom w:val="single" w:sz="8" w:space="0" w:color="156082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2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2DEF2" w:themeFill="accent1" w:themeFillTint="3F"/>
      </w:tcPr>
    </w:tblStylePr>
  </w:style>
  <w:style w:type="table" w:styleId="LightShading-Accent2">
    <w:name w:val="Light Shading Accent 2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BF4E14" w:themeColor="accent2" w:themeShade="BF"/>
      <w:kern w:val="0"/>
      <w:lang w:val="da-DK"/>
      <w14:ligatures w14:val="none"/>
    </w:rPr>
    <w:tblPr>
      <w:tblStyleRowBandSize w:val="1"/>
      <w:tblStyleColBandSize w:val="1"/>
      <w:tblBorders>
        <w:top w:val="single" w:sz="8" w:space="0" w:color="E97132" w:themeColor="accent2"/>
        <w:bottom w:val="single" w:sz="8" w:space="0" w:color="E9713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97132" w:themeColor="accent2"/>
          <w:left w:val="nil"/>
          <w:bottom w:val="single" w:sz="8" w:space="0" w:color="E9713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97132" w:themeColor="accent2"/>
          <w:left w:val="nil"/>
          <w:bottom w:val="single" w:sz="8" w:space="0" w:color="E9713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DBC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9DBCC" w:themeFill="accent2" w:themeFillTint="3F"/>
      </w:tcPr>
    </w:tblStylePr>
  </w:style>
  <w:style w:type="table" w:styleId="LightShading-Accent3">
    <w:name w:val="Light Shading Accent 3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124F1A" w:themeColor="accent3" w:themeShade="BF"/>
      <w:kern w:val="0"/>
      <w:lang w:val="da-DK"/>
      <w14:ligatures w14:val="none"/>
    </w:rPr>
    <w:tblPr>
      <w:tblStyleRowBandSize w:val="1"/>
      <w:tblStyleColBandSize w:val="1"/>
      <w:tblBorders>
        <w:top w:val="single" w:sz="8" w:space="0" w:color="196B24" w:themeColor="accent3"/>
        <w:bottom w:val="single" w:sz="8" w:space="0" w:color="196B24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96B24" w:themeColor="accent3"/>
          <w:left w:val="nil"/>
          <w:bottom w:val="single" w:sz="8" w:space="0" w:color="196B24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96B24" w:themeColor="accent3"/>
          <w:left w:val="nil"/>
          <w:bottom w:val="single" w:sz="8" w:space="0" w:color="196B24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3EDB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3EDBA" w:themeFill="accent3" w:themeFillTint="3F"/>
      </w:tcPr>
    </w:tblStylePr>
  </w:style>
  <w:style w:type="table" w:styleId="LightShading-Accent4">
    <w:name w:val="Light Shading Accent 4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0B769F" w:themeColor="accent4" w:themeShade="BF"/>
      <w:kern w:val="0"/>
      <w:lang w:val="da-DK"/>
      <w14:ligatures w14:val="none"/>
    </w:rPr>
    <w:tblPr>
      <w:tblStyleRowBandSize w:val="1"/>
      <w:tblStyleColBandSize w:val="1"/>
      <w:tblBorders>
        <w:top w:val="single" w:sz="8" w:space="0" w:color="0F9ED5" w:themeColor="accent4"/>
        <w:bottom w:val="single" w:sz="8" w:space="0" w:color="0F9ED5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F9ED5" w:themeColor="accent4"/>
          <w:left w:val="nil"/>
          <w:bottom w:val="single" w:sz="8" w:space="0" w:color="0F9ED5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F9ED5" w:themeColor="accent4"/>
          <w:left w:val="nil"/>
          <w:bottom w:val="single" w:sz="8" w:space="0" w:color="0F9ED5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DE9FA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DE9FA" w:themeFill="accent4" w:themeFillTint="3F"/>
      </w:tcPr>
    </w:tblStylePr>
  </w:style>
  <w:style w:type="table" w:styleId="LightShading-Accent5">
    <w:name w:val="Light Shading Accent 5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77206D" w:themeColor="accent5" w:themeShade="BF"/>
      <w:kern w:val="0"/>
      <w:lang w:val="da-DK"/>
      <w14:ligatures w14:val="none"/>
    </w:rPr>
    <w:tblPr>
      <w:tblStyleRowBandSize w:val="1"/>
      <w:tblStyleColBandSize w:val="1"/>
      <w:tblBorders>
        <w:top w:val="single" w:sz="8" w:space="0" w:color="A02B93" w:themeColor="accent5"/>
        <w:bottom w:val="single" w:sz="8" w:space="0" w:color="A02B93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02B93" w:themeColor="accent5"/>
          <w:left w:val="nil"/>
          <w:bottom w:val="single" w:sz="8" w:space="0" w:color="A02B93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02B93" w:themeColor="accent5"/>
          <w:left w:val="nil"/>
          <w:bottom w:val="single" w:sz="8" w:space="0" w:color="A02B93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C3E9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C3E9" w:themeFill="accent5" w:themeFillTint="3F"/>
      </w:tcPr>
    </w:tblStylePr>
  </w:style>
  <w:style w:type="table" w:styleId="LightShading-Accent6">
    <w:name w:val="Light Shading Accent 6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3A7C22" w:themeColor="accent6" w:themeShade="BF"/>
      <w:kern w:val="0"/>
      <w:lang w:val="da-DK"/>
      <w14:ligatures w14:val="none"/>
    </w:rPr>
    <w:tblPr>
      <w:tblStyleRowBandSize w:val="1"/>
      <w:tblStyleColBandSize w:val="1"/>
      <w:tblBorders>
        <w:top w:val="single" w:sz="8" w:space="0" w:color="4EA72E" w:themeColor="accent6"/>
        <w:bottom w:val="single" w:sz="8" w:space="0" w:color="4EA72E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EA72E" w:themeColor="accent6"/>
          <w:left w:val="nil"/>
          <w:bottom w:val="single" w:sz="8" w:space="0" w:color="4EA72E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EA72E" w:themeColor="accent6"/>
          <w:left w:val="nil"/>
          <w:bottom w:val="single" w:sz="8" w:space="0" w:color="4EA72E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EFC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EFC5" w:themeFill="accent6" w:themeFillTint="3F"/>
      </w:tcPr>
    </w:tblStylePr>
  </w:style>
  <w:style w:type="paragraph" w:styleId="List">
    <w:name w:val="List"/>
    <w:basedOn w:val="Normal"/>
    <w:uiPriority w:val="99"/>
    <w:semiHidden/>
    <w:rsid w:val="00C84B67"/>
    <w:pPr>
      <w:ind w:left="283" w:hanging="283"/>
      <w:contextualSpacing/>
    </w:pPr>
    <w:rPr>
      <w:rFonts w:eastAsiaTheme="minorHAnsi"/>
    </w:rPr>
  </w:style>
  <w:style w:type="paragraph" w:styleId="List2">
    <w:name w:val="List 2"/>
    <w:basedOn w:val="Normal"/>
    <w:uiPriority w:val="99"/>
    <w:semiHidden/>
    <w:rsid w:val="00C84B67"/>
    <w:pPr>
      <w:ind w:left="566" w:hanging="283"/>
      <w:contextualSpacing/>
    </w:pPr>
    <w:rPr>
      <w:rFonts w:eastAsiaTheme="minorHAnsi"/>
    </w:rPr>
  </w:style>
  <w:style w:type="paragraph" w:styleId="List3">
    <w:name w:val="List 3"/>
    <w:basedOn w:val="Normal"/>
    <w:uiPriority w:val="99"/>
    <w:semiHidden/>
    <w:rsid w:val="00C84B67"/>
    <w:pPr>
      <w:ind w:left="849" w:hanging="283"/>
      <w:contextualSpacing/>
    </w:pPr>
    <w:rPr>
      <w:rFonts w:eastAsiaTheme="minorHAnsi"/>
    </w:rPr>
  </w:style>
  <w:style w:type="paragraph" w:styleId="List4">
    <w:name w:val="List 4"/>
    <w:basedOn w:val="Normal"/>
    <w:uiPriority w:val="99"/>
    <w:semiHidden/>
    <w:rsid w:val="00C84B67"/>
    <w:pPr>
      <w:ind w:left="1132" w:hanging="283"/>
      <w:contextualSpacing/>
    </w:pPr>
    <w:rPr>
      <w:rFonts w:eastAsiaTheme="minorHAnsi"/>
    </w:rPr>
  </w:style>
  <w:style w:type="paragraph" w:styleId="List5">
    <w:name w:val="List 5"/>
    <w:basedOn w:val="Normal"/>
    <w:uiPriority w:val="99"/>
    <w:semiHidden/>
    <w:rsid w:val="00C84B67"/>
    <w:pPr>
      <w:ind w:left="1415" w:hanging="283"/>
      <w:contextualSpacing/>
    </w:pPr>
    <w:rPr>
      <w:rFonts w:eastAsiaTheme="minorHAnsi"/>
    </w:rPr>
  </w:style>
  <w:style w:type="paragraph" w:styleId="ListBullet2">
    <w:name w:val="List Bullet 2"/>
    <w:basedOn w:val="Normal"/>
    <w:uiPriority w:val="99"/>
    <w:semiHidden/>
    <w:rsid w:val="00C84B67"/>
    <w:pPr>
      <w:numPr>
        <w:numId w:val="7"/>
      </w:numPr>
      <w:contextualSpacing/>
    </w:pPr>
    <w:rPr>
      <w:rFonts w:eastAsiaTheme="minorHAnsi"/>
    </w:rPr>
  </w:style>
  <w:style w:type="paragraph" w:styleId="ListBullet3">
    <w:name w:val="List Bullet 3"/>
    <w:basedOn w:val="Normal"/>
    <w:uiPriority w:val="99"/>
    <w:semiHidden/>
    <w:rsid w:val="00C84B67"/>
    <w:pPr>
      <w:tabs>
        <w:tab w:val="num" w:pos="926"/>
      </w:tabs>
      <w:ind w:left="926" w:hanging="360"/>
      <w:contextualSpacing/>
    </w:pPr>
    <w:rPr>
      <w:rFonts w:eastAsiaTheme="minorHAnsi"/>
    </w:rPr>
  </w:style>
  <w:style w:type="paragraph" w:styleId="ListBullet4">
    <w:name w:val="List Bullet 4"/>
    <w:basedOn w:val="Normal"/>
    <w:uiPriority w:val="99"/>
    <w:semiHidden/>
    <w:rsid w:val="00C84B67"/>
    <w:pPr>
      <w:numPr>
        <w:numId w:val="8"/>
      </w:numPr>
      <w:contextualSpacing/>
    </w:pPr>
    <w:rPr>
      <w:rFonts w:eastAsiaTheme="minorHAnsi"/>
    </w:rPr>
  </w:style>
  <w:style w:type="paragraph" w:styleId="ListBullet5">
    <w:name w:val="List Bullet 5"/>
    <w:basedOn w:val="Normal"/>
    <w:uiPriority w:val="99"/>
    <w:semiHidden/>
    <w:rsid w:val="00C84B67"/>
    <w:pPr>
      <w:numPr>
        <w:numId w:val="9"/>
      </w:numPr>
      <w:contextualSpacing/>
    </w:pPr>
    <w:rPr>
      <w:rFonts w:eastAsiaTheme="minorHAnsi"/>
    </w:rPr>
  </w:style>
  <w:style w:type="paragraph" w:styleId="ListContinue">
    <w:name w:val="List Continue"/>
    <w:basedOn w:val="Normal"/>
    <w:uiPriority w:val="99"/>
    <w:semiHidden/>
    <w:rsid w:val="00C84B67"/>
    <w:pPr>
      <w:spacing w:after="120"/>
      <w:ind w:left="283"/>
      <w:contextualSpacing/>
    </w:pPr>
    <w:rPr>
      <w:rFonts w:eastAsiaTheme="minorHAnsi"/>
    </w:rPr>
  </w:style>
  <w:style w:type="paragraph" w:styleId="ListContinue2">
    <w:name w:val="List Continue 2"/>
    <w:basedOn w:val="Normal"/>
    <w:uiPriority w:val="99"/>
    <w:semiHidden/>
    <w:rsid w:val="00C84B67"/>
    <w:pPr>
      <w:spacing w:after="120"/>
      <w:ind w:left="566"/>
      <w:contextualSpacing/>
    </w:pPr>
    <w:rPr>
      <w:rFonts w:eastAsiaTheme="minorHAnsi"/>
    </w:rPr>
  </w:style>
  <w:style w:type="paragraph" w:styleId="ListContinue3">
    <w:name w:val="List Continue 3"/>
    <w:basedOn w:val="Normal"/>
    <w:uiPriority w:val="99"/>
    <w:semiHidden/>
    <w:rsid w:val="00C84B67"/>
    <w:pPr>
      <w:spacing w:after="120"/>
      <w:ind w:left="849"/>
      <w:contextualSpacing/>
    </w:pPr>
    <w:rPr>
      <w:rFonts w:eastAsiaTheme="minorHAnsi"/>
    </w:rPr>
  </w:style>
  <w:style w:type="paragraph" w:styleId="ListContinue4">
    <w:name w:val="List Continue 4"/>
    <w:basedOn w:val="Normal"/>
    <w:uiPriority w:val="99"/>
    <w:semiHidden/>
    <w:rsid w:val="00C84B67"/>
    <w:pPr>
      <w:spacing w:after="120"/>
      <w:ind w:left="1132"/>
      <w:contextualSpacing/>
    </w:pPr>
    <w:rPr>
      <w:rFonts w:eastAsiaTheme="minorHAnsi"/>
    </w:rPr>
  </w:style>
  <w:style w:type="paragraph" w:styleId="ListContinue5">
    <w:name w:val="List Continue 5"/>
    <w:basedOn w:val="Normal"/>
    <w:uiPriority w:val="99"/>
    <w:semiHidden/>
    <w:rsid w:val="00C84B67"/>
    <w:pPr>
      <w:spacing w:after="120"/>
      <w:ind w:left="1415"/>
      <w:contextualSpacing/>
    </w:pPr>
    <w:rPr>
      <w:rFonts w:eastAsiaTheme="minorHAnsi"/>
    </w:rPr>
  </w:style>
  <w:style w:type="paragraph" w:styleId="ListNumber2">
    <w:name w:val="List Number 2"/>
    <w:basedOn w:val="Normal"/>
    <w:uiPriority w:val="99"/>
    <w:semiHidden/>
    <w:rsid w:val="00C84B67"/>
    <w:pPr>
      <w:numPr>
        <w:numId w:val="11"/>
      </w:numPr>
      <w:contextualSpacing/>
    </w:pPr>
    <w:rPr>
      <w:rFonts w:eastAsiaTheme="minorHAnsi"/>
    </w:rPr>
  </w:style>
  <w:style w:type="paragraph" w:styleId="ListNumber3">
    <w:name w:val="List Number 3"/>
    <w:basedOn w:val="Normal"/>
    <w:uiPriority w:val="99"/>
    <w:semiHidden/>
    <w:rsid w:val="00C84B67"/>
    <w:pPr>
      <w:numPr>
        <w:numId w:val="12"/>
      </w:numPr>
      <w:contextualSpacing/>
    </w:pPr>
    <w:rPr>
      <w:rFonts w:eastAsiaTheme="minorHAnsi"/>
    </w:rPr>
  </w:style>
  <w:style w:type="paragraph" w:styleId="ListNumber4">
    <w:name w:val="List Number 4"/>
    <w:basedOn w:val="Normal"/>
    <w:uiPriority w:val="99"/>
    <w:semiHidden/>
    <w:rsid w:val="00C84B67"/>
    <w:pPr>
      <w:numPr>
        <w:numId w:val="13"/>
      </w:numPr>
      <w:contextualSpacing/>
    </w:pPr>
    <w:rPr>
      <w:rFonts w:eastAsiaTheme="minorHAnsi"/>
    </w:rPr>
  </w:style>
  <w:style w:type="paragraph" w:styleId="ListNumber5">
    <w:name w:val="List Number 5"/>
    <w:basedOn w:val="Normal"/>
    <w:uiPriority w:val="99"/>
    <w:semiHidden/>
    <w:rsid w:val="00C84B67"/>
    <w:pPr>
      <w:contextualSpacing/>
    </w:pPr>
    <w:rPr>
      <w:rFonts w:eastAsiaTheme="minorHAnsi"/>
    </w:rPr>
  </w:style>
  <w:style w:type="table" w:styleId="ListTable1Light">
    <w:name w:val="List Table 1 Light"/>
    <w:basedOn w:val="TableNormal"/>
    <w:uiPriority w:val="99"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99"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5B0E1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ListTable1Light-Accent2">
    <w:name w:val="List Table 1 Light Accent 2"/>
    <w:basedOn w:val="TableNormal"/>
    <w:uiPriority w:val="99"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ListTable1Light-Accent3">
    <w:name w:val="List Table 1 Light Accent 3"/>
    <w:basedOn w:val="TableNormal"/>
    <w:uiPriority w:val="99"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7D45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ListTable1Light-Accent4">
    <w:name w:val="List Table 1 Light Accent 4"/>
    <w:basedOn w:val="TableNormal"/>
    <w:uiPriority w:val="99"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0CAF3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0CAF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ListTable1Light-Accent5">
    <w:name w:val="List Table 1 Light Accent 5"/>
    <w:basedOn w:val="TableNormal"/>
    <w:uiPriority w:val="99"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86DC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86DC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ListTable1Light-Accent6">
    <w:name w:val="List Table 1 Light Accent 6"/>
    <w:basedOn w:val="TableNormal"/>
    <w:uiPriority w:val="99"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DD873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DD873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table" w:styleId="ListTable2">
    <w:name w:val="List Table 2"/>
    <w:basedOn w:val="TableNormal"/>
    <w:uiPriority w:val="99"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99"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  <w:tblBorders>
        <w:top w:val="single" w:sz="4" w:space="0" w:color="45B0E1" w:themeColor="accent1" w:themeTint="99"/>
        <w:bottom w:val="single" w:sz="4" w:space="0" w:color="45B0E1" w:themeColor="accent1" w:themeTint="99"/>
        <w:insideH w:val="single" w:sz="4" w:space="0" w:color="45B0E1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ListTable2-Accent2">
    <w:name w:val="List Table 2 Accent 2"/>
    <w:basedOn w:val="TableNormal"/>
    <w:uiPriority w:val="99"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  <w:tblBorders>
        <w:top w:val="single" w:sz="4" w:space="0" w:color="F1A983" w:themeColor="accent2" w:themeTint="99"/>
        <w:bottom w:val="single" w:sz="4" w:space="0" w:color="F1A983" w:themeColor="accent2" w:themeTint="99"/>
        <w:insideH w:val="single" w:sz="4" w:space="0" w:color="F1A9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ListTable2-Accent3">
    <w:name w:val="List Table 2 Accent 3"/>
    <w:basedOn w:val="TableNormal"/>
    <w:uiPriority w:val="99"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  <w:tblBorders>
        <w:top w:val="single" w:sz="4" w:space="0" w:color="47D459" w:themeColor="accent3" w:themeTint="99"/>
        <w:bottom w:val="single" w:sz="4" w:space="0" w:color="47D459" w:themeColor="accent3" w:themeTint="99"/>
        <w:insideH w:val="single" w:sz="4" w:space="0" w:color="47D45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ListTable2-Accent4">
    <w:name w:val="List Table 2 Accent 4"/>
    <w:basedOn w:val="TableNormal"/>
    <w:uiPriority w:val="99"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  <w:tblBorders>
        <w:top w:val="single" w:sz="4" w:space="0" w:color="60CAF3" w:themeColor="accent4" w:themeTint="99"/>
        <w:bottom w:val="single" w:sz="4" w:space="0" w:color="60CAF3" w:themeColor="accent4" w:themeTint="99"/>
        <w:insideH w:val="single" w:sz="4" w:space="0" w:color="60CAF3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ListTable2-Accent5">
    <w:name w:val="List Table 2 Accent 5"/>
    <w:basedOn w:val="TableNormal"/>
    <w:uiPriority w:val="99"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  <w:tblBorders>
        <w:top w:val="single" w:sz="4" w:space="0" w:color="D86DCB" w:themeColor="accent5" w:themeTint="99"/>
        <w:bottom w:val="single" w:sz="4" w:space="0" w:color="D86DCB" w:themeColor="accent5" w:themeTint="99"/>
        <w:insideH w:val="single" w:sz="4" w:space="0" w:color="D86DC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ListTable2-Accent6">
    <w:name w:val="List Table 2 Accent 6"/>
    <w:basedOn w:val="TableNormal"/>
    <w:uiPriority w:val="99"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  <w:tblBorders>
        <w:top w:val="single" w:sz="4" w:space="0" w:color="8DD873" w:themeColor="accent6" w:themeTint="99"/>
        <w:bottom w:val="single" w:sz="4" w:space="0" w:color="8DD873" w:themeColor="accent6" w:themeTint="99"/>
        <w:insideH w:val="single" w:sz="4" w:space="0" w:color="8DD873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table" w:styleId="ListTable3">
    <w:name w:val="List Table 3"/>
    <w:basedOn w:val="TableNormal"/>
    <w:uiPriority w:val="99"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99"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  <w:tblBorders>
        <w:top w:val="single" w:sz="4" w:space="0" w:color="156082" w:themeColor="accent1"/>
        <w:left w:val="single" w:sz="4" w:space="0" w:color="156082" w:themeColor="accent1"/>
        <w:bottom w:val="single" w:sz="4" w:space="0" w:color="156082" w:themeColor="accent1"/>
        <w:right w:val="single" w:sz="4" w:space="0" w:color="156082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56082" w:themeFill="accent1"/>
      </w:tcPr>
    </w:tblStylePr>
    <w:tblStylePr w:type="lastRow">
      <w:rPr>
        <w:b/>
        <w:bCs/>
      </w:rPr>
      <w:tblPr/>
      <w:tcPr>
        <w:tcBorders>
          <w:top w:val="double" w:sz="4" w:space="0" w:color="156082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56082" w:themeColor="accent1"/>
          <w:right w:val="single" w:sz="4" w:space="0" w:color="156082" w:themeColor="accent1"/>
        </w:tcBorders>
      </w:tcPr>
    </w:tblStylePr>
    <w:tblStylePr w:type="band1Horz">
      <w:tblPr/>
      <w:tcPr>
        <w:tcBorders>
          <w:top w:val="single" w:sz="4" w:space="0" w:color="156082" w:themeColor="accent1"/>
          <w:bottom w:val="single" w:sz="4" w:space="0" w:color="156082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56082" w:themeColor="accent1"/>
          <w:left w:val="nil"/>
        </w:tcBorders>
      </w:tcPr>
    </w:tblStylePr>
    <w:tblStylePr w:type="swCell">
      <w:tblPr/>
      <w:tcPr>
        <w:tcBorders>
          <w:top w:val="double" w:sz="4" w:space="0" w:color="156082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99"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  <w:tblBorders>
        <w:top w:val="single" w:sz="4" w:space="0" w:color="E97132" w:themeColor="accent2"/>
        <w:left w:val="single" w:sz="4" w:space="0" w:color="E97132" w:themeColor="accent2"/>
        <w:bottom w:val="single" w:sz="4" w:space="0" w:color="E97132" w:themeColor="accent2"/>
        <w:right w:val="single" w:sz="4" w:space="0" w:color="E97132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97132" w:themeFill="accent2"/>
      </w:tcPr>
    </w:tblStylePr>
    <w:tblStylePr w:type="lastRow">
      <w:rPr>
        <w:b/>
        <w:bCs/>
      </w:rPr>
      <w:tblPr/>
      <w:tcPr>
        <w:tcBorders>
          <w:top w:val="double" w:sz="4" w:space="0" w:color="E97132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97132" w:themeColor="accent2"/>
          <w:right w:val="single" w:sz="4" w:space="0" w:color="E97132" w:themeColor="accent2"/>
        </w:tcBorders>
      </w:tcPr>
    </w:tblStylePr>
    <w:tblStylePr w:type="band1Horz">
      <w:tblPr/>
      <w:tcPr>
        <w:tcBorders>
          <w:top w:val="single" w:sz="4" w:space="0" w:color="E97132" w:themeColor="accent2"/>
          <w:bottom w:val="single" w:sz="4" w:space="0" w:color="E97132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97132" w:themeColor="accent2"/>
          <w:left w:val="nil"/>
        </w:tcBorders>
      </w:tcPr>
    </w:tblStylePr>
    <w:tblStylePr w:type="swCell">
      <w:tblPr/>
      <w:tcPr>
        <w:tcBorders>
          <w:top w:val="double" w:sz="4" w:space="0" w:color="E97132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99"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  <w:tblBorders>
        <w:top w:val="single" w:sz="4" w:space="0" w:color="196B24" w:themeColor="accent3"/>
        <w:left w:val="single" w:sz="4" w:space="0" w:color="196B24" w:themeColor="accent3"/>
        <w:bottom w:val="single" w:sz="4" w:space="0" w:color="196B24" w:themeColor="accent3"/>
        <w:right w:val="single" w:sz="4" w:space="0" w:color="196B24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96B24" w:themeFill="accent3"/>
      </w:tcPr>
    </w:tblStylePr>
    <w:tblStylePr w:type="lastRow">
      <w:rPr>
        <w:b/>
        <w:bCs/>
      </w:rPr>
      <w:tblPr/>
      <w:tcPr>
        <w:tcBorders>
          <w:top w:val="double" w:sz="4" w:space="0" w:color="196B24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96B24" w:themeColor="accent3"/>
          <w:right w:val="single" w:sz="4" w:space="0" w:color="196B24" w:themeColor="accent3"/>
        </w:tcBorders>
      </w:tcPr>
    </w:tblStylePr>
    <w:tblStylePr w:type="band1Horz">
      <w:tblPr/>
      <w:tcPr>
        <w:tcBorders>
          <w:top w:val="single" w:sz="4" w:space="0" w:color="196B24" w:themeColor="accent3"/>
          <w:bottom w:val="single" w:sz="4" w:space="0" w:color="196B24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96B24" w:themeColor="accent3"/>
          <w:left w:val="nil"/>
        </w:tcBorders>
      </w:tcPr>
    </w:tblStylePr>
    <w:tblStylePr w:type="swCell">
      <w:tblPr/>
      <w:tcPr>
        <w:tcBorders>
          <w:top w:val="double" w:sz="4" w:space="0" w:color="196B24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99"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  <w:tblBorders>
        <w:top w:val="single" w:sz="4" w:space="0" w:color="0F9ED5" w:themeColor="accent4"/>
        <w:left w:val="single" w:sz="4" w:space="0" w:color="0F9ED5" w:themeColor="accent4"/>
        <w:bottom w:val="single" w:sz="4" w:space="0" w:color="0F9ED5" w:themeColor="accent4"/>
        <w:right w:val="single" w:sz="4" w:space="0" w:color="0F9ED5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F9ED5" w:themeFill="accent4"/>
      </w:tcPr>
    </w:tblStylePr>
    <w:tblStylePr w:type="lastRow">
      <w:rPr>
        <w:b/>
        <w:bCs/>
      </w:rPr>
      <w:tblPr/>
      <w:tcPr>
        <w:tcBorders>
          <w:top w:val="double" w:sz="4" w:space="0" w:color="0F9ED5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F9ED5" w:themeColor="accent4"/>
          <w:right w:val="single" w:sz="4" w:space="0" w:color="0F9ED5" w:themeColor="accent4"/>
        </w:tcBorders>
      </w:tcPr>
    </w:tblStylePr>
    <w:tblStylePr w:type="band1Horz">
      <w:tblPr/>
      <w:tcPr>
        <w:tcBorders>
          <w:top w:val="single" w:sz="4" w:space="0" w:color="0F9ED5" w:themeColor="accent4"/>
          <w:bottom w:val="single" w:sz="4" w:space="0" w:color="0F9ED5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F9ED5" w:themeColor="accent4"/>
          <w:left w:val="nil"/>
        </w:tcBorders>
      </w:tcPr>
    </w:tblStylePr>
    <w:tblStylePr w:type="swCell">
      <w:tblPr/>
      <w:tcPr>
        <w:tcBorders>
          <w:top w:val="double" w:sz="4" w:space="0" w:color="0F9ED5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99"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  <w:tblBorders>
        <w:top w:val="single" w:sz="4" w:space="0" w:color="A02B93" w:themeColor="accent5"/>
        <w:left w:val="single" w:sz="4" w:space="0" w:color="A02B93" w:themeColor="accent5"/>
        <w:bottom w:val="single" w:sz="4" w:space="0" w:color="A02B93" w:themeColor="accent5"/>
        <w:right w:val="single" w:sz="4" w:space="0" w:color="A02B93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02B93" w:themeFill="accent5"/>
      </w:tcPr>
    </w:tblStylePr>
    <w:tblStylePr w:type="lastRow">
      <w:rPr>
        <w:b/>
        <w:bCs/>
      </w:rPr>
      <w:tblPr/>
      <w:tcPr>
        <w:tcBorders>
          <w:top w:val="double" w:sz="4" w:space="0" w:color="A02B93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02B93" w:themeColor="accent5"/>
          <w:right w:val="single" w:sz="4" w:space="0" w:color="A02B93" w:themeColor="accent5"/>
        </w:tcBorders>
      </w:tcPr>
    </w:tblStylePr>
    <w:tblStylePr w:type="band1Horz">
      <w:tblPr/>
      <w:tcPr>
        <w:tcBorders>
          <w:top w:val="single" w:sz="4" w:space="0" w:color="A02B93" w:themeColor="accent5"/>
          <w:bottom w:val="single" w:sz="4" w:space="0" w:color="A02B93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02B93" w:themeColor="accent5"/>
          <w:left w:val="nil"/>
        </w:tcBorders>
      </w:tcPr>
    </w:tblStylePr>
    <w:tblStylePr w:type="swCell">
      <w:tblPr/>
      <w:tcPr>
        <w:tcBorders>
          <w:top w:val="double" w:sz="4" w:space="0" w:color="A02B93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99"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  <w:tblBorders>
        <w:top w:val="single" w:sz="4" w:space="0" w:color="4EA72E" w:themeColor="accent6"/>
        <w:left w:val="single" w:sz="4" w:space="0" w:color="4EA72E" w:themeColor="accent6"/>
        <w:bottom w:val="single" w:sz="4" w:space="0" w:color="4EA72E" w:themeColor="accent6"/>
        <w:right w:val="single" w:sz="4" w:space="0" w:color="4EA72E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EA72E" w:themeFill="accent6"/>
      </w:tcPr>
    </w:tblStylePr>
    <w:tblStylePr w:type="lastRow">
      <w:rPr>
        <w:b/>
        <w:bCs/>
      </w:rPr>
      <w:tblPr/>
      <w:tcPr>
        <w:tcBorders>
          <w:top w:val="double" w:sz="4" w:space="0" w:color="4EA72E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EA72E" w:themeColor="accent6"/>
          <w:right w:val="single" w:sz="4" w:space="0" w:color="4EA72E" w:themeColor="accent6"/>
        </w:tcBorders>
      </w:tcPr>
    </w:tblStylePr>
    <w:tblStylePr w:type="band1Horz">
      <w:tblPr/>
      <w:tcPr>
        <w:tcBorders>
          <w:top w:val="single" w:sz="4" w:space="0" w:color="4EA72E" w:themeColor="accent6"/>
          <w:bottom w:val="single" w:sz="4" w:space="0" w:color="4EA72E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EA72E" w:themeColor="accent6"/>
          <w:left w:val="nil"/>
        </w:tcBorders>
      </w:tcPr>
    </w:tblStylePr>
    <w:tblStylePr w:type="swCell">
      <w:tblPr/>
      <w:tcPr>
        <w:tcBorders>
          <w:top w:val="double" w:sz="4" w:space="0" w:color="4EA72E" w:themeColor="accent6"/>
          <w:right w:val="nil"/>
        </w:tcBorders>
      </w:tcPr>
    </w:tblStylePr>
  </w:style>
  <w:style w:type="table" w:styleId="ListTable4">
    <w:name w:val="List Table 4"/>
    <w:basedOn w:val="TableNormal"/>
    <w:uiPriority w:val="99"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99"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56082" w:themeColor="accent1"/>
          <w:left w:val="single" w:sz="4" w:space="0" w:color="156082" w:themeColor="accent1"/>
          <w:bottom w:val="single" w:sz="4" w:space="0" w:color="156082" w:themeColor="accent1"/>
          <w:right w:val="single" w:sz="4" w:space="0" w:color="156082" w:themeColor="accent1"/>
          <w:insideH w:val="nil"/>
        </w:tcBorders>
        <w:shd w:val="clear" w:color="auto" w:fill="156082" w:themeFill="accent1"/>
      </w:tcPr>
    </w:tblStylePr>
    <w:tblStylePr w:type="lastRow">
      <w:rPr>
        <w:b/>
        <w:bCs/>
      </w:rPr>
      <w:tblPr/>
      <w:tcPr>
        <w:tcBorders>
          <w:top w:val="double" w:sz="4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ListTable4-Accent2">
    <w:name w:val="List Table 4 Accent 2"/>
    <w:basedOn w:val="TableNormal"/>
    <w:uiPriority w:val="99"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97132" w:themeColor="accent2"/>
          <w:left w:val="single" w:sz="4" w:space="0" w:color="E97132" w:themeColor="accent2"/>
          <w:bottom w:val="single" w:sz="4" w:space="0" w:color="E97132" w:themeColor="accent2"/>
          <w:right w:val="single" w:sz="4" w:space="0" w:color="E97132" w:themeColor="accent2"/>
          <w:insideH w:val="nil"/>
        </w:tcBorders>
        <w:shd w:val="clear" w:color="auto" w:fill="E97132" w:themeFill="accent2"/>
      </w:tcPr>
    </w:tblStylePr>
    <w:tblStylePr w:type="lastRow">
      <w:rPr>
        <w:b/>
        <w:bCs/>
      </w:rPr>
      <w:tblPr/>
      <w:tcPr>
        <w:tcBorders>
          <w:top w:val="double" w:sz="4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ListTable4-Accent3">
    <w:name w:val="List Table 4 Accent 3"/>
    <w:basedOn w:val="TableNormal"/>
    <w:uiPriority w:val="99"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  <w:tblBorders>
        <w:top w:val="single" w:sz="4" w:space="0" w:color="47D459" w:themeColor="accent3" w:themeTint="99"/>
        <w:left w:val="single" w:sz="4" w:space="0" w:color="47D459" w:themeColor="accent3" w:themeTint="99"/>
        <w:bottom w:val="single" w:sz="4" w:space="0" w:color="47D459" w:themeColor="accent3" w:themeTint="99"/>
        <w:right w:val="single" w:sz="4" w:space="0" w:color="47D459" w:themeColor="accent3" w:themeTint="99"/>
        <w:insideH w:val="single" w:sz="4" w:space="0" w:color="47D45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96B24" w:themeColor="accent3"/>
          <w:left w:val="single" w:sz="4" w:space="0" w:color="196B24" w:themeColor="accent3"/>
          <w:bottom w:val="single" w:sz="4" w:space="0" w:color="196B24" w:themeColor="accent3"/>
          <w:right w:val="single" w:sz="4" w:space="0" w:color="196B24" w:themeColor="accent3"/>
          <w:insideH w:val="nil"/>
        </w:tcBorders>
        <w:shd w:val="clear" w:color="auto" w:fill="196B24" w:themeFill="accent3"/>
      </w:tcPr>
    </w:tblStylePr>
    <w:tblStylePr w:type="lastRow">
      <w:rPr>
        <w:b/>
        <w:bCs/>
      </w:rPr>
      <w:tblPr/>
      <w:tcPr>
        <w:tcBorders>
          <w:top w:val="double" w:sz="4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ListTable4-Accent4">
    <w:name w:val="List Table 4 Accent 4"/>
    <w:basedOn w:val="TableNormal"/>
    <w:uiPriority w:val="99"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  <w:tblBorders>
        <w:top w:val="single" w:sz="4" w:space="0" w:color="60CAF3" w:themeColor="accent4" w:themeTint="99"/>
        <w:left w:val="single" w:sz="4" w:space="0" w:color="60CAF3" w:themeColor="accent4" w:themeTint="99"/>
        <w:bottom w:val="single" w:sz="4" w:space="0" w:color="60CAF3" w:themeColor="accent4" w:themeTint="99"/>
        <w:right w:val="single" w:sz="4" w:space="0" w:color="60CAF3" w:themeColor="accent4" w:themeTint="99"/>
        <w:insideH w:val="single" w:sz="4" w:space="0" w:color="60CAF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F9ED5" w:themeColor="accent4"/>
          <w:left w:val="single" w:sz="4" w:space="0" w:color="0F9ED5" w:themeColor="accent4"/>
          <w:bottom w:val="single" w:sz="4" w:space="0" w:color="0F9ED5" w:themeColor="accent4"/>
          <w:right w:val="single" w:sz="4" w:space="0" w:color="0F9ED5" w:themeColor="accent4"/>
          <w:insideH w:val="nil"/>
        </w:tcBorders>
        <w:shd w:val="clear" w:color="auto" w:fill="0F9ED5" w:themeFill="accent4"/>
      </w:tcPr>
    </w:tblStylePr>
    <w:tblStylePr w:type="lastRow">
      <w:rPr>
        <w:b/>
        <w:bCs/>
      </w:rPr>
      <w:tblPr/>
      <w:tcPr>
        <w:tcBorders>
          <w:top w:val="double" w:sz="4" w:space="0" w:color="60CAF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ListTable4-Accent5">
    <w:name w:val="List Table 4 Accent 5"/>
    <w:basedOn w:val="TableNormal"/>
    <w:uiPriority w:val="99"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  <w:tblBorders>
        <w:top w:val="single" w:sz="4" w:space="0" w:color="D86DCB" w:themeColor="accent5" w:themeTint="99"/>
        <w:left w:val="single" w:sz="4" w:space="0" w:color="D86DCB" w:themeColor="accent5" w:themeTint="99"/>
        <w:bottom w:val="single" w:sz="4" w:space="0" w:color="D86DCB" w:themeColor="accent5" w:themeTint="99"/>
        <w:right w:val="single" w:sz="4" w:space="0" w:color="D86DCB" w:themeColor="accent5" w:themeTint="99"/>
        <w:insideH w:val="single" w:sz="4" w:space="0" w:color="D86DC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02B93" w:themeColor="accent5"/>
          <w:left w:val="single" w:sz="4" w:space="0" w:color="A02B93" w:themeColor="accent5"/>
          <w:bottom w:val="single" w:sz="4" w:space="0" w:color="A02B93" w:themeColor="accent5"/>
          <w:right w:val="single" w:sz="4" w:space="0" w:color="A02B93" w:themeColor="accent5"/>
          <w:insideH w:val="nil"/>
        </w:tcBorders>
        <w:shd w:val="clear" w:color="auto" w:fill="A02B93" w:themeFill="accent5"/>
      </w:tcPr>
    </w:tblStylePr>
    <w:tblStylePr w:type="lastRow">
      <w:rPr>
        <w:b/>
        <w:bCs/>
      </w:rPr>
      <w:tblPr/>
      <w:tcPr>
        <w:tcBorders>
          <w:top w:val="double" w:sz="4" w:space="0" w:color="D86DC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ListTable4-Accent6">
    <w:name w:val="List Table 4 Accent 6"/>
    <w:basedOn w:val="TableNormal"/>
    <w:uiPriority w:val="99"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  <w:tblBorders>
        <w:top w:val="single" w:sz="4" w:space="0" w:color="8DD873" w:themeColor="accent6" w:themeTint="99"/>
        <w:left w:val="single" w:sz="4" w:space="0" w:color="8DD873" w:themeColor="accent6" w:themeTint="99"/>
        <w:bottom w:val="single" w:sz="4" w:space="0" w:color="8DD873" w:themeColor="accent6" w:themeTint="99"/>
        <w:right w:val="single" w:sz="4" w:space="0" w:color="8DD873" w:themeColor="accent6" w:themeTint="99"/>
        <w:insideH w:val="single" w:sz="4" w:space="0" w:color="8DD873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EA72E" w:themeColor="accent6"/>
          <w:left w:val="single" w:sz="4" w:space="0" w:color="4EA72E" w:themeColor="accent6"/>
          <w:bottom w:val="single" w:sz="4" w:space="0" w:color="4EA72E" w:themeColor="accent6"/>
          <w:right w:val="single" w:sz="4" w:space="0" w:color="4EA72E" w:themeColor="accent6"/>
          <w:insideH w:val="nil"/>
        </w:tcBorders>
        <w:shd w:val="clear" w:color="auto" w:fill="4EA72E" w:themeFill="accent6"/>
      </w:tcPr>
    </w:tblStylePr>
    <w:tblStylePr w:type="lastRow">
      <w:rPr>
        <w:b/>
        <w:bCs/>
      </w:rPr>
      <w:tblPr/>
      <w:tcPr>
        <w:tcBorders>
          <w:top w:val="double" w:sz="4" w:space="0" w:color="8DD873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table" w:styleId="ListTable5Dark">
    <w:name w:val="List Table 5 Dark"/>
    <w:basedOn w:val="TableNormal"/>
    <w:uiPriority w:val="99"/>
    <w:rsid w:val="00C84B67"/>
    <w:pPr>
      <w:spacing w:after="200" w:line="280" w:lineRule="atLeast"/>
    </w:pPr>
    <w:rPr>
      <w:rFonts w:ascii="Arial" w:hAnsi="Arial"/>
      <w:color w:val="FFFFFF" w:themeColor="background1"/>
      <w:kern w:val="0"/>
      <w:lang w:val="da-DK"/>
      <w14:ligatures w14:val="none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99"/>
    <w:rsid w:val="00C84B67"/>
    <w:pPr>
      <w:spacing w:after="200" w:line="280" w:lineRule="atLeast"/>
    </w:pPr>
    <w:rPr>
      <w:rFonts w:ascii="Arial" w:hAnsi="Arial"/>
      <w:color w:val="FFFFFF" w:themeColor="background1"/>
      <w:kern w:val="0"/>
      <w:lang w:val="da-DK"/>
      <w14:ligatures w14:val="none"/>
    </w:rPr>
    <w:tblPr>
      <w:tblStyleRowBandSize w:val="1"/>
      <w:tblStyleColBandSize w:val="1"/>
      <w:tblBorders>
        <w:top w:val="single" w:sz="24" w:space="0" w:color="156082" w:themeColor="accent1"/>
        <w:left w:val="single" w:sz="24" w:space="0" w:color="156082" w:themeColor="accent1"/>
        <w:bottom w:val="single" w:sz="24" w:space="0" w:color="156082" w:themeColor="accent1"/>
        <w:right w:val="single" w:sz="24" w:space="0" w:color="156082" w:themeColor="accent1"/>
      </w:tblBorders>
    </w:tblPr>
    <w:tcPr>
      <w:shd w:val="clear" w:color="auto" w:fill="156082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99"/>
    <w:rsid w:val="00C84B67"/>
    <w:pPr>
      <w:spacing w:after="200" w:line="280" w:lineRule="atLeast"/>
    </w:pPr>
    <w:rPr>
      <w:rFonts w:ascii="Arial" w:hAnsi="Arial"/>
      <w:color w:val="FFFFFF" w:themeColor="background1"/>
      <w:kern w:val="0"/>
      <w:lang w:val="da-DK"/>
      <w14:ligatures w14:val="none"/>
    </w:rPr>
    <w:tblPr>
      <w:tblStyleRowBandSize w:val="1"/>
      <w:tblStyleColBandSize w:val="1"/>
      <w:tblBorders>
        <w:top w:val="single" w:sz="24" w:space="0" w:color="E97132" w:themeColor="accent2"/>
        <w:left w:val="single" w:sz="24" w:space="0" w:color="E97132" w:themeColor="accent2"/>
        <w:bottom w:val="single" w:sz="24" w:space="0" w:color="E97132" w:themeColor="accent2"/>
        <w:right w:val="single" w:sz="24" w:space="0" w:color="E97132" w:themeColor="accent2"/>
      </w:tblBorders>
    </w:tblPr>
    <w:tcPr>
      <w:shd w:val="clear" w:color="auto" w:fill="E97132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99"/>
    <w:rsid w:val="00C84B67"/>
    <w:pPr>
      <w:spacing w:after="200" w:line="280" w:lineRule="atLeast"/>
    </w:pPr>
    <w:rPr>
      <w:rFonts w:ascii="Arial" w:hAnsi="Arial"/>
      <w:color w:val="FFFFFF" w:themeColor="background1"/>
      <w:kern w:val="0"/>
      <w:lang w:val="da-DK"/>
      <w14:ligatures w14:val="none"/>
    </w:rPr>
    <w:tblPr>
      <w:tblStyleRowBandSize w:val="1"/>
      <w:tblStyleColBandSize w:val="1"/>
      <w:tblBorders>
        <w:top w:val="single" w:sz="24" w:space="0" w:color="196B24" w:themeColor="accent3"/>
        <w:left w:val="single" w:sz="24" w:space="0" w:color="196B24" w:themeColor="accent3"/>
        <w:bottom w:val="single" w:sz="24" w:space="0" w:color="196B24" w:themeColor="accent3"/>
        <w:right w:val="single" w:sz="24" w:space="0" w:color="196B24" w:themeColor="accent3"/>
      </w:tblBorders>
    </w:tblPr>
    <w:tcPr>
      <w:shd w:val="clear" w:color="auto" w:fill="196B24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99"/>
    <w:rsid w:val="00C84B67"/>
    <w:pPr>
      <w:spacing w:after="200" w:line="280" w:lineRule="atLeast"/>
    </w:pPr>
    <w:rPr>
      <w:rFonts w:ascii="Arial" w:hAnsi="Arial"/>
      <w:color w:val="FFFFFF" w:themeColor="background1"/>
      <w:kern w:val="0"/>
      <w:lang w:val="da-DK"/>
      <w14:ligatures w14:val="none"/>
    </w:rPr>
    <w:tblPr>
      <w:tblStyleRowBandSize w:val="1"/>
      <w:tblStyleColBandSize w:val="1"/>
      <w:tblBorders>
        <w:top w:val="single" w:sz="24" w:space="0" w:color="0F9ED5" w:themeColor="accent4"/>
        <w:left w:val="single" w:sz="24" w:space="0" w:color="0F9ED5" w:themeColor="accent4"/>
        <w:bottom w:val="single" w:sz="24" w:space="0" w:color="0F9ED5" w:themeColor="accent4"/>
        <w:right w:val="single" w:sz="24" w:space="0" w:color="0F9ED5" w:themeColor="accent4"/>
      </w:tblBorders>
    </w:tblPr>
    <w:tcPr>
      <w:shd w:val="clear" w:color="auto" w:fill="0F9ED5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99"/>
    <w:rsid w:val="00C84B67"/>
    <w:pPr>
      <w:spacing w:after="200" w:line="280" w:lineRule="atLeast"/>
    </w:pPr>
    <w:rPr>
      <w:rFonts w:ascii="Arial" w:hAnsi="Arial"/>
      <w:color w:val="FFFFFF" w:themeColor="background1"/>
      <w:kern w:val="0"/>
      <w:lang w:val="da-DK"/>
      <w14:ligatures w14:val="none"/>
    </w:rPr>
    <w:tblPr>
      <w:tblStyleRowBandSize w:val="1"/>
      <w:tblStyleColBandSize w:val="1"/>
      <w:tblBorders>
        <w:top w:val="single" w:sz="24" w:space="0" w:color="A02B93" w:themeColor="accent5"/>
        <w:left w:val="single" w:sz="24" w:space="0" w:color="A02B93" w:themeColor="accent5"/>
        <w:bottom w:val="single" w:sz="24" w:space="0" w:color="A02B93" w:themeColor="accent5"/>
        <w:right w:val="single" w:sz="24" w:space="0" w:color="A02B93" w:themeColor="accent5"/>
      </w:tblBorders>
    </w:tblPr>
    <w:tcPr>
      <w:shd w:val="clear" w:color="auto" w:fill="A02B93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99"/>
    <w:rsid w:val="00C84B67"/>
    <w:pPr>
      <w:spacing w:after="200" w:line="280" w:lineRule="atLeast"/>
    </w:pPr>
    <w:rPr>
      <w:rFonts w:ascii="Arial" w:hAnsi="Arial"/>
      <w:color w:val="FFFFFF" w:themeColor="background1"/>
      <w:kern w:val="0"/>
      <w:lang w:val="da-DK"/>
      <w14:ligatures w14:val="none"/>
    </w:rPr>
    <w:tblPr>
      <w:tblStyleRowBandSize w:val="1"/>
      <w:tblStyleColBandSize w:val="1"/>
      <w:tblBorders>
        <w:top w:val="single" w:sz="24" w:space="0" w:color="4EA72E" w:themeColor="accent6"/>
        <w:left w:val="single" w:sz="24" w:space="0" w:color="4EA72E" w:themeColor="accent6"/>
        <w:bottom w:val="single" w:sz="24" w:space="0" w:color="4EA72E" w:themeColor="accent6"/>
        <w:right w:val="single" w:sz="24" w:space="0" w:color="4EA72E" w:themeColor="accent6"/>
      </w:tblBorders>
    </w:tblPr>
    <w:tcPr>
      <w:shd w:val="clear" w:color="auto" w:fill="4EA72E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99"/>
    <w:rsid w:val="00C84B67"/>
    <w:pPr>
      <w:spacing w:after="200" w:line="280" w:lineRule="atLeast"/>
    </w:pPr>
    <w:rPr>
      <w:rFonts w:ascii="Arial" w:hAnsi="Arial"/>
      <w:color w:val="000000" w:themeColor="text1"/>
      <w:kern w:val="0"/>
      <w:lang w:val="da-DK"/>
      <w14:ligatures w14:val="none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99"/>
    <w:rsid w:val="00C84B67"/>
    <w:pPr>
      <w:spacing w:after="200" w:line="280" w:lineRule="atLeast"/>
    </w:pPr>
    <w:rPr>
      <w:rFonts w:ascii="Arial" w:hAnsi="Arial"/>
      <w:color w:val="0F4761" w:themeColor="accent1" w:themeShade="BF"/>
      <w:kern w:val="0"/>
      <w:lang w:val="da-DK"/>
      <w14:ligatures w14:val="none"/>
    </w:rPr>
    <w:tblPr>
      <w:tblStyleRowBandSize w:val="1"/>
      <w:tblStyleColBandSize w:val="1"/>
      <w:tblBorders>
        <w:top w:val="single" w:sz="4" w:space="0" w:color="156082" w:themeColor="accent1"/>
        <w:bottom w:val="single" w:sz="4" w:space="0" w:color="156082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56082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5608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ListTable6Colorful-Accent2">
    <w:name w:val="List Table 6 Colorful Accent 2"/>
    <w:basedOn w:val="TableNormal"/>
    <w:uiPriority w:val="99"/>
    <w:rsid w:val="00C84B67"/>
    <w:pPr>
      <w:spacing w:after="200" w:line="280" w:lineRule="atLeast"/>
    </w:pPr>
    <w:rPr>
      <w:rFonts w:ascii="Arial" w:hAnsi="Arial"/>
      <w:color w:val="BF4E14" w:themeColor="accent2" w:themeShade="BF"/>
      <w:kern w:val="0"/>
      <w:lang w:val="da-DK"/>
      <w14:ligatures w14:val="none"/>
    </w:rPr>
    <w:tblPr>
      <w:tblStyleRowBandSize w:val="1"/>
      <w:tblStyleColBandSize w:val="1"/>
      <w:tblBorders>
        <w:top w:val="single" w:sz="4" w:space="0" w:color="E97132" w:themeColor="accent2"/>
        <w:bottom w:val="single" w:sz="4" w:space="0" w:color="E97132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97132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ListTable6Colorful-Accent3">
    <w:name w:val="List Table 6 Colorful Accent 3"/>
    <w:basedOn w:val="TableNormal"/>
    <w:uiPriority w:val="99"/>
    <w:rsid w:val="00C84B67"/>
    <w:pPr>
      <w:spacing w:after="200" w:line="280" w:lineRule="atLeast"/>
    </w:pPr>
    <w:rPr>
      <w:rFonts w:ascii="Arial" w:hAnsi="Arial"/>
      <w:color w:val="124F1A" w:themeColor="accent3" w:themeShade="BF"/>
      <w:kern w:val="0"/>
      <w:lang w:val="da-DK"/>
      <w14:ligatures w14:val="none"/>
    </w:rPr>
    <w:tblPr>
      <w:tblStyleRowBandSize w:val="1"/>
      <w:tblStyleColBandSize w:val="1"/>
      <w:tblBorders>
        <w:top w:val="single" w:sz="4" w:space="0" w:color="196B24" w:themeColor="accent3"/>
        <w:bottom w:val="single" w:sz="4" w:space="0" w:color="196B24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196B24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196B24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ListTable6Colorful-Accent4">
    <w:name w:val="List Table 6 Colorful Accent 4"/>
    <w:basedOn w:val="TableNormal"/>
    <w:uiPriority w:val="99"/>
    <w:rsid w:val="00C84B67"/>
    <w:pPr>
      <w:spacing w:after="200" w:line="280" w:lineRule="atLeast"/>
    </w:pPr>
    <w:rPr>
      <w:rFonts w:ascii="Arial" w:hAnsi="Arial"/>
      <w:color w:val="0B769F" w:themeColor="accent4" w:themeShade="BF"/>
      <w:kern w:val="0"/>
      <w:lang w:val="da-DK"/>
      <w14:ligatures w14:val="none"/>
    </w:rPr>
    <w:tblPr>
      <w:tblStyleRowBandSize w:val="1"/>
      <w:tblStyleColBandSize w:val="1"/>
      <w:tblBorders>
        <w:top w:val="single" w:sz="4" w:space="0" w:color="0F9ED5" w:themeColor="accent4"/>
        <w:bottom w:val="single" w:sz="4" w:space="0" w:color="0F9ED5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0F9ED5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0F9ED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ListTable6Colorful-Accent5">
    <w:name w:val="List Table 6 Colorful Accent 5"/>
    <w:basedOn w:val="TableNormal"/>
    <w:uiPriority w:val="99"/>
    <w:rsid w:val="00C84B67"/>
    <w:pPr>
      <w:spacing w:after="200" w:line="280" w:lineRule="atLeast"/>
    </w:pPr>
    <w:rPr>
      <w:rFonts w:ascii="Arial" w:hAnsi="Arial"/>
      <w:color w:val="77206D" w:themeColor="accent5" w:themeShade="BF"/>
      <w:kern w:val="0"/>
      <w:lang w:val="da-DK"/>
      <w14:ligatures w14:val="none"/>
    </w:rPr>
    <w:tblPr>
      <w:tblStyleRowBandSize w:val="1"/>
      <w:tblStyleColBandSize w:val="1"/>
      <w:tblBorders>
        <w:top w:val="single" w:sz="4" w:space="0" w:color="A02B93" w:themeColor="accent5"/>
        <w:bottom w:val="single" w:sz="4" w:space="0" w:color="A02B93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A02B93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A02B93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ListTable6Colorful-Accent6">
    <w:name w:val="List Table 6 Colorful Accent 6"/>
    <w:basedOn w:val="TableNormal"/>
    <w:uiPriority w:val="99"/>
    <w:rsid w:val="00C84B67"/>
    <w:pPr>
      <w:spacing w:after="200" w:line="280" w:lineRule="atLeast"/>
    </w:pPr>
    <w:rPr>
      <w:rFonts w:ascii="Arial" w:hAnsi="Arial"/>
      <w:color w:val="3A7C22" w:themeColor="accent6" w:themeShade="BF"/>
      <w:kern w:val="0"/>
      <w:lang w:val="da-DK"/>
      <w14:ligatures w14:val="none"/>
    </w:rPr>
    <w:tblPr>
      <w:tblStyleRowBandSize w:val="1"/>
      <w:tblStyleColBandSize w:val="1"/>
      <w:tblBorders>
        <w:top w:val="single" w:sz="4" w:space="0" w:color="4EA72E" w:themeColor="accent6"/>
        <w:bottom w:val="single" w:sz="4" w:space="0" w:color="4EA72E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EA72E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EA72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table" w:styleId="ListTable7Colorful">
    <w:name w:val="List Table 7 Colorful"/>
    <w:basedOn w:val="TableNormal"/>
    <w:uiPriority w:val="99"/>
    <w:rsid w:val="00C84B67"/>
    <w:pPr>
      <w:spacing w:after="200" w:line="280" w:lineRule="atLeast"/>
    </w:pPr>
    <w:rPr>
      <w:rFonts w:ascii="Arial" w:hAnsi="Arial"/>
      <w:color w:val="000000" w:themeColor="text1"/>
      <w:kern w:val="0"/>
      <w:lang w:val="da-DK"/>
      <w14:ligatures w14:val="none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99"/>
    <w:rsid w:val="00C84B67"/>
    <w:pPr>
      <w:spacing w:after="200" w:line="280" w:lineRule="atLeast"/>
    </w:pPr>
    <w:rPr>
      <w:rFonts w:ascii="Arial" w:hAnsi="Arial"/>
      <w:color w:val="0F4761" w:themeColor="accent1" w:themeShade="BF"/>
      <w:kern w:val="0"/>
      <w:lang w:val="da-DK"/>
      <w14:ligatures w14:val="none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56082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56082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56082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56082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99"/>
    <w:rsid w:val="00C84B67"/>
    <w:pPr>
      <w:spacing w:after="200" w:line="280" w:lineRule="atLeast"/>
    </w:pPr>
    <w:rPr>
      <w:rFonts w:ascii="Arial" w:hAnsi="Arial"/>
      <w:color w:val="BF4E14" w:themeColor="accent2" w:themeShade="BF"/>
      <w:kern w:val="0"/>
      <w:lang w:val="da-DK"/>
      <w14:ligatures w14:val="none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97132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97132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97132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97132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99"/>
    <w:rsid w:val="00C84B67"/>
    <w:pPr>
      <w:spacing w:after="200" w:line="280" w:lineRule="atLeast"/>
    </w:pPr>
    <w:rPr>
      <w:rFonts w:ascii="Arial" w:hAnsi="Arial"/>
      <w:color w:val="124F1A" w:themeColor="accent3" w:themeShade="BF"/>
      <w:kern w:val="0"/>
      <w:lang w:val="da-DK"/>
      <w14:ligatures w14:val="none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96B24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96B24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96B24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96B24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99"/>
    <w:rsid w:val="00C84B67"/>
    <w:pPr>
      <w:spacing w:after="200" w:line="280" w:lineRule="atLeast"/>
    </w:pPr>
    <w:rPr>
      <w:rFonts w:ascii="Arial" w:hAnsi="Arial"/>
      <w:color w:val="0B769F" w:themeColor="accent4" w:themeShade="BF"/>
      <w:kern w:val="0"/>
      <w:lang w:val="da-DK"/>
      <w14:ligatures w14:val="none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F9ED5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F9ED5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F9ED5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F9ED5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99"/>
    <w:rsid w:val="00C84B67"/>
    <w:pPr>
      <w:spacing w:after="200" w:line="280" w:lineRule="atLeast"/>
    </w:pPr>
    <w:rPr>
      <w:rFonts w:ascii="Arial" w:hAnsi="Arial"/>
      <w:color w:val="77206D" w:themeColor="accent5" w:themeShade="BF"/>
      <w:kern w:val="0"/>
      <w:lang w:val="da-DK"/>
      <w14:ligatures w14:val="none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02B93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02B93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02B93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02B93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99"/>
    <w:rsid w:val="00C84B67"/>
    <w:pPr>
      <w:spacing w:after="200" w:line="280" w:lineRule="atLeast"/>
    </w:pPr>
    <w:rPr>
      <w:rFonts w:ascii="Arial" w:hAnsi="Arial"/>
      <w:color w:val="3A7C22" w:themeColor="accent6" w:themeShade="BF"/>
      <w:kern w:val="0"/>
      <w:lang w:val="da-DK"/>
      <w14:ligatures w14:val="none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EA72E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EA72E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EA72E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EA72E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rsid w:val="00C84B6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200" w:line="280" w:lineRule="atLeast"/>
    </w:pPr>
    <w:rPr>
      <w:rFonts w:ascii="Consolas" w:hAnsi="Consolas" w:cs="Consolas"/>
      <w:color w:val="333333"/>
      <w:kern w:val="0"/>
      <w:lang w:val="da-DK"/>
      <w14:ligatures w14:val="none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C84B67"/>
    <w:rPr>
      <w:rFonts w:ascii="Consolas" w:hAnsi="Consolas" w:cs="Consolas"/>
      <w:color w:val="333333"/>
      <w:kern w:val="0"/>
      <w:lang w:val="da-DK"/>
      <w14:ligatures w14:val="none"/>
    </w:rPr>
  </w:style>
  <w:style w:type="table" w:styleId="MediumGrid1">
    <w:name w:val="Medium Grid 1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  <w:tblBorders>
        <w:top w:val="single" w:sz="8" w:space="0" w:color="2198CF" w:themeColor="accent1" w:themeTint="BF"/>
        <w:left w:val="single" w:sz="8" w:space="0" w:color="2198CF" w:themeColor="accent1" w:themeTint="BF"/>
        <w:bottom w:val="single" w:sz="8" w:space="0" w:color="2198CF" w:themeColor="accent1" w:themeTint="BF"/>
        <w:right w:val="single" w:sz="8" w:space="0" w:color="2198CF" w:themeColor="accent1" w:themeTint="BF"/>
        <w:insideH w:val="single" w:sz="8" w:space="0" w:color="2198CF" w:themeColor="accent1" w:themeTint="BF"/>
        <w:insideV w:val="single" w:sz="8" w:space="0" w:color="2198CF" w:themeColor="accent1" w:themeTint="BF"/>
      </w:tblBorders>
    </w:tblPr>
    <w:tcPr>
      <w:shd w:val="clear" w:color="auto" w:fill="B2DEF2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2198CF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4BDE6" w:themeFill="accent1" w:themeFillTint="7F"/>
      </w:tcPr>
    </w:tblStylePr>
    <w:tblStylePr w:type="band1Horz">
      <w:tblPr/>
      <w:tcPr>
        <w:shd w:val="clear" w:color="auto" w:fill="64BDE6" w:themeFill="accent1" w:themeFillTint="7F"/>
      </w:tcPr>
    </w:tblStylePr>
  </w:style>
  <w:style w:type="table" w:styleId="MediumGrid1-Accent2">
    <w:name w:val="Medium Grid 1 Accent 2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  <w:tblBorders>
        <w:top w:val="single" w:sz="8" w:space="0" w:color="EE9465" w:themeColor="accent2" w:themeTint="BF"/>
        <w:left w:val="single" w:sz="8" w:space="0" w:color="EE9465" w:themeColor="accent2" w:themeTint="BF"/>
        <w:bottom w:val="single" w:sz="8" w:space="0" w:color="EE9465" w:themeColor="accent2" w:themeTint="BF"/>
        <w:right w:val="single" w:sz="8" w:space="0" w:color="EE9465" w:themeColor="accent2" w:themeTint="BF"/>
        <w:insideH w:val="single" w:sz="8" w:space="0" w:color="EE9465" w:themeColor="accent2" w:themeTint="BF"/>
        <w:insideV w:val="single" w:sz="8" w:space="0" w:color="EE9465" w:themeColor="accent2" w:themeTint="BF"/>
      </w:tblBorders>
    </w:tblPr>
    <w:tcPr>
      <w:shd w:val="clear" w:color="auto" w:fill="F9DBC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E946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B798" w:themeFill="accent2" w:themeFillTint="7F"/>
      </w:tcPr>
    </w:tblStylePr>
    <w:tblStylePr w:type="band1Horz">
      <w:tblPr/>
      <w:tcPr>
        <w:shd w:val="clear" w:color="auto" w:fill="F4B798" w:themeFill="accent2" w:themeFillTint="7F"/>
      </w:tcPr>
    </w:tblStylePr>
  </w:style>
  <w:style w:type="table" w:styleId="MediumGrid1-Accent3">
    <w:name w:val="Medium Grid 1 Accent 3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  <w:tblBorders>
        <w:top w:val="single" w:sz="8" w:space="0" w:color="2BB73D" w:themeColor="accent3" w:themeTint="BF"/>
        <w:left w:val="single" w:sz="8" w:space="0" w:color="2BB73D" w:themeColor="accent3" w:themeTint="BF"/>
        <w:bottom w:val="single" w:sz="8" w:space="0" w:color="2BB73D" w:themeColor="accent3" w:themeTint="BF"/>
        <w:right w:val="single" w:sz="8" w:space="0" w:color="2BB73D" w:themeColor="accent3" w:themeTint="BF"/>
        <w:insideH w:val="single" w:sz="8" w:space="0" w:color="2BB73D" w:themeColor="accent3" w:themeTint="BF"/>
        <w:insideV w:val="single" w:sz="8" w:space="0" w:color="2BB73D" w:themeColor="accent3" w:themeTint="BF"/>
      </w:tblBorders>
    </w:tblPr>
    <w:tcPr>
      <w:shd w:val="clear" w:color="auto" w:fill="B3EDB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2BB73D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6DB75" w:themeFill="accent3" w:themeFillTint="7F"/>
      </w:tcPr>
    </w:tblStylePr>
    <w:tblStylePr w:type="band1Horz">
      <w:tblPr/>
      <w:tcPr>
        <w:shd w:val="clear" w:color="auto" w:fill="66DB75" w:themeFill="accent3" w:themeFillTint="7F"/>
      </w:tcPr>
    </w:tblStylePr>
  </w:style>
  <w:style w:type="table" w:styleId="MediumGrid1-Accent4">
    <w:name w:val="Medium Grid 1 Accent 4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  <w:tblBorders>
        <w:top w:val="single" w:sz="8" w:space="0" w:color="39BEF1" w:themeColor="accent4" w:themeTint="BF"/>
        <w:left w:val="single" w:sz="8" w:space="0" w:color="39BEF1" w:themeColor="accent4" w:themeTint="BF"/>
        <w:bottom w:val="single" w:sz="8" w:space="0" w:color="39BEF1" w:themeColor="accent4" w:themeTint="BF"/>
        <w:right w:val="single" w:sz="8" w:space="0" w:color="39BEF1" w:themeColor="accent4" w:themeTint="BF"/>
        <w:insideH w:val="single" w:sz="8" w:space="0" w:color="39BEF1" w:themeColor="accent4" w:themeTint="BF"/>
        <w:insideV w:val="single" w:sz="8" w:space="0" w:color="39BEF1" w:themeColor="accent4" w:themeTint="BF"/>
      </w:tblBorders>
    </w:tblPr>
    <w:tcPr>
      <w:shd w:val="clear" w:color="auto" w:fill="BDE9FA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39BEF1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BD3F5" w:themeFill="accent4" w:themeFillTint="7F"/>
      </w:tcPr>
    </w:tblStylePr>
    <w:tblStylePr w:type="band1Horz">
      <w:tblPr/>
      <w:tcPr>
        <w:shd w:val="clear" w:color="auto" w:fill="7BD3F5" w:themeFill="accent4" w:themeFillTint="7F"/>
      </w:tcPr>
    </w:tblStylePr>
  </w:style>
  <w:style w:type="table" w:styleId="MediumGrid1-Accent5">
    <w:name w:val="Medium Grid 1 Accent 5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  <w:tblBorders>
        <w:top w:val="single" w:sz="8" w:space="0" w:color="CE49BF" w:themeColor="accent5" w:themeTint="BF"/>
        <w:left w:val="single" w:sz="8" w:space="0" w:color="CE49BF" w:themeColor="accent5" w:themeTint="BF"/>
        <w:bottom w:val="single" w:sz="8" w:space="0" w:color="CE49BF" w:themeColor="accent5" w:themeTint="BF"/>
        <w:right w:val="single" w:sz="8" w:space="0" w:color="CE49BF" w:themeColor="accent5" w:themeTint="BF"/>
        <w:insideH w:val="single" w:sz="8" w:space="0" w:color="CE49BF" w:themeColor="accent5" w:themeTint="BF"/>
        <w:insideV w:val="single" w:sz="8" w:space="0" w:color="CE49BF" w:themeColor="accent5" w:themeTint="BF"/>
      </w:tblBorders>
    </w:tblPr>
    <w:tcPr>
      <w:shd w:val="clear" w:color="auto" w:fill="EFC3E9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E49B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86D4" w:themeFill="accent5" w:themeFillTint="7F"/>
      </w:tcPr>
    </w:tblStylePr>
    <w:tblStylePr w:type="band1Horz">
      <w:tblPr/>
      <w:tcPr>
        <w:shd w:val="clear" w:color="auto" w:fill="DE86D4" w:themeFill="accent5" w:themeFillTint="7F"/>
      </w:tcPr>
    </w:tblStylePr>
  </w:style>
  <w:style w:type="table" w:styleId="MediumGrid1-Accent6">
    <w:name w:val="Medium Grid 1 Accent 6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  <w:tblBorders>
        <w:top w:val="single" w:sz="8" w:space="0" w:color="71CF50" w:themeColor="accent6" w:themeTint="BF"/>
        <w:left w:val="single" w:sz="8" w:space="0" w:color="71CF50" w:themeColor="accent6" w:themeTint="BF"/>
        <w:bottom w:val="single" w:sz="8" w:space="0" w:color="71CF50" w:themeColor="accent6" w:themeTint="BF"/>
        <w:right w:val="single" w:sz="8" w:space="0" w:color="71CF50" w:themeColor="accent6" w:themeTint="BF"/>
        <w:insideH w:val="single" w:sz="8" w:space="0" w:color="71CF50" w:themeColor="accent6" w:themeTint="BF"/>
        <w:insideV w:val="single" w:sz="8" w:space="0" w:color="71CF50" w:themeColor="accent6" w:themeTint="BF"/>
      </w:tblBorders>
    </w:tblPr>
    <w:tcPr>
      <w:shd w:val="clear" w:color="auto" w:fill="D0EFC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1CF50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0DF8A" w:themeFill="accent6" w:themeFillTint="7F"/>
      </w:tcPr>
    </w:tblStylePr>
    <w:tblStylePr w:type="band1Horz">
      <w:tblPr/>
      <w:tcPr>
        <w:shd w:val="clear" w:color="auto" w:fill="A0DF8A" w:themeFill="accent6" w:themeFillTint="7F"/>
      </w:tcPr>
    </w:tblStylePr>
  </w:style>
  <w:style w:type="table" w:styleId="MediumGrid2">
    <w:name w:val="Medium Grid 2"/>
    <w:basedOn w:val="TableNormal"/>
    <w:uiPriority w:val="99"/>
    <w:semiHidden/>
    <w:unhideWhenUsed/>
    <w:rsid w:val="00C84B67"/>
    <w:pPr>
      <w:spacing w:after="200" w:line="280" w:lineRule="atLeast"/>
    </w:pPr>
    <w:rPr>
      <w:rFonts w:asciiTheme="majorHAnsi" w:eastAsiaTheme="majorEastAsia" w:hAnsiTheme="majorHAnsi" w:cstheme="majorBidi"/>
      <w:color w:val="000000" w:themeColor="text1"/>
      <w:kern w:val="0"/>
      <w:lang w:val="da-DK"/>
      <w14:ligatures w14:val="non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99"/>
    <w:semiHidden/>
    <w:unhideWhenUsed/>
    <w:rsid w:val="00C84B67"/>
    <w:pPr>
      <w:spacing w:after="200" w:line="280" w:lineRule="atLeast"/>
    </w:pPr>
    <w:rPr>
      <w:rFonts w:asciiTheme="majorHAnsi" w:eastAsiaTheme="majorEastAsia" w:hAnsiTheme="majorHAnsi" w:cstheme="majorBidi"/>
      <w:color w:val="000000" w:themeColor="text1"/>
      <w:kern w:val="0"/>
      <w:lang w:val="da-DK"/>
      <w14:ligatures w14:val="none"/>
    </w:rPr>
    <w:tblPr>
      <w:tblStyleRowBandSize w:val="1"/>
      <w:tblStyleColBandSize w:val="1"/>
      <w:tblBorders>
        <w:top w:val="single" w:sz="8" w:space="0" w:color="156082" w:themeColor="accent1"/>
        <w:left w:val="single" w:sz="8" w:space="0" w:color="156082" w:themeColor="accent1"/>
        <w:bottom w:val="single" w:sz="8" w:space="0" w:color="156082" w:themeColor="accent1"/>
        <w:right w:val="single" w:sz="8" w:space="0" w:color="156082" w:themeColor="accent1"/>
        <w:insideH w:val="single" w:sz="8" w:space="0" w:color="156082" w:themeColor="accent1"/>
        <w:insideV w:val="single" w:sz="8" w:space="0" w:color="156082" w:themeColor="accent1"/>
      </w:tblBorders>
    </w:tblPr>
    <w:tcPr>
      <w:shd w:val="clear" w:color="auto" w:fill="B2DEF2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0F2FA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1E4F5" w:themeFill="accent1" w:themeFillTint="33"/>
      </w:tcPr>
    </w:tblStylePr>
    <w:tblStylePr w:type="band1Vert">
      <w:tblPr/>
      <w:tcPr>
        <w:shd w:val="clear" w:color="auto" w:fill="64BDE6" w:themeFill="accent1" w:themeFillTint="7F"/>
      </w:tcPr>
    </w:tblStylePr>
    <w:tblStylePr w:type="band1Horz">
      <w:tblPr/>
      <w:tcPr>
        <w:tcBorders>
          <w:insideH w:val="single" w:sz="6" w:space="0" w:color="156082" w:themeColor="accent1"/>
          <w:insideV w:val="single" w:sz="6" w:space="0" w:color="156082" w:themeColor="accent1"/>
        </w:tcBorders>
        <w:shd w:val="clear" w:color="auto" w:fill="64BDE6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99"/>
    <w:semiHidden/>
    <w:unhideWhenUsed/>
    <w:rsid w:val="00C84B67"/>
    <w:pPr>
      <w:spacing w:after="200" w:line="280" w:lineRule="atLeast"/>
    </w:pPr>
    <w:rPr>
      <w:rFonts w:asciiTheme="majorHAnsi" w:eastAsiaTheme="majorEastAsia" w:hAnsiTheme="majorHAnsi" w:cstheme="majorBidi"/>
      <w:color w:val="000000" w:themeColor="text1"/>
      <w:kern w:val="0"/>
      <w:lang w:val="da-DK"/>
      <w14:ligatures w14:val="none"/>
    </w:rPr>
    <w:tblPr>
      <w:tblStyleRowBandSize w:val="1"/>
      <w:tblStyleColBandSize w:val="1"/>
      <w:tblBorders>
        <w:top w:val="single" w:sz="8" w:space="0" w:color="E97132" w:themeColor="accent2"/>
        <w:left w:val="single" w:sz="8" w:space="0" w:color="E97132" w:themeColor="accent2"/>
        <w:bottom w:val="single" w:sz="8" w:space="0" w:color="E97132" w:themeColor="accent2"/>
        <w:right w:val="single" w:sz="8" w:space="0" w:color="E97132" w:themeColor="accent2"/>
        <w:insideH w:val="single" w:sz="8" w:space="0" w:color="E97132" w:themeColor="accent2"/>
        <w:insideV w:val="single" w:sz="8" w:space="0" w:color="E97132" w:themeColor="accent2"/>
      </w:tblBorders>
    </w:tblPr>
    <w:tcPr>
      <w:shd w:val="clear" w:color="auto" w:fill="F9DBC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CF0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E2D5" w:themeFill="accent2" w:themeFillTint="33"/>
      </w:tcPr>
    </w:tblStylePr>
    <w:tblStylePr w:type="band1Vert">
      <w:tblPr/>
      <w:tcPr>
        <w:shd w:val="clear" w:color="auto" w:fill="F4B798" w:themeFill="accent2" w:themeFillTint="7F"/>
      </w:tcPr>
    </w:tblStylePr>
    <w:tblStylePr w:type="band1Horz">
      <w:tblPr/>
      <w:tcPr>
        <w:tcBorders>
          <w:insideH w:val="single" w:sz="6" w:space="0" w:color="E97132" w:themeColor="accent2"/>
          <w:insideV w:val="single" w:sz="6" w:space="0" w:color="E97132" w:themeColor="accent2"/>
        </w:tcBorders>
        <w:shd w:val="clear" w:color="auto" w:fill="F4B7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99"/>
    <w:semiHidden/>
    <w:unhideWhenUsed/>
    <w:rsid w:val="00C84B67"/>
    <w:pPr>
      <w:spacing w:after="200" w:line="280" w:lineRule="atLeast"/>
    </w:pPr>
    <w:rPr>
      <w:rFonts w:asciiTheme="majorHAnsi" w:eastAsiaTheme="majorEastAsia" w:hAnsiTheme="majorHAnsi" w:cstheme="majorBidi"/>
      <w:color w:val="000000" w:themeColor="text1"/>
      <w:kern w:val="0"/>
      <w:lang w:val="da-DK"/>
      <w14:ligatures w14:val="none"/>
    </w:rPr>
    <w:tblPr>
      <w:tblStyleRowBandSize w:val="1"/>
      <w:tblStyleColBandSize w:val="1"/>
      <w:tblBorders>
        <w:top w:val="single" w:sz="8" w:space="0" w:color="196B24" w:themeColor="accent3"/>
        <w:left w:val="single" w:sz="8" w:space="0" w:color="196B24" w:themeColor="accent3"/>
        <w:bottom w:val="single" w:sz="8" w:space="0" w:color="196B24" w:themeColor="accent3"/>
        <w:right w:val="single" w:sz="8" w:space="0" w:color="196B24" w:themeColor="accent3"/>
        <w:insideH w:val="single" w:sz="8" w:space="0" w:color="196B24" w:themeColor="accent3"/>
        <w:insideV w:val="single" w:sz="8" w:space="0" w:color="196B24" w:themeColor="accent3"/>
      </w:tblBorders>
    </w:tblPr>
    <w:tcPr>
      <w:shd w:val="clear" w:color="auto" w:fill="B3EDB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0F8E3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1F0C7" w:themeFill="accent3" w:themeFillTint="33"/>
      </w:tcPr>
    </w:tblStylePr>
    <w:tblStylePr w:type="band1Vert">
      <w:tblPr/>
      <w:tcPr>
        <w:shd w:val="clear" w:color="auto" w:fill="66DB75" w:themeFill="accent3" w:themeFillTint="7F"/>
      </w:tcPr>
    </w:tblStylePr>
    <w:tblStylePr w:type="band1Horz">
      <w:tblPr/>
      <w:tcPr>
        <w:tcBorders>
          <w:insideH w:val="single" w:sz="6" w:space="0" w:color="196B24" w:themeColor="accent3"/>
          <w:insideV w:val="single" w:sz="6" w:space="0" w:color="196B24" w:themeColor="accent3"/>
        </w:tcBorders>
        <w:shd w:val="clear" w:color="auto" w:fill="66DB75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99"/>
    <w:semiHidden/>
    <w:unhideWhenUsed/>
    <w:rsid w:val="00C84B67"/>
    <w:pPr>
      <w:spacing w:after="200" w:line="280" w:lineRule="atLeast"/>
    </w:pPr>
    <w:rPr>
      <w:rFonts w:asciiTheme="majorHAnsi" w:eastAsiaTheme="majorEastAsia" w:hAnsiTheme="majorHAnsi" w:cstheme="majorBidi"/>
      <w:color w:val="000000" w:themeColor="text1"/>
      <w:kern w:val="0"/>
      <w:lang w:val="da-DK"/>
      <w14:ligatures w14:val="none"/>
    </w:rPr>
    <w:tblPr>
      <w:tblStyleRowBandSize w:val="1"/>
      <w:tblStyleColBandSize w:val="1"/>
      <w:tblBorders>
        <w:top w:val="single" w:sz="8" w:space="0" w:color="0F9ED5" w:themeColor="accent4"/>
        <w:left w:val="single" w:sz="8" w:space="0" w:color="0F9ED5" w:themeColor="accent4"/>
        <w:bottom w:val="single" w:sz="8" w:space="0" w:color="0F9ED5" w:themeColor="accent4"/>
        <w:right w:val="single" w:sz="8" w:space="0" w:color="0F9ED5" w:themeColor="accent4"/>
        <w:insideH w:val="single" w:sz="8" w:space="0" w:color="0F9ED5" w:themeColor="accent4"/>
        <w:insideV w:val="single" w:sz="8" w:space="0" w:color="0F9ED5" w:themeColor="accent4"/>
      </w:tblBorders>
    </w:tblPr>
    <w:tcPr>
      <w:shd w:val="clear" w:color="auto" w:fill="BDE9FA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E5F6F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AEDFB" w:themeFill="accent4" w:themeFillTint="33"/>
      </w:tcPr>
    </w:tblStylePr>
    <w:tblStylePr w:type="band1Vert">
      <w:tblPr/>
      <w:tcPr>
        <w:shd w:val="clear" w:color="auto" w:fill="7BD3F5" w:themeFill="accent4" w:themeFillTint="7F"/>
      </w:tcPr>
    </w:tblStylePr>
    <w:tblStylePr w:type="band1Horz">
      <w:tblPr/>
      <w:tcPr>
        <w:tcBorders>
          <w:insideH w:val="single" w:sz="6" w:space="0" w:color="0F9ED5" w:themeColor="accent4"/>
          <w:insideV w:val="single" w:sz="6" w:space="0" w:color="0F9ED5" w:themeColor="accent4"/>
        </w:tcBorders>
        <w:shd w:val="clear" w:color="auto" w:fill="7BD3F5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99"/>
    <w:semiHidden/>
    <w:unhideWhenUsed/>
    <w:rsid w:val="00C84B67"/>
    <w:pPr>
      <w:spacing w:after="200" w:line="280" w:lineRule="atLeast"/>
    </w:pPr>
    <w:rPr>
      <w:rFonts w:asciiTheme="majorHAnsi" w:eastAsiaTheme="majorEastAsia" w:hAnsiTheme="majorHAnsi" w:cstheme="majorBidi"/>
      <w:color w:val="000000" w:themeColor="text1"/>
      <w:kern w:val="0"/>
      <w:lang w:val="da-DK"/>
      <w14:ligatures w14:val="none"/>
    </w:rPr>
    <w:tblPr>
      <w:tblStyleRowBandSize w:val="1"/>
      <w:tblStyleColBandSize w:val="1"/>
      <w:tblBorders>
        <w:top w:val="single" w:sz="8" w:space="0" w:color="A02B93" w:themeColor="accent5"/>
        <w:left w:val="single" w:sz="8" w:space="0" w:color="A02B93" w:themeColor="accent5"/>
        <w:bottom w:val="single" w:sz="8" w:space="0" w:color="A02B93" w:themeColor="accent5"/>
        <w:right w:val="single" w:sz="8" w:space="0" w:color="A02B93" w:themeColor="accent5"/>
        <w:insideH w:val="single" w:sz="8" w:space="0" w:color="A02B93" w:themeColor="accent5"/>
        <w:insideV w:val="single" w:sz="8" w:space="0" w:color="A02B93" w:themeColor="accent5"/>
      </w:tblBorders>
    </w:tblPr>
    <w:tcPr>
      <w:shd w:val="clear" w:color="auto" w:fill="EFC3E9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8E7F6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CEED" w:themeFill="accent5" w:themeFillTint="33"/>
      </w:tcPr>
    </w:tblStylePr>
    <w:tblStylePr w:type="band1Vert">
      <w:tblPr/>
      <w:tcPr>
        <w:shd w:val="clear" w:color="auto" w:fill="DE86D4" w:themeFill="accent5" w:themeFillTint="7F"/>
      </w:tcPr>
    </w:tblStylePr>
    <w:tblStylePr w:type="band1Horz">
      <w:tblPr/>
      <w:tcPr>
        <w:tcBorders>
          <w:insideH w:val="single" w:sz="6" w:space="0" w:color="A02B93" w:themeColor="accent5"/>
          <w:insideV w:val="single" w:sz="6" w:space="0" w:color="A02B93" w:themeColor="accent5"/>
        </w:tcBorders>
        <w:shd w:val="clear" w:color="auto" w:fill="DE86D4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99"/>
    <w:semiHidden/>
    <w:unhideWhenUsed/>
    <w:rsid w:val="00C84B67"/>
    <w:pPr>
      <w:spacing w:after="200" w:line="280" w:lineRule="atLeast"/>
    </w:pPr>
    <w:rPr>
      <w:rFonts w:asciiTheme="majorHAnsi" w:eastAsiaTheme="majorEastAsia" w:hAnsiTheme="majorHAnsi" w:cstheme="majorBidi"/>
      <w:color w:val="000000" w:themeColor="text1"/>
      <w:kern w:val="0"/>
      <w:lang w:val="da-DK"/>
      <w14:ligatures w14:val="none"/>
    </w:rPr>
    <w:tblPr>
      <w:tblStyleRowBandSize w:val="1"/>
      <w:tblStyleColBandSize w:val="1"/>
      <w:tblBorders>
        <w:top w:val="single" w:sz="8" w:space="0" w:color="4EA72E" w:themeColor="accent6"/>
        <w:left w:val="single" w:sz="8" w:space="0" w:color="4EA72E" w:themeColor="accent6"/>
        <w:bottom w:val="single" w:sz="8" w:space="0" w:color="4EA72E" w:themeColor="accent6"/>
        <w:right w:val="single" w:sz="8" w:space="0" w:color="4EA72E" w:themeColor="accent6"/>
        <w:insideH w:val="single" w:sz="8" w:space="0" w:color="4EA72E" w:themeColor="accent6"/>
        <w:insideV w:val="single" w:sz="8" w:space="0" w:color="4EA72E" w:themeColor="accent6"/>
      </w:tblBorders>
    </w:tblPr>
    <w:tcPr>
      <w:shd w:val="clear" w:color="auto" w:fill="D0EFC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CF8E8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F2D0" w:themeFill="accent6" w:themeFillTint="33"/>
      </w:tcPr>
    </w:tblStylePr>
    <w:tblStylePr w:type="band1Vert">
      <w:tblPr/>
      <w:tcPr>
        <w:shd w:val="clear" w:color="auto" w:fill="A0DF8A" w:themeFill="accent6" w:themeFillTint="7F"/>
      </w:tcPr>
    </w:tblStylePr>
    <w:tblStylePr w:type="band1Horz">
      <w:tblPr/>
      <w:tcPr>
        <w:tcBorders>
          <w:insideH w:val="single" w:sz="6" w:space="0" w:color="4EA72E" w:themeColor="accent6"/>
          <w:insideV w:val="single" w:sz="6" w:space="0" w:color="4EA72E" w:themeColor="accent6"/>
        </w:tcBorders>
        <w:shd w:val="clear" w:color="auto" w:fill="A0DF8A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2DEF2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56082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56082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56082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56082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4BDE6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4BDE6" w:themeFill="accent1" w:themeFillTint="7F"/>
      </w:tcPr>
    </w:tblStylePr>
  </w:style>
  <w:style w:type="table" w:styleId="MediumGrid3-Accent2">
    <w:name w:val="Medium Grid 3 Accent 2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9DBC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9713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9713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9713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9713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4B7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4B798" w:themeFill="accent2" w:themeFillTint="7F"/>
      </w:tcPr>
    </w:tblStylePr>
  </w:style>
  <w:style w:type="table" w:styleId="MediumGrid3-Accent3">
    <w:name w:val="Medium Grid 3 Accent 3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3EDB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96B24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96B24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96B24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96B24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6DB75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6DB75" w:themeFill="accent3" w:themeFillTint="7F"/>
      </w:tcPr>
    </w:tblStylePr>
  </w:style>
  <w:style w:type="table" w:styleId="MediumGrid3-Accent4">
    <w:name w:val="Medium Grid 3 Accent 4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DE9FA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F9ED5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F9ED5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F9ED5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F9ED5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7BD3F5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7BD3F5" w:themeFill="accent4" w:themeFillTint="7F"/>
      </w:tcPr>
    </w:tblStylePr>
  </w:style>
  <w:style w:type="table" w:styleId="MediumGrid3-Accent5">
    <w:name w:val="Medium Grid 3 Accent 5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C3E9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02B93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02B93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02B93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02B93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E86D4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E86D4" w:themeFill="accent5" w:themeFillTint="7F"/>
      </w:tcPr>
    </w:tblStylePr>
  </w:style>
  <w:style w:type="table" w:styleId="MediumGrid3-Accent6">
    <w:name w:val="Medium Grid 3 Accent 6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EFC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EA72E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EA72E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EA72E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EA72E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0DF8A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0DF8A" w:themeFill="accent6" w:themeFillTint="7F"/>
      </w:tcPr>
    </w:tblStylePr>
  </w:style>
  <w:style w:type="table" w:styleId="MediumList1">
    <w:name w:val="Medium List 1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000000" w:themeColor="text1"/>
      <w:kern w:val="0"/>
      <w:lang w:val="da-DK"/>
      <w14:ligatures w14:val="none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99"/>
    <w:unhideWhenUsed/>
    <w:rsid w:val="00C84B67"/>
    <w:pPr>
      <w:spacing w:after="200" w:line="280" w:lineRule="atLeast"/>
    </w:pPr>
    <w:rPr>
      <w:rFonts w:ascii="Arial" w:hAnsi="Arial"/>
      <w:color w:val="000000" w:themeColor="text1"/>
      <w:kern w:val="0"/>
      <w:lang w:val="da-DK"/>
      <w14:ligatures w14:val="none"/>
    </w:rPr>
    <w:tblPr>
      <w:tblStyleRowBandSize w:val="1"/>
      <w:tblStyleColBandSize w:val="1"/>
      <w:tblBorders>
        <w:top w:val="single" w:sz="8" w:space="0" w:color="156082" w:themeColor="accent1"/>
        <w:bottom w:val="single" w:sz="8" w:space="0" w:color="156082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56082" w:themeColor="accent1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156082" w:themeColor="accent1"/>
          <w:bottom w:val="single" w:sz="8" w:space="0" w:color="15608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56082" w:themeColor="accent1"/>
          <w:bottom w:val="single" w:sz="8" w:space="0" w:color="156082" w:themeColor="accent1"/>
        </w:tcBorders>
      </w:tcPr>
    </w:tblStylePr>
    <w:tblStylePr w:type="band1Vert">
      <w:tblPr/>
      <w:tcPr>
        <w:shd w:val="clear" w:color="auto" w:fill="B2DEF2" w:themeFill="accent1" w:themeFillTint="3F"/>
      </w:tcPr>
    </w:tblStylePr>
    <w:tblStylePr w:type="band1Horz">
      <w:tblPr/>
      <w:tcPr>
        <w:shd w:val="clear" w:color="auto" w:fill="B2DEF2" w:themeFill="accent1" w:themeFillTint="3F"/>
      </w:tcPr>
    </w:tblStylePr>
  </w:style>
  <w:style w:type="table" w:styleId="MediumList1-Accent2">
    <w:name w:val="Medium List 1 Accent 2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000000" w:themeColor="text1"/>
      <w:kern w:val="0"/>
      <w:lang w:val="da-DK"/>
      <w14:ligatures w14:val="none"/>
    </w:rPr>
    <w:tblPr>
      <w:tblStyleRowBandSize w:val="1"/>
      <w:tblStyleColBandSize w:val="1"/>
      <w:tblBorders>
        <w:top w:val="single" w:sz="8" w:space="0" w:color="E97132" w:themeColor="accent2"/>
        <w:bottom w:val="single" w:sz="8" w:space="0" w:color="E97132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97132" w:themeColor="accent2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E97132" w:themeColor="accent2"/>
          <w:bottom w:val="single" w:sz="8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97132" w:themeColor="accent2"/>
          <w:bottom w:val="single" w:sz="8" w:space="0" w:color="E97132" w:themeColor="accent2"/>
        </w:tcBorders>
      </w:tcPr>
    </w:tblStylePr>
    <w:tblStylePr w:type="band1Vert">
      <w:tblPr/>
      <w:tcPr>
        <w:shd w:val="clear" w:color="auto" w:fill="F9DBCC" w:themeFill="accent2" w:themeFillTint="3F"/>
      </w:tcPr>
    </w:tblStylePr>
    <w:tblStylePr w:type="band1Horz">
      <w:tblPr/>
      <w:tcPr>
        <w:shd w:val="clear" w:color="auto" w:fill="F9DBCC" w:themeFill="accent2" w:themeFillTint="3F"/>
      </w:tcPr>
    </w:tblStylePr>
  </w:style>
  <w:style w:type="table" w:styleId="MediumList1-Accent3">
    <w:name w:val="Medium List 1 Accent 3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000000" w:themeColor="text1"/>
      <w:kern w:val="0"/>
      <w:lang w:val="da-DK"/>
      <w14:ligatures w14:val="none"/>
    </w:rPr>
    <w:tblPr>
      <w:tblStyleRowBandSize w:val="1"/>
      <w:tblStyleColBandSize w:val="1"/>
      <w:tblBorders>
        <w:top w:val="single" w:sz="8" w:space="0" w:color="196B24" w:themeColor="accent3"/>
        <w:bottom w:val="single" w:sz="8" w:space="0" w:color="196B24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96B24" w:themeColor="accent3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196B24" w:themeColor="accent3"/>
          <w:bottom w:val="single" w:sz="8" w:space="0" w:color="196B24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96B24" w:themeColor="accent3"/>
          <w:bottom w:val="single" w:sz="8" w:space="0" w:color="196B24" w:themeColor="accent3"/>
        </w:tcBorders>
      </w:tcPr>
    </w:tblStylePr>
    <w:tblStylePr w:type="band1Vert">
      <w:tblPr/>
      <w:tcPr>
        <w:shd w:val="clear" w:color="auto" w:fill="B3EDBA" w:themeFill="accent3" w:themeFillTint="3F"/>
      </w:tcPr>
    </w:tblStylePr>
    <w:tblStylePr w:type="band1Horz">
      <w:tblPr/>
      <w:tcPr>
        <w:shd w:val="clear" w:color="auto" w:fill="B3EDBA" w:themeFill="accent3" w:themeFillTint="3F"/>
      </w:tcPr>
    </w:tblStylePr>
  </w:style>
  <w:style w:type="table" w:styleId="MediumList1-Accent4">
    <w:name w:val="Medium List 1 Accent 4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000000" w:themeColor="text1"/>
      <w:kern w:val="0"/>
      <w:lang w:val="da-DK"/>
      <w14:ligatures w14:val="none"/>
    </w:rPr>
    <w:tblPr>
      <w:tblStyleRowBandSize w:val="1"/>
      <w:tblStyleColBandSize w:val="1"/>
      <w:tblBorders>
        <w:top w:val="single" w:sz="8" w:space="0" w:color="0F9ED5" w:themeColor="accent4"/>
        <w:bottom w:val="single" w:sz="8" w:space="0" w:color="0F9ED5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F9ED5" w:themeColor="accent4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0F9ED5" w:themeColor="accent4"/>
          <w:bottom w:val="single" w:sz="8" w:space="0" w:color="0F9ED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F9ED5" w:themeColor="accent4"/>
          <w:bottom w:val="single" w:sz="8" w:space="0" w:color="0F9ED5" w:themeColor="accent4"/>
        </w:tcBorders>
      </w:tcPr>
    </w:tblStylePr>
    <w:tblStylePr w:type="band1Vert">
      <w:tblPr/>
      <w:tcPr>
        <w:shd w:val="clear" w:color="auto" w:fill="BDE9FA" w:themeFill="accent4" w:themeFillTint="3F"/>
      </w:tcPr>
    </w:tblStylePr>
    <w:tblStylePr w:type="band1Horz">
      <w:tblPr/>
      <w:tcPr>
        <w:shd w:val="clear" w:color="auto" w:fill="BDE9FA" w:themeFill="accent4" w:themeFillTint="3F"/>
      </w:tcPr>
    </w:tblStylePr>
  </w:style>
  <w:style w:type="table" w:styleId="MediumList1-Accent5">
    <w:name w:val="Medium List 1 Accent 5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000000" w:themeColor="text1"/>
      <w:kern w:val="0"/>
      <w:lang w:val="da-DK"/>
      <w14:ligatures w14:val="none"/>
    </w:rPr>
    <w:tblPr>
      <w:tblStyleRowBandSize w:val="1"/>
      <w:tblStyleColBandSize w:val="1"/>
      <w:tblBorders>
        <w:top w:val="single" w:sz="8" w:space="0" w:color="A02B93" w:themeColor="accent5"/>
        <w:bottom w:val="single" w:sz="8" w:space="0" w:color="A02B93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02B93" w:themeColor="accent5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A02B93" w:themeColor="accent5"/>
          <w:bottom w:val="single" w:sz="8" w:space="0" w:color="A02B93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02B93" w:themeColor="accent5"/>
          <w:bottom w:val="single" w:sz="8" w:space="0" w:color="A02B93" w:themeColor="accent5"/>
        </w:tcBorders>
      </w:tcPr>
    </w:tblStylePr>
    <w:tblStylePr w:type="band1Vert">
      <w:tblPr/>
      <w:tcPr>
        <w:shd w:val="clear" w:color="auto" w:fill="EFC3E9" w:themeFill="accent5" w:themeFillTint="3F"/>
      </w:tcPr>
    </w:tblStylePr>
    <w:tblStylePr w:type="band1Horz">
      <w:tblPr/>
      <w:tcPr>
        <w:shd w:val="clear" w:color="auto" w:fill="EFC3E9" w:themeFill="accent5" w:themeFillTint="3F"/>
      </w:tcPr>
    </w:tblStylePr>
  </w:style>
  <w:style w:type="table" w:styleId="MediumList1-Accent6">
    <w:name w:val="Medium List 1 Accent 6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000000" w:themeColor="text1"/>
      <w:kern w:val="0"/>
      <w:lang w:val="da-DK"/>
      <w14:ligatures w14:val="none"/>
    </w:rPr>
    <w:tblPr>
      <w:tblStyleRowBandSize w:val="1"/>
      <w:tblStyleColBandSize w:val="1"/>
      <w:tblBorders>
        <w:top w:val="single" w:sz="8" w:space="0" w:color="4EA72E" w:themeColor="accent6"/>
        <w:bottom w:val="single" w:sz="8" w:space="0" w:color="4EA72E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EA72E" w:themeColor="accent6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4EA72E" w:themeColor="accent6"/>
          <w:bottom w:val="single" w:sz="8" w:space="0" w:color="4EA72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EA72E" w:themeColor="accent6"/>
          <w:bottom w:val="single" w:sz="8" w:space="0" w:color="4EA72E" w:themeColor="accent6"/>
        </w:tcBorders>
      </w:tcPr>
    </w:tblStylePr>
    <w:tblStylePr w:type="band1Vert">
      <w:tblPr/>
      <w:tcPr>
        <w:shd w:val="clear" w:color="auto" w:fill="D0EFC5" w:themeFill="accent6" w:themeFillTint="3F"/>
      </w:tcPr>
    </w:tblStylePr>
    <w:tblStylePr w:type="band1Horz">
      <w:tblPr/>
      <w:tcPr>
        <w:shd w:val="clear" w:color="auto" w:fill="D0EFC5" w:themeFill="accent6" w:themeFillTint="3F"/>
      </w:tcPr>
    </w:tblStylePr>
  </w:style>
  <w:style w:type="table" w:styleId="MediumList2">
    <w:name w:val="Medium List 2"/>
    <w:basedOn w:val="TableNormal"/>
    <w:uiPriority w:val="99"/>
    <w:semiHidden/>
    <w:unhideWhenUsed/>
    <w:rsid w:val="00C84B67"/>
    <w:pPr>
      <w:spacing w:after="200" w:line="280" w:lineRule="atLeast"/>
    </w:pPr>
    <w:rPr>
      <w:rFonts w:asciiTheme="majorHAnsi" w:eastAsiaTheme="majorEastAsia" w:hAnsiTheme="majorHAnsi" w:cstheme="majorBidi"/>
      <w:color w:val="000000" w:themeColor="text1"/>
      <w:kern w:val="0"/>
      <w:lang w:val="da-DK"/>
      <w14:ligatures w14:val="non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99"/>
    <w:semiHidden/>
    <w:unhideWhenUsed/>
    <w:rsid w:val="00C84B67"/>
    <w:pPr>
      <w:spacing w:after="200" w:line="280" w:lineRule="atLeast"/>
    </w:pPr>
    <w:rPr>
      <w:rFonts w:asciiTheme="majorHAnsi" w:eastAsiaTheme="majorEastAsia" w:hAnsiTheme="majorHAnsi" w:cstheme="majorBidi"/>
      <w:color w:val="000000" w:themeColor="text1"/>
      <w:kern w:val="0"/>
      <w:lang w:val="da-DK"/>
      <w14:ligatures w14:val="none"/>
    </w:rPr>
    <w:tblPr>
      <w:tblStyleRowBandSize w:val="1"/>
      <w:tblStyleColBandSize w:val="1"/>
      <w:tblBorders>
        <w:top w:val="single" w:sz="8" w:space="0" w:color="156082" w:themeColor="accent1"/>
        <w:left w:val="single" w:sz="8" w:space="0" w:color="156082" w:themeColor="accent1"/>
        <w:bottom w:val="single" w:sz="8" w:space="0" w:color="156082" w:themeColor="accent1"/>
        <w:right w:val="single" w:sz="8" w:space="0" w:color="156082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56082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156082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56082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56082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2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2DEF2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99"/>
    <w:semiHidden/>
    <w:unhideWhenUsed/>
    <w:rsid w:val="00C84B67"/>
    <w:pPr>
      <w:spacing w:after="200" w:line="280" w:lineRule="atLeast"/>
    </w:pPr>
    <w:rPr>
      <w:rFonts w:asciiTheme="majorHAnsi" w:eastAsiaTheme="majorEastAsia" w:hAnsiTheme="majorHAnsi" w:cstheme="majorBidi"/>
      <w:color w:val="000000" w:themeColor="text1"/>
      <w:kern w:val="0"/>
      <w:lang w:val="da-DK"/>
      <w14:ligatures w14:val="none"/>
    </w:rPr>
    <w:tblPr>
      <w:tblStyleRowBandSize w:val="1"/>
      <w:tblStyleColBandSize w:val="1"/>
      <w:tblBorders>
        <w:top w:val="single" w:sz="8" w:space="0" w:color="E97132" w:themeColor="accent2"/>
        <w:left w:val="single" w:sz="8" w:space="0" w:color="E97132" w:themeColor="accent2"/>
        <w:bottom w:val="single" w:sz="8" w:space="0" w:color="E97132" w:themeColor="accent2"/>
        <w:right w:val="single" w:sz="8" w:space="0" w:color="E97132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9713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97132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97132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97132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DBC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9DBC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99"/>
    <w:semiHidden/>
    <w:unhideWhenUsed/>
    <w:rsid w:val="00C84B67"/>
    <w:pPr>
      <w:spacing w:after="200" w:line="280" w:lineRule="atLeast"/>
    </w:pPr>
    <w:rPr>
      <w:rFonts w:asciiTheme="majorHAnsi" w:eastAsiaTheme="majorEastAsia" w:hAnsiTheme="majorHAnsi" w:cstheme="majorBidi"/>
      <w:color w:val="000000" w:themeColor="text1"/>
      <w:kern w:val="0"/>
      <w:lang w:val="da-DK"/>
      <w14:ligatures w14:val="none"/>
    </w:rPr>
    <w:tblPr>
      <w:tblStyleRowBandSize w:val="1"/>
      <w:tblStyleColBandSize w:val="1"/>
      <w:tblBorders>
        <w:top w:val="single" w:sz="8" w:space="0" w:color="196B24" w:themeColor="accent3"/>
        <w:left w:val="single" w:sz="8" w:space="0" w:color="196B24" w:themeColor="accent3"/>
        <w:bottom w:val="single" w:sz="8" w:space="0" w:color="196B24" w:themeColor="accent3"/>
        <w:right w:val="single" w:sz="8" w:space="0" w:color="196B24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96B24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196B24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96B24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96B24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3EDB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3EDB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99"/>
    <w:semiHidden/>
    <w:unhideWhenUsed/>
    <w:rsid w:val="00C84B67"/>
    <w:pPr>
      <w:spacing w:after="200" w:line="280" w:lineRule="atLeast"/>
    </w:pPr>
    <w:rPr>
      <w:rFonts w:asciiTheme="majorHAnsi" w:eastAsiaTheme="majorEastAsia" w:hAnsiTheme="majorHAnsi" w:cstheme="majorBidi"/>
      <w:color w:val="000000" w:themeColor="text1"/>
      <w:kern w:val="0"/>
      <w:lang w:val="da-DK"/>
      <w14:ligatures w14:val="none"/>
    </w:rPr>
    <w:tblPr>
      <w:tblStyleRowBandSize w:val="1"/>
      <w:tblStyleColBandSize w:val="1"/>
      <w:tblBorders>
        <w:top w:val="single" w:sz="8" w:space="0" w:color="0F9ED5" w:themeColor="accent4"/>
        <w:left w:val="single" w:sz="8" w:space="0" w:color="0F9ED5" w:themeColor="accent4"/>
        <w:bottom w:val="single" w:sz="8" w:space="0" w:color="0F9ED5" w:themeColor="accent4"/>
        <w:right w:val="single" w:sz="8" w:space="0" w:color="0F9ED5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F9ED5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F9ED5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F9ED5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F9ED5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DE9FA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DE9FA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99"/>
    <w:semiHidden/>
    <w:unhideWhenUsed/>
    <w:rsid w:val="00C84B67"/>
    <w:pPr>
      <w:spacing w:after="200" w:line="280" w:lineRule="atLeast"/>
    </w:pPr>
    <w:rPr>
      <w:rFonts w:asciiTheme="majorHAnsi" w:eastAsiaTheme="majorEastAsia" w:hAnsiTheme="majorHAnsi" w:cstheme="majorBidi"/>
      <w:color w:val="000000" w:themeColor="text1"/>
      <w:kern w:val="0"/>
      <w:lang w:val="da-DK"/>
      <w14:ligatures w14:val="none"/>
    </w:rPr>
    <w:tblPr>
      <w:tblStyleRowBandSize w:val="1"/>
      <w:tblStyleColBandSize w:val="1"/>
      <w:tblBorders>
        <w:top w:val="single" w:sz="8" w:space="0" w:color="A02B93" w:themeColor="accent5"/>
        <w:left w:val="single" w:sz="8" w:space="0" w:color="A02B93" w:themeColor="accent5"/>
        <w:bottom w:val="single" w:sz="8" w:space="0" w:color="A02B93" w:themeColor="accent5"/>
        <w:right w:val="single" w:sz="8" w:space="0" w:color="A02B93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02B93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A02B93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02B93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02B93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C3E9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C3E9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99"/>
    <w:semiHidden/>
    <w:unhideWhenUsed/>
    <w:rsid w:val="00C84B67"/>
    <w:pPr>
      <w:spacing w:after="200" w:line="280" w:lineRule="atLeast"/>
    </w:pPr>
    <w:rPr>
      <w:rFonts w:asciiTheme="majorHAnsi" w:eastAsiaTheme="majorEastAsia" w:hAnsiTheme="majorHAnsi" w:cstheme="majorBidi"/>
      <w:color w:val="000000" w:themeColor="text1"/>
      <w:kern w:val="0"/>
      <w:lang w:val="da-DK"/>
      <w14:ligatures w14:val="none"/>
    </w:rPr>
    <w:tblPr>
      <w:tblStyleRowBandSize w:val="1"/>
      <w:tblStyleColBandSize w:val="1"/>
      <w:tblBorders>
        <w:top w:val="single" w:sz="8" w:space="0" w:color="4EA72E" w:themeColor="accent6"/>
        <w:left w:val="single" w:sz="8" w:space="0" w:color="4EA72E" w:themeColor="accent6"/>
        <w:bottom w:val="single" w:sz="8" w:space="0" w:color="4EA72E" w:themeColor="accent6"/>
        <w:right w:val="single" w:sz="8" w:space="0" w:color="4EA72E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EA72E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EA72E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EA72E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EA72E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EFC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EFC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99"/>
    <w:unhideWhenUsed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  <w:tblBorders>
        <w:top w:val="single" w:sz="8" w:space="0" w:color="2198CF" w:themeColor="accent1" w:themeTint="BF"/>
        <w:left w:val="single" w:sz="8" w:space="0" w:color="2198CF" w:themeColor="accent1" w:themeTint="BF"/>
        <w:bottom w:val="single" w:sz="8" w:space="0" w:color="2198CF" w:themeColor="accent1" w:themeTint="BF"/>
        <w:right w:val="single" w:sz="8" w:space="0" w:color="2198CF" w:themeColor="accent1" w:themeTint="BF"/>
        <w:insideH w:val="single" w:sz="8" w:space="0" w:color="2198C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2198CF" w:themeColor="accent1" w:themeTint="BF"/>
          <w:left w:val="single" w:sz="8" w:space="0" w:color="2198CF" w:themeColor="accent1" w:themeTint="BF"/>
          <w:bottom w:val="single" w:sz="8" w:space="0" w:color="2198CF" w:themeColor="accent1" w:themeTint="BF"/>
          <w:right w:val="single" w:sz="8" w:space="0" w:color="2198CF" w:themeColor="accent1" w:themeTint="BF"/>
          <w:insideH w:val="nil"/>
          <w:insideV w:val="nil"/>
        </w:tcBorders>
        <w:shd w:val="clear" w:color="auto" w:fill="156082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198CF" w:themeColor="accent1" w:themeTint="BF"/>
          <w:left w:val="single" w:sz="8" w:space="0" w:color="2198CF" w:themeColor="accent1" w:themeTint="BF"/>
          <w:bottom w:val="single" w:sz="8" w:space="0" w:color="2198CF" w:themeColor="accent1" w:themeTint="BF"/>
          <w:right w:val="single" w:sz="8" w:space="0" w:color="2198C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DEF2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2DEF2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  <w:tblBorders>
        <w:top w:val="single" w:sz="8" w:space="0" w:color="EE9465" w:themeColor="accent2" w:themeTint="BF"/>
        <w:left w:val="single" w:sz="8" w:space="0" w:color="EE9465" w:themeColor="accent2" w:themeTint="BF"/>
        <w:bottom w:val="single" w:sz="8" w:space="0" w:color="EE9465" w:themeColor="accent2" w:themeTint="BF"/>
        <w:right w:val="single" w:sz="8" w:space="0" w:color="EE9465" w:themeColor="accent2" w:themeTint="BF"/>
        <w:insideH w:val="single" w:sz="8" w:space="0" w:color="EE946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E9465" w:themeColor="accent2" w:themeTint="BF"/>
          <w:left w:val="single" w:sz="8" w:space="0" w:color="EE9465" w:themeColor="accent2" w:themeTint="BF"/>
          <w:bottom w:val="single" w:sz="8" w:space="0" w:color="EE9465" w:themeColor="accent2" w:themeTint="BF"/>
          <w:right w:val="single" w:sz="8" w:space="0" w:color="EE9465" w:themeColor="accent2" w:themeTint="BF"/>
          <w:insideH w:val="nil"/>
          <w:insideV w:val="nil"/>
        </w:tcBorders>
        <w:shd w:val="clear" w:color="auto" w:fill="E9713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E9465" w:themeColor="accent2" w:themeTint="BF"/>
          <w:left w:val="single" w:sz="8" w:space="0" w:color="EE9465" w:themeColor="accent2" w:themeTint="BF"/>
          <w:bottom w:val="single" w:sz="8" w:space="0" w:color="EE9465" w:themeColor="accent2" w:themeTint="BF"/>
          <w:right w:val="single" w:sz="8" w:space="0" w:color="EE946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B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9DB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  <w:tblBorders>
        <w:top w:val="single" w:sz="8" w:space="0" w:color="2BB73D" w:themeColor="accent3" w:themeTint="BF"/>
        <w:left w:val="single" w:sz="8" w:space="0" w:color="2BB73D" w:themeColor="accent3" w:themeTint="BF"/>
        <w:bottom w:val="single" w:sz="8" w:space="0" w:color="2BB73D" w:themeColor="accent3" w:themeTint="BF"/>
        <w:right w:val="single" w:sz="8" w:space="0" w:color="2BB73D" w:themeColor="accent3" w:themeTint="BF"/>
        <w:insideH w:val="single" w:sz="8" w:space="0" w:color="2BB73D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2BB73D" w:themeColor="accent3" w:themeTint="BF"/>
          <w:left w:val="single" w:sz="8" w:space="0" w:color="2BB73D" w:themeColor="accent3" w:themeTint="BF"/>
          <w:bottom w:val="single" w:sz="8" w:space="0" w:color="2BB73D" w:themeColor="accent3" w:themeTint="BF"/>
          <w:right w:val="single" w:sz="8" w:space="0" w:color="2BB73D" w:themeColor="accent3" w:themeTint="BF"/>
          <w:insideH w:val="nil"/>
          <w:insideV w:val="nil"/>
        </w:tcBorders>
        <w:shd w:val="clear" w:color="auto" w:fill="196B24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BB73D" w:themeColor="accent3" w:themeTint="BF"/>
          <w:left w:val="single" w:sz="8" w:space="0" w:color="2BB73D" w:themeColor="accent3" w:themeTint="BF"/>
          <w:bottom w:val="single" w:sz="8" w:space="0" w:color="2BB73D" w:themeColor="accent3" w:themeTint="BF"/>
          <w:right w:val="single" w:sz="8" w:space="0" w:color="2BB73D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3EDB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3EDB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  <w:tblBorders>
        <w:top w:val="single" w:sz="8" w:space="0" w:color="39BEF1" w:themeColor="accent4" w:themeTint="BF"/>
        <w:left w:val="single" w:sz="8" w:space="0" w:color="39BEF1" w:themeColor="accent4" w:themeTint="BF"/>
        <w:bottom w:val="single" w:sz="8" w:space="0" w:color="39BEF1" w:themeColor="accent4" w:themeTint="BF"/>
        <w:right w:val="single" w:sz="8" w:space="0" w:color="39BEF1" w:themeColor="accent4" w:themeTint="BF"/>
        <w:insideH w:val="single" w:sz="8" w:space="0" w:color="39BEF1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39BEF1" w:themeColor="accent4" w:themeTint="BF"/>
          <w:left w:val="single" w:sz="8" w:space="0" w:color="39BEF1" w:themeColor="accent4" w:themeTint="BF"/>
          <w:bottom w:val="single" w:sz="8" w:space="0" w:color="39BEF1" w:themeColor="accent4" w:themeTint="BF"/>
          <w:right w:val="single" w:sz="8" w:space="0" w:color="39BEF1" w:themeColor="accent4" w:themeTint="BF"/>
          <w:insideH w:val="nil"/>
          <w:insideV w:val="nil"/>
        </w:tcBorders>
        <w:shd w:val="clear" w:color="auto" w:fill="0F9ED5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9BEF1" w:themeColor="accent4" w:themeTint="BF"/>
          <w:left w:val="single" w:sz="8" w:space="0" w:color="39BEF1" w:themeColor="accent4" w:themeTint="BF"/>
          <w:bottom w:val="single" w:sz="8" w:space="0" w:color="39BEF1" w:themeColor="accent4" w:themeTint="BF"/>
          <w:right w:val="single" w:sz="8" w:space="0" w:color="39BEF1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DE9FA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DE9FA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  <w:tblBorders>
        <w:top w:val="single" w:sz="8" w:space="0" w:color="CE49BF" w:themeColor="accent5" w:themeTint="BF"/>
        <w:left w:val="single" w:sz="8" w:space="0" w:color="CE49BF" w:themeColor="accent5" w:themeTint="BF"/>
        <w:bottom w:val="single" w:sz="8" w:space="0" w:color="CE49BF" w:themeColor="accent5" w:themeTint="BF"/>
        <w:right w:val="single" w:sz="8" w:space="0" w:color="CE49BF" w:themeColor="accent5" w:themeTint="BF"/>
        <w:insideH w:val="single" w:sz="8" w:space="0" w:color="CE49B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E49BF" w:themeColor="accent5" w:themeTint="BF"/>
          <w:left w:val="single" w:sz="8" w:space="0" w:color="CE49BF" w:themeColor="accent5" w:themeTint="BF"/>
          <w:bottom w:val="single" w:sz="8" w:space="0" w:color="CE49BF" w:themeColor="accent5" w:themeTint="BF"/>
          <w:right w:val="single" w:sz="8" w:space="0" w:color="CE49BF" w:themeColor="accent5" w:themeTint="BF"/>
          <w:insideH w:val="nil"/>
          <w:insideV w:val="nil"/>
        </w:tcBorders>
        <w:shd w:val="clear" w:color="auto" w:fill="A02B93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E49BF" w:themeColor="accent5" w:themeTint="BF"/>
          <w:left w:val="single" w:sz="8" w:space="0" w:color="CE49BF" w:themeColor="accent5" w:themeTint="BF"/>
          <w:bottom w:val="single" w:sz="8" w:space="0" w:color="CE49BF" w:themeColor="accent5" w:themeTint="BF"/>
          <w:right w:val="single" w:sz="8" w:space="0" w:color="CE49B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C3E9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C3E9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  <w:tblBorders>
        <w:top w:val="single" w:sz="8" w:space="0" w:color="71CF50" w:themeColor="accent6" w:themeTint="BF"/>
        <w:left w:val="single" w:sz="8" w:space="0" w:color="71CF50" w:themeColor="accent6" w:themeTint="BF"/>
        <w:bottom w:val="single" w:sz="8" w:space="0" w:color="71CF50" w:themeColor="accent6" w:themeTint="BF"/>
        <w:right w:val="single" w:sz="8" w:space="0" w:color="71CF50" w:themeColor="accent6" w:themeTint="BF"/>
        <w:insideH w:val="single" w:sz="8" w:space="0" w:color="71CF50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1CF50" w:themeColor="accent6" w:themeTint="BF"/>
          <w:left w:val="single" w:sz="8" w:space="0" w:color="71CF50" w:themeColor="accent6" w:themeTint="BF"/>
          <w:bottom w:val="single" w:sz="8" w:space="0" w:color="71CF50" w:themeColor="accent6" w:themeTint="BF"/>
          <w:right w:val="single" w:sz="8" w:space="0" w:color="71CF50" w:themeColor="accent6" w:themeTint="BF"/>
          <w:insideH w:val="nil"/>
          <w:insideV w:val="nil"/>
        </w:tcBorders>
        <w:shd w:val="clear" w:color="auto" w:fill="4EA72E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1CF50" w:themeColor="accent6" w:themeTint="BF"/>
          <w:left w:val="single" w:sz="8" w:space="0" w:color="71CF50" w:themeColor="accent6" w:themeTint="BF"/>
          <w:bottom w:val="single" w:sz="8" w:space="0" w:color="71CF50" w:themeColor="accent6" w:themeTint="BF"/>
          <w:right w:val="single" w:sz="8" w:space="0" w:color="71CF50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EFC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EFC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99"/>
    <w:unhideWhenUsed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56082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56082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56082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9713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9713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9713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96B24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96B24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96B24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F9ED5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F9ED5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F9ED5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02B93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02B93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02B93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EA72E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EA72E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EA72E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rsid w:val="00C84B67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C84B67"/>
    <w:rPr>
      <w:rFonts w:asciiTheme="majorHAnsi" w:eastAsiaTheme="majorEastAsia" w:hAnsiTheme="majorHAnsi" w:cstheme="majorBidi"/>
      <w:kern w:val="0"/>
      <w:sz w:val="24"/>
      <w:szCs w:val="24"/>
      <w:shd w:val="pct20" w:color="auto" w:fill="auto"/>
      <w:lang w:val="da-DK"/>
      <w14:ligatures w14:val="none"/>
    </w:rPr>
  </w:style>
  <w:style w:type="paragraph" w:styleId="NoteHeading">
    <w:name w:val="Note Heading"/>
    <w:basedOn w:val="Normal"/>
    <w:next w:val="Normal"/>
    <w:link w:val="NoteHeadingChar"/>
    <w:uiPriority w:val="99"/>
    <w:semiHidden/>
    <w:rsid w:val="00C84B67"/>
    <w:pPr>
      <w:spacing w:line="240" w:lineRule="auto"/>
    </w:pPr>
    <w:rPr>
      <w:rFonts w:eastAsiaTheme="minorHAnsi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C84B67"/>
    <w:rPr>
      <w:kern w:val="0"/>
      <w:lang w:val="da-DK"/>
      <w14:ligatures w14:val="none"/>
    </w:rPr>
  </w:style>
  <w:style w:type="table" w:styleId="PlainTable1">
    <w:name w:val="Plain Table 1"/>
    <w:basedOn w:val="TableNormal"/>
    <w:uiPriority w:val="99"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99"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99"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99"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rsid w:val="00C84B67"/>
    <w:pPr>
      <w:spacing w:line="240" w:lineRule="auto"/>
    </w:pPr>
    <w:rPr>
      <w:rFonts w:ascii="Consolas" w:eastAsiaTheme="minorHAnsi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C84B67"/>
    <w:rPr>
      <w:rFonts w:ascii="Consolas" w:hAnsi="Consolas" w:cs="Consolas"/>
      <w:kern w:val="0"/>
      <w:sz w:val="21"/>
      <w:szCs w:val="21"/>
      <w:lang w:val="da-DK"/>
      <w14:ligatures w14:val="none"/>
    </w:rPr>
  </w:style>
  <w:style w:type="paragraph" w:styleId="Salutation">
    <w:name w:val="Salutation"/>
    <w:basedOn w:val="Normal"/>
    <w:next w:val="Normal"/>
    <w:link w:val="SalutationChar"/>
    <w:uiPriority w:val="99"/>
    <w:semiHidden/>
    <w:rsid w:val="00C84B67"/>
    <w:rPr>
      <w:rFonts w:eastAsiaTheme="minorHAnsi"/>
    </w:rPr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C84B67"/>
    <w:rPr>
      <w:kern w:val="0"/>
      <w:lang w:val="da-DK"/>
      <w14:ligatures w14:val="none"/>
    </w:rPr>
  </w:style>
  <w:style w:type="table" w:styleId="Table3Deffects1">
    <w:name w:val="Table 3D effects 1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000080"/>
      <w:kern w:val="0"/>
      <w:lang w:val="da-DK"/>
      <w14:ligatures w14:val="none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FFFFFF"/>
      <w:kern w:val="0"/>
      <w:lang w:val="da-DK"/>
      <w14:ligatures w14:val="none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b/>
      <w:bCs/>
      <w:color w:val="333333"/>
      <w:kern w:val="0"/>
      <w:lang w:val="da-DK"/>
      <w14:ligatures w14:val="none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b/>
      <w:bCs/>
      <w:color w:val="333333"/>
      <w:kern w:val="0"/>
      <w:lang w:val="da-DK"/>
      <w14:ligatures w14:val="none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b/>
      <w:bCs/>
      <w:color w:val="333333"/>
      <w:kern w:val="0"/>
      <w:lang w:val="da-DK"/>
      <w14:ligatures w14:val="none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b/>
      <w:bCs/>
      <w:color w:val="333333"/>
      <w:kern w:val="0"/>
      <w:lang w:val="da-DK"/>
      <w14:ligatures w14:val="none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99"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leProfessional">
    <w:name w:val="Table Professional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unhideWhenUsed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C84B67"/>
    <w:pPr>
      <w:spacing w:after="200" w:line="280" w:lineRule="atLeast"/>
    </w:pPr>
    <w:rPr>
      <w:rFonts w:ascii="Arial" w:hAnsi="Arial"/>
      <w:color w:val="333333"/>
      <w:kern w:val="0"/>
      <w:lang w:val="da-DK"/>
      <w14:ligatures w14:val="none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Template-SmallSpacer">
    <w:name w:val="Template - Small Spacer"/>
    <w:basedOn w:val="Normal"/>
    <w:uiPriority w:val="9"/>
    <w:semiHidden/>
    <w:qFormat/>
    <w:rsid w:val="00C84B67"/>
    <w:pPr>
      <w:keepNext/>
      <w:keepLines/>
      <w:spacing w:after="0" w:line="14" w:lineRule="exact"/>
    </w:pPr>
    <w:rPr>
      <w:rFonts w:eastAsia="Times New Roman" w:cs="Times New Roman"/>
      <w:noProof/>
      <w:sz w:val="16"/>
      <w:szCs w:val="24"/>
    </w:rPr>
  </w:style>
  <w:style w:type="paragraph" w:customStyle="1" w:styleId="Template-Adresse-Ledetekst">
    <w:name w:val="Template - Adresse - Ledetekst"/>
    <w:basedOn w:val="Template-Adresse"/>
    <w:uiPriority w:val="9"/>
    <w:semiHidden/>
    <w:qFormat/>
    <w:rsid w:val="00C84B67"/>
    <w:pPr>
      <w:ind w:left="0"/>
      <w:jc w:val="right"/>
    </w:pPr>
    <w:rPr>
      <w:b/>
    </w:rPr>
  </w:style>
  <w:style w:type="paragraph" w:customStyle="1" w:styleId="Tabel-Overskrift">
    <w:name w:val="Tabel - Overskrift"/>
    <w:basedOn w:val="Tabel"/>
    <w:uiPriority w:val="4"/>
    <w:semiHidden/>
    <w:rsid w:val="00C84B67"/>
    <w:pPr>
      <w:suppressAutoHyphens/>
    </w:pPr>
    <w:rPr>
      <w:b/>
    </w:rPr>
  </w:style>
  <w:style w:type="table" w:customStyle="1" w:styleId="RegionH-Tabel">
    <w:name w:val="Region H - Tabel"/>
    <w:basedOn w:val="TableNormal"/>
    <w:uiPriority w:val="99"/>
    <w:rsid w:val="00C84B67"/>
    <w:pPr>
      <w:spacing w:before="60" w:after="60" w:line="280" w:lineRule="atLeast"/>
      <w:ind w:left="113" w:right="113"/>
    </w:pPr>
    <w:rPr>
      <w:rFonts w:ascii="Arial" w:hAnsi="Arial"/>
      <w:color w:val="333333"/>
      <w:kern w:val="0"/>
      <w:sz w:val="18"/>
      <w:lang w:val="da-DK"/>
      <w14:ligatures w14:val="none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CellMar>
        <w:left w:w="0" w:type="dxa"/>
        <w:right w:w="0" w:type="dxa"/>
      </w:tblCellMar>
    </w:tblPr>
    <w:tcPr>
      <w:shd w:val="clear" w:color="auto" w:fill="E8E8E8" w:themeFill="background2"/>
    </w:tcPr>
    <w:tblStylePr w:type="firstRow">
      <w:rPr>
        <w:rFonts w:ascii="Arial" w:hAnsi="Arial"/>
        <w:b/>
        <w:bCs/>
        <w:i w:val="0"/>
        <w:color w:val="333333"/>
        <w:sz w:val="18"/>
      </w:rPr>
      <w:tblPr/>
      <w:tcPr>
        <w:shd w:val="clear" w:color="auto" w:fill="156082" w:themeFill="accent1"/>
      </w:tcPr>
    </w:tblStylePr>
    <w:tblStylePr w:type="lastRow">
      <w:rPr>
        <w:rFonts w:ascii="Arial" w:hAnsi="Arial"/>
        <w:b/>
        <w:color w:val="auto"/>
        <w:sz w:val="18"/>
      </w:rPr>
    </w:tblStylePr>
    <w:tblStylePr w:type="firstCol">
      <w:pPr>
        <w:wordWrap/>
        <w:spacing w:beforeLines="0" w:before="60" w:beforeAutospacing="0" w:afterLines="0" w:after="60" w:afterAutospacing="0" w:line="280" w:lineRule="atLeast"/>
        <w:ind w:leftChars="0" w:left="113" w:rightChars="0" w:right="113"/>
      </w:pPr>
      <w:rPr>
        <w:rFonts w:ascii="Arial" w:hAnsi="Arial"/>
        <w:b/>
        <w:bCs/>
        <w:color w:val="333333"/>
        <w:sz w:val="18"/>
      </w:rPr>
      <w:tblPr/>
      <w:tcPr>
        <w:shd w:val="clear" w:color="auto" w:fill="156082" w:themeFill="accent1"/>
      </w:tcPr>
    </w:tblStylePr>
    <w:tblStylePr w:type="lastCol">
      <w:rPr>
        <w:rFonts w:ascii="Arial" w:hAnsi="Arial"/>
        <w:b/>
        <w:bCs/>
        <w:color w:val="333333"/>
        <w:sz w:val="18"/>
      </w:rPr>
    </w:tblStylePr>
    <w:tblStylePr w:type="band1Vert">
      <w:rPr>
        <w:rFonts w:ascii="Arial" w:hAnsi="Arial"/>
        <w:color w:val="333333"/>
        <w:sz w:val="18"/>
      </w:rPr>
    </w:tblStylePr>
    <w:tblStylePr w:type="band2Vert">
      <w:rPr>
        <w:rFonts w:ascii="Arial" w:hAnsi="Arial"/>
        <w:color w:val="333333"/>
        <w:sz w:val="18"/>
      </w:rPr>
    </w:tblStylePr>
    <w:tblStylePr w:type="band1Horz">
      <w:rPr>
        <w:rFonts w:ascii="Arial" w:hAnsi="Arial"/>
        <w:color w:val="333333"/>
        <w:sz w:val="18"/>
      </w:rPr>
    </w:tblStylePr>
    <w:tblStylePr w:type="band2Horz">
      <w:rPr>
        <w:rFonts w:ascii="Arial" w:hAnsi="Arial"/>
        <w:color w:val="333333"/>
        <w:sz w:val="18"/>
      </w:rPr>
    </w:tblStylePr>
    <w:tblStylePr w:type="neCell">
      <w:rPr>
        <w:rFonts w:ascii="Arial" w:hAnsi="Arial"/>
        <w:color w:val="333333"/>
        <w:sz w:val="18"/>
      </w:rPr>
    </w:tblStylePr>
    <w:tblStylePr w:type="nwCell">
      <w:rPr>
        <w:rFonts w:ascii="Arial" w:hAnsi="Arial"/>
        <w:color w:val="333333"/>
        <w:sz w:val="18"/>
      </w:rPr>
    </w:tblStylePr>
  </w:style>
  <w:style w:type="character" w:styleId="Hashtag">
    <w:name w:val="Hashtag"/>
    <w:basedOn w:val="DefaultParagraphFont"/>
    <w:uiPriority w:val="99"/>
    <w:semiHidden/>
    <w:rsid w:val="00C84B67"/>
    <w:rPr>
      <w:color w:val="2B579A"/>
      <w:shd w:val="clear" w:color="auto" w:fill="E6E6E6"/>
      <w:lang w:val="da-DK"/>
    </w:rPr>
  </w:style>
  <w:style w:type="character" w:styleId="Mention">
    <w:name w:val="Mention"/>
    <w:basedOn w:val="DefaultParagraphFont"/>
    <w:uiPriority w:val="99"/>
    <w:semiHidden/>
    <w:rsid w:val="00C84B67"/>
    <w:rPr>
      <w:color w:val="2B579A"/>
      <w:shd w:val="clear" w:color="auto" w:fill="E6E6E6"/>
      <w:lang w:val="da-DK"/>
    </w:rPr>
  </w:style>
  <w:style w:type="character" w:styleId="SmartHyperlink">
    <w:name w:val="Smart Hyperlink"/>
    <w:basedOn w:val="DefaultParagraphFont"/>
    <w:uiPriority w:val="99"/>
    <w:semiHidden/>
    <w:rsid w:val="00C84B67"/>
    <w:rPr>
      <w:u w:val="dotted"/>
      <w:lang w:val="da-DK"/>
    </w:rPr>
  </w:style>
  <w:style w:type="paragraph" w:customStyle="1" w:styleId="Tabel-OverskriftHjre">
    <w:name w:val="Tabel - Overskrift Højre"/>
    <w:basedOn w:val="Tabel-Overskrift"/>
    <w:uiPriority w:val="4"/>
    <w:semiHidden/>
    <w:rsid w:val="00C84B67"/>
    <w:pPr>
      <w:jc w:val="right"/>
    </w:pPr>
  </w:style>
  <w:style w:type="paragraph" w:customStyle="1" w:styleId="Template-Refnr">
    <w:name w:val="Template - Ref nr"/>
    <w:basedOn w:val="Template"/>
    <w:uiPriority w:val="9"/>
    <w:semiHidden/>
    <w:rsid w:val="00C84B67"/>
    <w:pPr>
      <w:spacing w:line="80" w:lineRule="atLeast"/>
    </w:pPr>
    <w:rPr>
      <w:sz w:val="8"/>
    </w:rPr>
  </w:style>
  <w:style w:type="paragraph" w:customStyle="1" w:styleId="Template-Officeinfo">
    <w:name w:val="Template - Office info"/>
    <w:basedOn w:val="Template"/>
    <w:uiPriority w:val="9"/>
    <w:semiHidden/>
    <w:rsid w:val="00C84B67"/>
    <w:pPr>
      <w:spacing w:after="0" w:line="192" w:lineRule="atLeast"/>
    </w:pPr>
  </w:style>
  <w:style w:type="paragraph" w:customStyle="1" w:styleId="Modtageradresse">
    <w:name w:val="Modtager adresse"/>
    <w:basedOn w:val="Normal"/>
    <w:uiPriority w:val="9"/>
    <w:semiHidden/>
    <w:rsid w:val="00C84B67"/>
    <w:pPr>
      <w:spacing w:after="0"/>
    </w:pPr>
    <w:rPr>
      <w:rFonts w:eastAsiaTheme="minorHAnsi"/>
    </w:rPr>
  </w:style>
  <w:style w:type="table" w:customStyle="1" w:styleId="RegionH-Tabelsimpel">
    <w:name w:val="Region H - Tabel simpel"/>
    <w:basedOn w:val="TableNormal"/>
    <w:uiPriority w:val="99"/>
    <w:rsid w:val="00C84B67"/>
    <w:pPr>
      <w:spacing w:before="60" w:after="60" w:line="280" w:lineRule="atLeast"/>
      <w:ind w:left="113" w:right="113"/>
    </w:pPr>
    <w:rPr>
      <w:rFonts w:ascii="Arial" w:hAnsi="Arial"/>
      <w:color w:val="333333"/>
      <w:kern w:val="0"/>
      <w:sz w:val="18"/>
      <w:lang w:val="da-DK"/>
      <w14:ligatures w14:val="none"/>
    </w:rPr>
    <w:tblPr>
      <w:tblStyleRowBandSize w:val="1"/>
      <w:tblStyleColBandSize w:val="1"/>
      <w:tblInd w:w="0" w:type="nil"/>
      <w:tblBorders>
        <w:top w:val="single" w:sz="4" w:space="0" w:color="E8E8E8" w:themeColor="background2"/>
        <w:left w:val="single" w:sz="4" w:space="0" w:color="E8E8E8" w:themeColor="background2"/>
        <w:bottom w:val="single" w:sz="4" w:space="0" w:color="E8E8E8" w:themeColor="background2"/>
        <w:right w:val="single" w:sz="4" w:space="0" w:color="E8E8E8" w:themeColor="background2"/>
        <w:insideH w:val="single" w:sz="4" w:space="0" w:color="E8E8E8" w:themeColor="background2"/>
        <w:insideV w:val="single" w:sz="4" w:space="0" w:color="E8E8E8" w:themeColor="background2"/>
      </w:tblBorders>
      <w:tblCellMar>
        <w:left w:w="0" w:type="dxa"/>
        <w:right w:w="0" w:type="dxa"/>
      </w:tblCellMar>
    </w:tblPr>
    <w:tcPr>
      <w:shd w:val="clear" w:color="auto" w:fill="auto"/>
    </w:tcPr>
    <w:tblStylePr w:type="firstRow">
      <w:rPr>
        <w:rFonts w:ascii="Arial" w:hAnsi="Arial" w:cs="Arial" w:hint="default"/>
        <w:b/>
        <w:bCs/>
        <w:i w:val="0"/>
        <w:color w:val="333333"/>
        <w:sz w:val="18"/>
        <w:szCs w:val="18"/>
      </w:rPr>
      <w:tblPr/>
      <w:tcPr>
        <w:shd w:val="clear" w:color="auto" w:fill="156082" w:themeFill="accent1"/>
      </w:tcPr>
    </w:tblStylePr>
    <w:tblStylePr w:type="lastRow">
      <w:rPr>
        <w:rFonts w:ascii="Arial" w:hAnsi="Arial" w:cs="Arial" w:hint="default"/>
        <w:b/>
        <w:color w:val="auto"/>
        <w:sz w:val="18"/>
        <w:szCs w:val="18"/>
      </w:rPr>
    </w:tblStylePr>
    <w:tblStylePr w:type="firstCol">
      <w:rPr>
        <w:rFonts w:ascii="Arial" w:hAnsi="Arial" w:cs="Arial" w:hint="default"/>
        <w:b w:val="0"/>
        <w:bCs/>
        <w:color w:val="333333"/>
        <w:sz w:val="18"/>
        <w:szCs w:val="18"/>
      </w:rPr>
    </w:tblStylePr>
    <w:tblStylePr w:type="lastCol">
      <w:rPr>
        <w:rFonts w:ascii="Arial" w:hAnsi="Arial" w:cs="Arial" w:hint="default"/>
        <w:b/>
        <w:bCs/>
        <w:color w:val="333333"/>
        <w:sz w:val="18"/>
        <w:szCs w:val="18"/>
      </w:rPr>
    </w:tblStylePr>
    <w:tblStylePr w:type="band1Vert">
      <w:rPr>
        <w:rFonts w:ascii="Arial" w:hAnsi="Arial" w:cs="Arial" w:hint="default"/>
        <w:color w:val="333333"/>
        <w:sz w:val="18"/>
        <w:szCs w:val="18"/>
      </w:rPr>
    </w:tblStylePr>
    <w:tblStylePr w:type="band2Vert">
      <w:rPr>
        <w:rFonts w:ascii="Arial" w:hAnsi="Arial" w:cs="Arial" w:hint="default"/>
        <w:color w:val="333333"/>
        <w:sz w:val="18"/>
        <w:szCs w:val="18"/>
      </w:rPr>
    </w:tblStylePr>
    <w:tblStylePr w:type="band1Horz">
      <w:rPr>
        <w:rFonts w:ascii="Arial" w:hAnsi="Arial" w:cs="Arial" w:hint="default"/>
        <w:color w:val="333333"/>
        <w:sz w:val="18"/>
        <w:szCs w:val="18"/>
      </w:rPr>
    </w:tblStylePr>
    <w:tblStylePr w:type="band2Horz">
      <w:rPr>
        <w:rFonts w:ascii="Arial" w:hAnsi="Arial" w:cs="Arial" w:hint="default"/>
        <w:color w:val="333333"/>
        <w:sz w:val="18"/>
        <w:szCs w:val="18"/>
      </w:rPr>
    </w:tblStylePr>
    <w:tblStylePr w:type="neCell">
      <w:rPr>
        <w:rFonts w:ascii="Arial" w:hAnsi="Arial" w:cs="Arial" w:hint="default"/>
        <w:color w:val="333333"/>
        <w:sz w:val="18"/>
        <w:szCs w:val="18"/>
      </w:rPr>
    </w:tblStylePr>
    <w:tblStylePr w:type="nwCell">
      <w:rPr>
        <w:rFonts w:ascii="Arial" w:hAnsi="Arial" w:cs="Arial" w:hint="default"/>
        <w:color w:val="333333"/>
        <w:sz w:val="18"/>
        <w:szCs w:val="18"/>
      </w:rPr>
    </w:tblStylePr>
  </w:style>
  <w:style w:type="table" w:customStyle="1" w:styleId="RegionH-Tabelfarvetbaggrund">
    <w:name w:val="Region H - Tabel farvetbaggrund"/>
    <w:basedOn w:val="RegionH-Tabel"/>
    <w:uiPriority w:val="99"/>
    <w:rsid w:val="00C84B67"/>
    <w:tblPr/>
    <w:tcPr>
      <w:shd w:val="clear" w:color="auto" w:fill="E8E8E8" w:themeFill="background2"/>
    </w:tcPr>
    <w:tblStylePr w:type="firstRow">
      <w:rPr>
        <w:rFonts w:ascii="Arial" w:hAnsi="Arial"/>
        <w:b/>
        <w:bCs/>
        <w:i w:val="0"/>
        <w:color w:val="333333"/>
        <w:sz w:val="18"/>
      </w:rPr>
      <w:tblPr/>
      <w:tcPr>
        <w:shd w:val="clear" w:color="auto" w:fill="156082" w:themeFill="accent1"/>
      </w:tcPr>
    </w:tblStylePr>
    <w:tblStylePr w:type="lastRow">
      <w:rPr>
        <w:rFonts w:ascii="Arial" w:hAnsi="Arial"/>
        <w:b/>
        <w:color w:val="auto"/>
        <w:sz w:val="18"/>
      </w:rPr>
    </w:tblStylePr>
    <w:tblStylePr w:type="firstCol">
      <w:pPr>
        <w:wordWrap/>
        <w:spacing w:beforeLines="0" w:before="60" w:beforeAutospacing="0" w:afterLines="0" w:after="60" w:afterAutospacing="0" w:line="240" w:lineRule="atLeast"/>
        <w:ind w:leftChars="0" w:left="113" w:rightChars="0" w:right="113"/>
      </w:pPr>
      <w:rPr>
        <w:rFonts w:ascii="Arial" w:hAnsi="Arial"/>
        <w:b w:val="0"/>
        <w:bCs/>
        <w:color w:val="333333"/>
        <w:sz w:val="18"/>
      </w:rPr>
      <w:tblPr/>
      <w:tcPr>
        <w:shd w:val="clear" w:color="auto" w:fill="E8E8E8" w:themeFill="background2"/>
      </w:tcPr>
    </w:tblStylePr>
    <w:tblStylePr w:type="lastCol">
      <w:rPr>
        <w:rFonts w:ascii="Arial" w:hAnsi="Arial"/>
        <w:b/>
        <w:bCs/>
        <w:color w:val="333333"/>
        <w:sz w:val="18"/>
      </w:rPr>
    </w:tblStylePr>
    <w:tblStylePr w:type="band1Vert">
      <w:rPr>
        <w:rFonts w:ascii="Arial" w:hAnsi="Arial"/>
        <w:color w:val="333333"/>
        <w:sz w:val="18"/>
      </w:rPr>
    </w:tblStylePr>
    <w:tblStylePr w:type="band2Vert">
      <w:rPr>
        <w:rFonts w:ascii="Arial" w:hAnsi="Arial"/>
        <w:color w:val="333333"/>
        <w:sz w:val="18"/>
      </w:rPr>
    </w:tblStylePr>
    <w:tblStylePr w:type="band1Horz">
      <w:rPr>
        <w:rFonts w:ascii="Arial" w:hAnsi="Arial"/>
        <w:color w:val="333333"/>
        <w:sz w:val="18"/>
      </w:rPr>
    </w:tblStylePr>
    <w:tblStylePr w:type="band2Horz">
      <w:rPr>
        <w:rFonts w:ascii="Arial" w:hAnsi="Arial"/>
        <w:color w:val="333333"/>
        <w:sz w:val="18"/>
      </w:rPr>
    </w:tblStylePr>
    <w:tblStylePr w:type="neCell">
      <w:rPr>
        <w:rFonts w:ascii="Arial" w:hAnsi="Arial"/>
        <w:color w:val="333333"/>
        <w:sz w:val="18"/>
      </w:rPr>
    </w:tblStylePr>
    <w:tblStylePr w:type="nwCell">
      <w:rPr>
        <w:rFonts w:ascii="Arial" w:hAnsi="Arial"/>
        <w:color w:val="333333"/>
        <w:sz w:val="18"/>
      </w:rPr>
    </w:tblStylePr>
  </w:style>
  <w:style w:type="paragraph" w:customStyle="1" w:styleId="Returadresse">
    <w:name w:val="Retur adresse"/>
    <w:basedOn w:val="NoSpacing"/>
    <w:uiPriority w:val="9"/>
    <w:semiHidden/>
    <w:rsid w:val="00C84B67"/>
    <w:pPr>
      <w:spacing w:line="190" w:lineRule="atLeast"/>
    </w:pPr>
    <w:rPr>
      <w:rFonts w:ascii="Arial" w:eastAsiaTheme="minorHAnsi" w:hAnsi="Arial"/>
      <w:color w:val="262626"/>
      <w:sz w:val="16"/>
    </w:rPr>
  </w:style>
  <w:style w:type="paragraph" w:customStyle="1" w:styleId="Tabel-">
    <w:name w:val="Tabel-"/>
    <w:aliases w:val="Billede- og Figurtekst"/>
    <w:basedOn w:val="Normal"/>
    <w:uiPriority w:val="10"/>
    <w:rsid w:val="00C84B67"/>
    <w:pPr>
      <w:spacing w:before="80" w:after="0" w:line="200" w:lineRule="atLeast"/>
      <w:contextualSpacing/>
    </w:pPr>
    <w:rPr>
      <w:rFonts w:ascii="Mari Office Book" w:eastAsia="Times New Roman" w:hAnsi="Mari Office Book" w:cs="Times New Roman"/>
      <w:noProof/>
      <w:sz w:val="14"/>
    </w:rPr>
  </w:style>
  <w:style w:type="paragraph" w:customStyle="1" w:styleId="Template-Newaddress">
    <w:name w:val="Template - New address"/>
    <w:basedOn w:val="Template"/>
    <w:uiPriority w:val="9"/>
    <w:semiHidden/>
    <w:rsid w:val="00C84B67"/>
    <w:pPr>
      <w:tabs>
        <w:tab w:val="right" w:pos="907"/>
        <w:tab w:val="left" w:pos="1049"/>
      </w:tabs>
      <w:spacing w:after="0" w:line="192" w:lineRule="atLeast"/>
      <w:ind w:left="1049" w:hanging="1049"/>
    </w:pPr>
  </w:style>
  <w:style w:type="paragraph" w:customStyle="1" w:styleId="Faktaboksfarvetbaggrundbrugikketiltekstmedlinks">
    <w:name w:val="Faktaboks farvet baggrund (brug ikke til tekst med links)"/>
    <w:basedOn w:val="Normal"/>
    <w:link w:val="FaktaboksfarvetbaggrundbrugikketiltekstmedlinksTegn"/>
    <w:uiPriority w:val="8"/>
    <w:rsid w:val="00C84B67"/>
    <w:pPr>
      <w:pBdr>
        <w:top w:val="single" w:sz="18" w:space="12" w:color="E8E8E8" w:themeColor="background2"/>
        <w:left w:val="single" w:sz="18" w:space="12" w:color="E8E8E8" w:themeColor="background2"/>
        <w:bottom w:val="single" w:sz="18" w:space="14" w:color="E8E8E8" w:themeColor="background2"/>
        <w:right w:val="single" w:sz="18" w:space="12" w:color="E8E8E8" w:themeColor="background2"/>
      </w:pBdr>
      <w:shd w:val="clear" w:color="auto" w:fill="E8E8E8" w:themeFill="background2"/>
      <w:tabs>
        <w:tab w:val="left" w:pos="1588"/>
      </w:tabs>
      <w:spacing w:after="280"/>
      <w:ind w:left="284" w:right="284"/>
    </w:pPr>
    <w:rPr>
      <w:rFonts w:eastAsiaTheme="minorHAnsi"/>
    </w:rPr>
  </w:style>
  <w:style w:type="character" w:customStyle="1" w:styleId="FaktaboksfarvetbaggrundbrugikketiltekstmedlinksTegn">
    <w:name w:val="Faktaboks farvet baggrund (brug ikke til tekst med links) Tegn"/>
    <w:basedOn w:val="DefaultParagraphFont"/>
    <w:link w:val="Faktaboksfarvetbaggrundbrugikketiltekstmedlinks"/>
    <w:uiPriority w:val="8"/>
    <w:rsid w:val="00C84B67"/>
    <w:rPr>
      <w:kern w:val="0"/>
      <w:shd w:val="clear" w:color="auto" w:fill="E8E8E8" w:themeFill="background2"/>
      <w:lang w:val="da-DK"/>
      <w14:ligatures w14:val="none"/>
    </w:rPr>
  </w:style>
  <w:style w:type="paragraph" w:customStyle="1" w:styleId="Faktaboksfarvetrammekanbrugestiltekstmedlinks">
    <w:name w:val="Faktaboks farvet ramme (kan bruges til tekst med links)"/>
    <w:basedOn w:val="Normal"/>
    <w:uiPriority w:val="8"/>
    <w:qFormat/>
    <w:rsid w:val="00C84B67"/>
    <w:pPr>
      <w:pBdr>
        <w:top w:val="single" w:sz="18" w:space="12" w:color="E8E8E8" w:themeColor="background2"/>
        <w:left w:val="single" w:sz="18" w:space="12" w:color="E8E8E8" w:themeColor="background2"/>
        <w:bottom w:val="single" w:sz="18" w:space="14" w:color="E8E8E8" w:themeColor="background2"/>
        <w:right w:val="single" w:sz="18" w:space="12" w:color="E8E8E8" w:themeColor="background2"/>
      </w:pBdr>
      <w:ind w:left="284" w:right="284"/>
    </w:pPr>
    <w:rPr>
      <w:rFonts w:eastAsiaTheme="minorHAn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3209</Words>
  <Characters>18294</Characters>
  <Application>Microsoft Office Word</Application>
  <DocSecurity>0</DocSecurity>
  <Lines>152</Lines>
  <Paragraphs>42</Paragraphs>
  <ScaleCrop>false</ScaleCrop>
  <Company>Springer Nature</Company>
  <LinksUpToDate>false</LinksUpToDate>
  <CharactersWithSpaces>21461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2024-12-11T17:52:00Z</dcterms:created>
  <dcterms:modified xsi:type="dcterms:W3CDTF">2024-12-11T17:52:00Z</dcterms:modified>
</cp:coreProperties>
</file>