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63E60C" w14:textId="77777777" w:rsidR="00240CC9" w:rsidRDefault="00240CC9" w:rsidP="00E058CC">
      <w:pPr>
        <w:rPr>
          <w:rFonts w:ascii="Helvetica" w:eastAsia="Nimbus Sans" w:hAnsi="Helvetica" w:cs="Arial"/>
          <w:szCs w:val="21"/>
        </w:rPr>
      </w:pPr>
    </w:p>
    <w:p w14:paraId="777D1C85" w14:textId="77777777" w:rsidR="002D156F" w:rsidRPr="002D156F" w:rsidRDefault="002D156F" w:rsidP="002D156F">
      <w:pPr>
        <w:rPr>
          <w:rFonts w:ascii="Helvetica" w:eastAsia="Nimbus Sans" w:hAnsi="Helvetica" w:cs="Arial"/>
          <w:b/>
          <w:bCs/>
          <w:szCs w:val="21"/>
        </w:rPr>
      </w:pPr>
      <w:r w:rsidRPr="003049B8">
        <w:rPr>
          <w:rFonts w:ascii="Helvetica" w:hAnsi="Helvetica" w:cs="Arial"/>
          <w:b/>
          <w:bCs/>
          <w:szCs w:val="21"/>
        </w:rPr>
        <w:t xml:space="preserve">Fig. </w:t>
      </w:r>
      <w:r>
        <w:rPr>
          <w:rFonts w:ascii="Helvetica" w:hAnsi="Helvetica" w:cs="Arial"/>
          <w:b/>
          <w:bCs/>
          <w:szCs w:val="21"/>
        </w:rPr>
        <w:t>S1</w:t>
      </w:r>
      <w:r w:rsidRPr="003049B8">
        <w:rPr>
          <w:rFonts w:ascii="Helvetica" w:hAnsi="Helvetica" w:cs="Arial"/>
          <w:b/>
          <w:bCs/>
          <w:szCs w:val="21"/>
        </w:rPr>
        <w:t>.</w:t>
      </w:r>
      <w:r>
        <w:rPr>
          <w:rFonts w:ascii="Helvetica" w:hAnsi="Helvetica" w:cs="Arial"/>
          <w:b/>
          <w:bCs/>
          <w:szCs w:val="21"/>
        </w:rPr>
        <w:t xml:space="preserve"> </w:t>
      </w:r>
      <w:r w:rsidRPr="002D156F">
        <w:rPr>
          <w:rFonts w:ascii="Helvetica" w:eastAsia="Nimbus Sans" w:hAnsi="Helvetica" w:cs="Arial"/>
          <w:b/>
          <w:bCs/>
          <w:szCs w:val="21"/>
        </w:rPr>
        <w:t>Annotation of Myeloid Cell Clusters in Bladder Cancer</w:t>
      </w:r>
    </w:p>
    <w:p w14:paraId="15BC0312" w14:textId="77777777" w:rsidR="00240CC9" w:rsidRPr="002D156F" w:rsidRDefault="002D156F" w:rsidP="002D156F">
      <w:pPr>
        <w:rPr>
          <w:rFonts w:ascii="Helvetica" w:eastAsia="Nimbus Sans" w:hAnsi="Helvetica" w:cs="Arial"/>
          <w:szCs w:val="21"/>
        </w:rPr>
      </w:pPr>
      <w:r w:rsidRPr="002D156F">
        <w:rPr>
          <w:rFonts w:ascii="Helvetica" w:eastAsia="Nimbus Sans" w:hAnsi="Helvetica" w:cs="Arial"/>
          <w:szCs w:val="21"/>
        </w:rPr>
        <w:t>(A) The UMAP plot displays distinct cell clusters identified through single-cell RNA sequencing, with each color representing a different cluster. (B) Histograms show the distribution of various cell types across cohorts. (C) The dot plot illustrates marker gene expression in different cell clusters, where dot size indicates abundance and color represents expression level. (D) Differentially expressed genes are shown for each myeloid cell cluster.</w:t>
      </w:r>
    </w:p>
    <w:p w14:paraId="68CE7A9D" w14:textId="77777777" w:rsidR="00240CC9" w:rsidRDefault="00240CC9" w:rsidP="00E058CC">
      <w:pPr>
        <w:rPr>
          <w:rFonts w:ascii="Helvetica" w:eastAsia="Nimbus Sans" w:hAnsi="Helvetica" w:cs="Arial"/>
          <w:szCs w:val="21"/>
        </w:rPr>
      </w:pPr>
    </w:p>
    <w:p w14:paraId="5442D843" w14:textId="77777777" w:rsidR="00240CC9" w:rsidRPr="008745C1" w:rsidRDefault="008745C1" w:rsidP="00E058CC">
      <w:pPr>
        <w:rPr>
          <w:rFonts w:ascii="Helvetica" w:eastAsia="Nimbus Sans" w:hAnsi="Helvetica" w:cs="Arial"/>
          <w:b/>
          <w:bCs/>
          <w:szCs w:val="21"/>
        </w:rPr>
      </w:pPr>
      <w:r w:rsidRPr="003049B8">
        <w:rPr>
          <w:rFonts w:ascii="Helvetica" w:hAnsi="Helvetica" w:cs="Arial"/>
          <w:b/>
          <w:bCs/>
          <w:szCs w:val="21"/>
        </w:rPr>
        <w:t xml:space="preserve">Fig. </w:t>
      </w:r>
      <w:r>
        <w:rPr>
          <w:rFonts w:ascii="Helvetica" w:hAnsi="Helvetica" w:cs="Arial"/>
          <w:b/>
          <w:bCs/>
          <w:szCs w:val="21"/>
        </w:rPr>
        <w:t>S2</w:t>
      </w:r>
      <w:r w:rsidRPr="003049B8">
        <w:rPr>
          <w:rFonts w:ascii="Helvetica" w:hAnsi="Helvetica" w:cs="Arial"/>
          <w:b/>
          <w:bCs/>
          <w:szCs w:val="21"/>
        </w:rPr>
        <w:t>.</w:t>
      </w:r>
      <w:r>
        <w:rPr>
          <w:rFonts w:ascii="Helvetica" w:hAnsi="Helvetica" w:cs="Arial"/>
          <w:b/>
          <w:bCs/>
          <w:szCs w:val="21"/>
        </w:rPr>
        <w:t xml:space="preserve"> </w:t>
      </w:r>
      <w:r w:rsidRPr="005A66A3">
        <w:rPr>
          <w:rFonts w:ascii="Helvetica" w:hAnsi="Helvetica"/>
          <w:szCs w:val="21"/>
        </w:rPr>
        <w:t>Spatial transcriptomics analysis by CellTrek revealed that Macro-CXCL9 are located in close proximity to Macro-SPP1 and Macro-FOLR2 (</w:t>
      </w:r>
      <w:r>
        <w:rPr>
          <w:rFonts w:ascii="Helvetica" w:hAnsi="Helvetica"/>
          <w:szCs w:val="21"/>
        </w:rPr>
        <w:t>A-J</w:t>
      </w:r>
      <w:r w:rsidRPr="005A66A3">
        <w:rPr>
          <w:rFonts w:ascii="Helvetica" w:hAnsi="Helvetica"/>
          <w:szCs w:val="21"/>
        </w:rPr>
        <w:t>).</w:t>
      </w:r>
    </w:p>
    <w:p w14:paraId="236F6C84" w14:textId="77777777" w:rsidR="008745C1" w:rsidRDefault="008745C1" w:rsidP="00E058CC">
      <w:pPr>
        <w:rPr>
          <w:rFonts w:ascii="Helvetica" w:eastAsia="Nimbus Sans" w:hAnsi="Helvetica" w:cs="Arial"/>
          <w:szCs w:val="21"/>
        </w:rPr>
      </w:pPr>
    </w:p>
    <w:p w14:paraId="04A2C632" w14:textId="77777777" w:rsidR="00BA28FB" w:rsidRPr="00BA28FB" w:rsidRDefault="00BA28FB" w:rsidP="00E058CC">
      <w:pPr>
        <w:rPr>
          <w:rFonts w:ascii="Helvetica" w:hAnsi="Helvetica" w:cs="Arial"/>
          <w:szCs w:val="21"/>
        </w:rPr>
      </w:pPr>
      <w:r w:rsidRPr="00BA28FB">
        <w:rPr>
          <w:rFonts w:ascii="Helvetica" w:eastAsia="Nimbus Sans" w:hAnsi="Helvetica" w:cs="Arial"/>
          <w:b/>
          <w:bCs/>
          <w:szCs w:val="21"/>
        </w:rPr>
        <w:t xml:space="preserve">Fig. S3. </w:t>
      </w:r>
      <w:r w:rsidRPr="00BA28FB">
        <w:rPr>
          <w:rFonts w:ascii="Helvetica" w:eastAsia="Nimbus Sans" w:hAnsi="Helvetica" w:cs="Arial"/>
          <w:szCs w:val="21"/>
        </w:rPr>
        <w:t>The heatmaps illustrate unique gene expression profiles across various macrophage subpopulations in breast cancer and renal cell carcinoma patients undergoing different therapies (A-C).</w:t>
      </w:r>
    </w:p>
    <w:p w14:paraId="739A0F27" w14:textId="77777777" w:rsidR="008745C1" w:rsidRDefault="008745C1" w:rsidP="00E058CC">
      <w:pPr>
        <w:rPr>
          <w:rFonts w:ascii="Helvetica" w:eastAsia="Nimbus Sans" w:hAnsi="Helvetica" w:cs="Arial"/>
          <w:szCs w:val="21"/>
        </w:rPr>
      </w:pPr>
    </w:p>
    <w:p w14:paraId="784444B3" w14:textId="77777777" w:rsidR="00F133F2" w:rsidRPr="00BA28FB" w:rsidRDefault="00F133F2" w:rsidP="00F133F2">
      <w:pPr>
        <w:rPr>
          <w:rFonts w:ascii="Helvetica" w:hAnsi="Helvetica" w:cs="Arial"/>
          <w:szCs w:val="21"/>
        </w:rPr>
      </w:pPr>
      <w:r w:rsidRPr="00BA28FB">
        <w:rPr>
          <w:rFonts w:ascii="Helvetica" w:eastAsia="Nimbus Sans" w:hAnsi="Helvetica" w:cs="Arial"/>
          <w:b/>
          <w:bCs/>
          <w:szCs w:val="21"/>
        </w:rPr>
        <w:t>Fig. S</w:t>
      </w:r>
      <w:r>
        <w:rPr>
          <w:rFonts w:ascii="Helvetica" w:eastAsia="Nimbus Sans" w:hAnsi="Helvetica" w:cs="Arial"/>
          <w:b/>
          <w:bCs/>
          <w:szCs w:val="21"/>
        </w:rPr>
        <w:t>4</w:t>
      </w:r>
      <w:r w:rsidRPr="00BA28FB">
        <w:rPr>
          <w:rFonts w:ascii="Helvetica" w:eastAsia="Nimbus Sans" w:hAnsi="Helvetica" w:cs="Arial"/>
          <w:b/>
          <w:bCs/>
          <w:szCs w:val="21"/>
        </w:rPr>
        <w:t xml:space="preserve">. </w:t>
      </w:r>
      <w:r w:rsidRPr="00BA28FB">
        <w:rPr>
          <w:rFonts w:ascii="Helvetica" w:eastAsia="Nimbus Sans" w:hAnsi="Helvetica" w:cs="Arial"/>
          <w:szCs w:val="21"/>
        </w:rPr>
        <w:t xml:space="preserve">The </w:t>
      </w:r>
      <w:r>
        <w:rPr>
          <w:rFonts w:ascii="Helvetica" w:eastAsia="Nimbus Sans" w:hAnsi="Helvetica" w:cs="Arial"/>
          <w:szCs w:val="21"/>
        </w:rPr>
        <w:t>association between Macro-CXCL9 and other TME cells</w:t>
      </w:r>
      <w:r w:rsidRPr="00BA28FB">
        <w:rPr>
          <w:rFonts w:ascii="Helvetica" w:eastAsia="Nimbus Sans" w:hAnsi="Helvetica" w:cs="Arial"/>
          <w:szCs w:val="21"/>
        </w:rPr>
        <w:t xml:space="preserve"> </w:t>
      </w:r>
      <w:r>
        <w:rPr>
          <w:rFonts w:ascii="Helvetica" w:eastAsia="Nimbus Sans" w:hAnsi="Helvetica" w:cs="Arial"/>
          <w:szCs w:val="21"/>
        </w:rPr>
        <w:t xml:space="preserve">in the </w:t>
      </w:r>
      <w:r w:rsidRPr="002D156F">
        <w:rPr>
          <w:rFonts w:ascii="Helvetica" w:hAnsi="Helvetica" w:cs="Arial"/>
          <w:szCs w:val="21"/>
        </w:rPr>
        <w:t xml:space="preserve">IMvigor210 </w:t>
      </w:r>
      <w:r>
        <w:rPr>
          <w:rFonts w:ascii="Helvetica" w:hAnsi="Helvetica" w:cs="Arial"/>
          <w:szCs w:val="21"/>
        </w:rPr>
        <w:t xml:space="preserve">cohort </w:t>
      </w:r>
      <w:r w:rsidRPr="00BA28FB">
        <w:rPr>
          <w:rFonts w:ascii="Helvetica" w:eastAsia="Nimbus Sans" w:hAnsi="Helvetica" w:cs="Arial"/>
          <w:szCs w:val="21"/>
        </w:rPr>
        <w:t>(A)</w:t>
      </w:r>
      <w:r>
        <w:rPr>
          <w:rFonts w:ascii="Helvetica" w:eastAsia="Nimbus Sans" w:hAnsi="Helvetica" w:cs="Arial"/>
          <w:szCs w:val="21"/>
        </w:rPr>
        <w:t xml:space="preserve"> and TCGA cohort (B). </w:t>
      </w:r>
      <w:r w:rsidRPr="005A66A3">
        <w:rPr>
          <w:rFonts w:ascii="Helvetica" w:hAnsi="Helvetica"/>
          <w:szCs w:val="21"/>
        </w:rPr>
        <w:t>Using the LIANA package, we investigated the cell–cell interaction network involving Macro-CXCL9 and other cell types.</w:t>
      </w:r>
    </w:p>
    <w:p w14:paraId="6E0C78D7" w14:textId="77777777" w:rsidR="008745C1" w:rsidRPr="00F133F2" w:rsidRDefault="008745C1" w:rsidP="00E058CC">
      <w:pPr>
        <w:rPr>
          <w:rFonts w:ascii="Helvetica" w:eastAsia="Nimbus Sans" w:hAnsi="Helvetica" w:cs="Arial"/>
          <w:szCs w:val="21"/>
        </w:rPr>
      </w:pPr>
    </w:p>
    <w:p w14:paraId="6F84CD02" w14:textId="77777777" w:rsidR="00423741" w:rsidRPr="00423741" w:rsidRDefault="00423741" w:rsidP="00423741">
      <w:pPr>
        <w:rPr>
          <w:rFonts w:ascii="Helvetica" w:hAnsi="Helvetica"/>
          <w:szCs w:val="21"/>
        </w:rPr>
      </w:pPr>
      <w:r w:rsidRPr="0091077A">
        <w:rPr>
          <w:rFonts w:ascii="Arial" w:hAnsi="Arial" w:cs="Arial" w:hint="eastAsia"/>
          <w:b/>
          <w:bCs/>
          <w:szCs w:val="21"/>
        </w:rPr>
        <w:t>Fig</w:t>
      </w:r>
      <w:r w:rsidRPr="0091077A">
        <w:rPr>
          <w:rFonts w:ascii="Arial" w:hAnsi="Arial" w:cs="Arial"/>
          <w:b/>
          <w:bCs/>
          <w:szCs w:val="21"/>
        </w:rPr>
        <w:t>. S</w:t>
      </w:r>
      <w:r>
        <w:rPr>
          <w:rFonts w:ascii="Arial" w:hAnsi="Arial" w:cs="Arial"/>
          <w:b/>
          <w:bCs/>
          <w:szCs w:val="21"/>
        </w:rPr>
        <w:t>5</w:t>
      </w:r>
      <w:r w:rsidRPr="0091077A">
        <w:rPr>
          <w:rFonts w:ascii="Arial" w:hAnsi="Arial" w:cs="Arial"/>
          <w:b/>
          <w:bCs/>
          <w:szCs w:val="21"/>
        </w:rPr>
        <w:t>.</w:t>
      </w:r>
      <w:r>
        <w:rPr>
          <w:rFonts w:ascii="Arial" w:hAnsi="Arial" w:cs="Arial"/>
          <w:b/>
          <w:bCs/>
          <w:szCs w:val="21"/>
        </w:rPr>
        <w:t xml:space="preserve"> </w:t>
      </w:r>
      <w:r>
        <w:rPr>
          <w:rFonts w:ascii="Helvetica" w:hAnsi="Helvetica"/>
          <w:szCs w:val="21"/>
        </w:rPr>
        <w:t>Macro-CXCL9 marker</w:t>
      </w:r>
      <w:r w:rsidRPr="005A66A3">
        <w:rPr>
          <w:rFonts w:ascii="Helvetica" w:hAnsi="Helvetica"/>
          <w:szCs w:val="21"/>
        </w:rPr>
        <w:t xml:space="preserve"> genes</w:t>
      </w:r>
      <w:r>
        <w:rPr>
          <w:rFonts w:ascii="Helvetica" w:hAnsi="Helvetica"/>
          <w:szCs w:val="21"/>
        </w:rPr>
        <w:t xml:space="preserve"> set</w:t>
      </w:r>
      <w:r w:rsidRPr="005A66A3">
        <w:rPr>
          <w:rFonts w:ascii="Helvetica" w:hAnsi="Helvetica"/>
          <w:szCs w:val="21"/>
        </w:rPr>
        <w:t xml:space="preserve"> showed significant variation across cancer types, highlighting immune cell interaction heterogeneity within the tumor microenvironment (A). A radar chart displays correlations between Macro-CXCL9 marker genes and tumor mutational burden (TMB) across cancers</w:t>
      </w:r>
      <w:r>
        <w:rPr>
          <w:rFonts w:ascii="Helvetica" w:hAnsi="Helvetica"/>
          <w:szCs w:val="21"/>
        </w:rPr>
        <w:t xml:space="preserve"> </w:t>
      </w:r>
      <w:r w:rsidRPr="005A66A3">
        <w:rPr>
          <w:rFonts w:ascii="Helvetica" w:hAnsi="Helvetica"/>
          <w:szCs w:val="21"/>
        </w:rPr>
        <w:t>(B).</w:t>
      </w:r>
      <w:r>
        <w:rPr>
          <w:rFonts w:ascii="Helvetica" w:hAnsi="Helvetica"/>
          <w:szCs w:val="21"/>
        </w:rPr>
        <w:t xml:space="preserve"> T</w:t>
      </w:r>
      <w:r w:rsidRPr="005A66A3">
        <w:rPr>
          <w:rFonts w:ascii="Helvetica" w:hAnsi="Helvetica"/>
          <w:szCs w:val="21"/>
        </w:rPr>
        <w:t>he responder (R) group exhibited a higher relative proportion of Macro-CXCL9 in the UNC-108 cohort</w:t>
      </w:r>
      <w:r>
        <w:rPr>
          <w:rFonts w:ascii="Helvetica" w:hAnsi="Helvetica"/>
          <w:szCs w:val="21"/>
        </w:rPr>
        <w:t xml:space="preserve"> (C)</w:t>
      </w:r>
      <w:r w:rsidRPr="005A66A3">
        <w:rPr>
          <w:rFonts w:ascii="Helvetica" w:hAnsi="Helvetica"/>
          <w:szCs w:val="21"/>
        </w:rPr>
        <w:t>.</w:t>
      </w:r>
      <w:r>
        <w:rPr>
          <w:rFonts w:ascii="Arial" w:eastAsia="Nimbus Sans" w:hAnsi="Arial" w:cs="Arial"/>
          <w:szCs w:val="21"/>
        </w:rPr>
        <w:t xml:space="preserve"> </w:t>
      </w:r>
      <w:r w:rsidRPr="00F34E5B">
        <w:rPr>
          <w:rFonts w:ascii="Arial" w:eastAsia="Nimbus Sans" w:hAnsi="Arial" w:cs="Arial"/>
          <w:szCs w:val="21"/>
        </w:rPr>
        <w:t>*p &lt; 0.05, **p &lt; 0.01</w:t>
      </w:r>
    </w:p>
    <w:p w14:paraId="54B9BE23" w14:textId="77777777" w:rsidR="00F133F2" w:rsidRDefault="00F133F2" w:rsidP="00E058CC">
      <w:pPr>
        <w:rPr>
          <w:rFonts w:ascii="Helvetica" w:eastAsia="Nimbus Sans" w:hAnsi="Helvetica" w:cs="Arial"/>
          <w:szCs w:val="21"/>
        </w:rPr>
      </w:pPr>
    </w:p>
    <w:p w14:paraId="74C01AA8" w14:textId="77777777" w:rsidR="00423741" w:rsidRDefault="00BE0A21" w:rsidP="00E058CC">
      <w:pPr>
        <w:rPr>
          <w:rFonts w:ascii="Helvetica" w:hAnsi="Helvetica" w:cs="Arial"/>
          <w:szCs w:val="21"/>
        </w:rPr>
      </w:pPr>
      <w:r w:rsidRPr="0091077A">
        <w:rPr>
          <w:rFonts w:ascii="Arial" w:hAnsi="Arial" w:cs="Arial" w:hint="eastAsia"/>
          <w:b/>
          <w:bCs/>
          <w:szCs w:val="21"/>
        </w:rPr>
        <w:t>Fig</w:t>
      </w:r>
      <w:r w:rsidRPr="0091077A">
        <w:rPr>
          <w:rFonts w:ascii="Arial" w:hAnsi="Arial" w:cs="Arial"/>
          <w:b/>
          <w:bCs/>
          <w:szCs w:val="21"/>
        </w:rPr>
        <w:t>. S</w:t>
      </w:r>
      <w:r>
        <w:rPr>
          <w:rFonts w:ascii="Arial" w:hAnsi="Arial" w:cs="Arial"/>
          <w:b/>
          <w:bCs/>
          <w:szCs w:val="21"/>
        </w:rPr>
        <w:t>6</w:t>
      </w:r>
      <w:r w:rsidRPr="0091077A">
        <w:rPr>
          <w:rFonts w:ascii="Arial" w:hAnsi="Arial" w:cs="Arial"/>
          <w:b/>
          <w:bCs/>
          <w:szCs w:val="21"/>
        </w:rPr>
        <w:t>.</w:t>
      </w:r>
      <w:r w:rsidRPr="00150593">
        <w:rPr>
          <w:rFonts w:ascii="Helvetica" w:hAnsi="Helvetica" w:cs="Arial"/>
          <w:szCs w:val="21"/>
        </w:rPr>
        <w:t xml:space="preserve"> Mutations in TP53, RB1, and FGFR3 notably impact the expression of </w:t>
      </w:r>
      <w:r>
        <w:rPr>
          <w:rFonts w:ascii="Helvetica" w:hAnsi="Helvetica" w:cs="Arial"/>
          <w:szCs w:val="21"/>
        </w:rPr>
        <w:t xml:space="preserve">immune checkpoint genes </w:t>
      </w:r>
      <w:r w:rsidRPr="00150593">
        <w:rPr>
          <w:rFonts w:ascii="Helvetica" w:hAnsi="Helvetica" w:cs="Arial"/>
          <w:szCs w:val="21"/>
        </w:rPr>
        <w:t>(</w:t>
      </w:r>
      <w:r>
        <w:rPr>
          <w:rFonts w:ascii="Helvetica" w:hAnsi="Helvetica" w:cs="Arial"/>
          <w:szCs w:val="21"/>
        </w:rPr>
        <w:t>A</w:t>
      </w:r>
      <w:r w:rsidRPr="00150593">
        <w:rPr>
          <w:rFonts w:ascii="Helvetica" w:hAnsi="Helvetica" w:cs="Arial"/>
          <w:szCs w:val="21"/>
        </w:rPr>
        <w:t>-</w:t>
      </w:r>
      <w:r>
        <w:rPr>
          <w:rFonts w:ascii="Helvetica" w:hAnsi="Helvetica" w:cs="Arial"/>
          <w:szCs w:val="21"/>
        </w:rPr>
        <w:t>F</w:t>
      </w:r>
      <w:r w:rsidRPr="00150593">
        <w:rPr>
          <w:rFonts w:ascii="Helvetica" w:hAnsi="Helvetica" w:cs="Arial"/>
          <w:szCs w:val="21"/>
        </w:rPr>
        <w:t>).</w:t>
      </w:r>
    </w:p>
    <w:p w14:paraId="08CB85FD" w14:textId="77777777" w:rsidR="001B04BC" w:rsidRDefault="001B04BC" w:rsidP="00E058CC">
      <w:pPr>
        <w:rPr>
          <w:rFonts w:ascii="Helvetica" w:hAnsi="Helvetica" w:cs="Arial"/>
          <w:szCs w:val="21"/>
        </w:rPr>
      </w:pPr>
    </w:p>
    <w:p w14:paraId="02DFDE35" w14:textId="77777777" w:rsidR="001B04BC" w:rsidRPr="001B04BC" w:rsidRDefault="001B04BC" w:rsidP="001B04BC">
      <w:pPr>
        <w:rPr>
          <w:rFonts w:ascii="Helvetica" w:hAnsi="Helvetica" w:cs="Arial"/>
          <w:szCs w:val="21"/>
        </w:rPr>
      </w:pPr>
      <w:r w:rsidRPr="0091077A">
        <w:rPr>
          <w:rFonts w:ascii="Arial" w:hAnsi="Arial" w:cs="Arial" w:hint="eastAsia"/>
          <w:b/>
          <w:bCs/>
          <w:szCs w:val="21"/>
        </w:rPr>
        <w:t>Fig</w:t>
      </w:r>
      <w:r w:rsidRPr="0091077A">
        <w:rPr>
          <w:rFonts w:ascii="Arial" w:hAnsi="Arial" w:cs="Arial"/>
          <w:b/>
          <w:bCs/>
          <w:szCs w:val="21"/>
        </w:rPr>
        <w:t>. S</w:t>
      </w:r>
      <w:r>
        <w:rPr>
          <w:rFonts w:ascii="Arial" w:hAnsi="Arial" w:cs="Arial"/>
          <w:b/>
          <w:bCs/>
          <w:szCs w:val="21"/>
        </w:rPr>
        <w:t>7</w:t>
      </w:r>
      <w:r w:rsidRPr="0091077A">
        <w:rPr>
          <w:rFonts w:ascii="Arial" w:hAnsi="Arial" w:cs="Arial"/>
          <w:b/>
          <w:bCs/>
          <w:szCs w:val="21"/>
        </w:rPr>
        <w:t>.</w:t>
      </w:r>
      <w:r w:rsidRPr="00150593">
        <w:rPr>
          <w:rFonts w:ascii="Helvetica" w:hAnsi="Helvetica" w:cs="Arial"/>
          <w:szCs w:val="21"/>
        </w:rPr>
        <w:t xml:space="preserve"> </w:t>
      </w:r>
      <w:r>
        <w:rPr>
          <w:rFonts w:ascii="Helvetica" w:hAnsi="Helvetica" w:cs="Arial"/>
          <w:szCs w:val="21"/>
        </w:rPr>
        <w:t>T</w:t>
      </w:r>
      <w:r w:rsidRPr="00285DFA">
        <w:rPr>
          <w:rFonts w:ascii="Helvetica" w:hAnsi="Helvetica" w:cs="Arial"/>
          <w:szCs w:val="21"/>
        </w:rPr>
        <w:t xml:space="preserve">he </w:t>
      </w:r>
      <w:r>
        <w:rPr>
          <w:rFonts w:ascii="Helvetica" w:hAnsi="Helvetica" w:cs="Arial"/>
          <w:szCs w:val="21"/>
        </w:rPr>
        <w:t>heatmap</w:t>
      </w:r>
      <w:r w:rsidRPr="00285DFA">
        <w:rPr>
          <w:rFonts w:ascii="Helvetica" w:hAnsi="Helvetica" w:cs="Arial"/>
          <w:szCs w:val="21"/>
        </w:rPr>
        <w:t xml:space="preserve"> diagram represents mRNA DEGs between </w:t>
      </w:r>
      <w:r>
        <w:rPr>
          <w:rFonts w:ascii="Helvetica" w:hAnsi="Helvetica" w:cs="Arial"/>
          <w:szCs w:val="21"/>
        </w:rPr>
        <w:t>class</w:t>
      </w:r>
      <w:r w:rsidRPr="00285DFA">
        <w:rPr>
          <w:rFonts w:ascii="Helvetica" w:hAnsi="Helvetica" w:cs="Arial"/>
          <w:szCs w:val="21"/>
        </w:rPr>
        <w:t xml:space="preserve"> </w:t>
      </w:r>
      <w:r>
        <w:rPr>
          <w:rFonts w:ascii="Helvetica" w:hAnsi="Helvetica" w:cs="Arial"/>
          <w:szCs w:val="21"/>
        </w:rPr>
        <w:t>B</w:t>
      </w:r>
      <w:r w:rsidRPr="00285DFA">
        <w:rPr>
          <w:rFonts w:ascii="Helvetica" w:hAnsi="Helvetica" w:cs="Arial"/>
          <w:szCs w:val="21"/>
        </w:rPr>
        <w:t xml:space="preserve"> and other </w:t>
      </w:r>
      <w:r>
        <w:rPr>
          <w:rFonts w:ascii="Helvetica" w:hAnsi="Helvetica" w:cs="Arial"/>
          <w:szCs w:val="21"/>
        </w:rPr>
        <w:t xml:space="preserve">classes. </w:t>
      </w:r>
      <w:r w:rsidRPr="00150593">
        <w:rPr>
          <w:rFonts w:ascii="Helvetica" w:hAnsi="Helvetica" w:cs="Arial"/>
          <w:szCs w:val="21"/>
        </w:rPr>
        <w:t>(</w:t>
      </w:r>
      <w:r>
        <w:rPr>
          <w:rFonts w:ascii="Helvetica" w:hAnsi="Helvetica" w:cs="Arial"/>
          <w:szCs w:val="21"/>
        </w:rPr>
        <w:t>A-D</w:t>
      </w:r>
      <w:r w:rsidRPr="00150593">
        <w:rPr>
          <w:rFonts w:ascii="Helvetica" w:hAnsi="Helvetica" w:cs="Arial"/>
          <w:szCs w:val="21"/>
        </w:rPr>
        <w:t xml:space="preserve">) </w:t>
      </w:r>
    </w:p>
    <w:p w14:paraId="615C3992" w14:textId="77777777" w:rsidR="001B04BC" w:rsidRDefault="001B04BC" w:rsidP="001B04BC">
      <w:pPr>
        <w:rPr>
          <w:rFonts w:ascii="Helvetica" w:hAnsi="Helvetica" w:cs="Arial"/>
          <w:szCs w:val="21"/>
        </w:rPr>
      </w:pPr>
    </w:p>
    <w:p w14:paraId="2A19773A" w14:textId="77777777" w:rsidR="001B04BC" w:rsidRPr="001B04BC" w:rsidRDefault="001B04BC" w:rsidP="001B04BC">
      <w:pPr>
        <w:rPr>
          <w:rFonts w:ascii="Helvetica" w:hAnsi="Helvetica" w:cs="Arial"/>
          <w:szCs w:val="21"/>
        </w:rPr>
      </w:pPr>
      <w:r w:rsidRPr="0091077A">
        <w:rPr>
          <w:rFonts w:ascii="Arial" w:hAnsi="Arial" w:cs="Arial" w:hint="eastAsia"/>
          <w:b/>
          <w:bCs/>
          <w:szCs w:val="21"/>
        </w:rPr>
        <w:t>Fig</w:t>
      </w:r>
      <w:r w:rsidRPr="0091077A">
        <w:rPr>
          <w:rFonts w:ascii="Arial" w:hAnsi="Arial" w:cs="Arial"/>
          <w:b/>
          <w:bCs/>
          <w:szCs w:val="21"/>
        </w:rPr>
        <w:t>. S</w:t>
      </w:r>
      <w:r>
        <w:rPr>
          <w:rFonts w:ascii="Arial" w:hAnsi="Arial" w:cs="Arial"/>
          <w:b/>
          <w:bCs/>
          <w:szCs w:val="21"/>
        </w:rPr>
        <w:t>8</w:t>
      </w:r>
      <w:r w:rsidRPr="0091077A">
        <w:rPr>
          <w:rFonts w:ascii="Arial" w:hAnsi="Arial" w:cs="Arial"/>
          <w:b/>
          <w:bCs/>
          <w:szCs w:val="21"/>
        </w:rPr>
        <w:t>.</w:t>
      </w:r>
      <w:r w:rsidRPr="00150593">
        <w:rPr>
          <w:rFonts w:ascii="Helvetica" w:hAnsi="Helvetica" w:cs="Arial"/>
          <w:szCs w:val="21"/>
        </w:rPr>
        <w:t xml:space="preserve"> </w:t>
      </w:r>
      <w:r>
        <w:rPr>
          <w:rFonts w:ascii="Helvetica" w:hAnsi="Helvetica" w:cs="Arial"/>
          <w:szCs w:val="21"/>
        </w:rPr>
        <w:t>T</w:t>
      </w:r>
      <w:r w:rsidRPr="00285DFA">
        <w:rPr>
          <w:rFonts w:ascii="Helvetica" w:hAnsi="Helvetica" w:cs="Arial"/>
          <w:szCs w:val="21"/>
        </w:rPr>
        <w:t xml:space="preserve">he </w:t>
      </w:r>
      <w:r>
        <w:rPr>
          <w:rFonts w:ascii="Helvetica" w:hAnsi="Helvetica" w:cs="Arial"/>
          <w:szCs w:val="21"/>
        </w:rPr>
        <w:t>heatmap</w:t>
      </w:r>
      <w:r w:rsidRPr="00285DFA">
        <w:rPr>
          <w:rFonts w:ascii="Helvetica" w:hAnsi="Helvetica" w:cs="Arial"/>
          <w:szCs w:val="21"/>
        </w:rPr>
        <w:t xml:space="preserve"> diagram represents miRNA DEGs between </w:t>
      </w:r>
      <w:r>
        <w:rPr>
          <w:rFonts w:ascii="Helvetica" w:hAnsi="Helvetica" w:cs="Arial"/>
          <w:szCs w:val="21"/>
        </w:rPr>
        <w:t>class</w:t>
      </w:r>
      <w:r w:rsidRPr="00285DFA">
        <w:rPr>
          <w:rFonts w:ascii="Helvetica" w:hAnsi="Helvetica" w:cs="Arial"/>
          <w:szCs w:val="21"/>
        </w:rPr>
        <w:t xml:space="preserve"> </w:t>
      </w:r>
      <w:r>
        <w:rPr>
          <w:rFonts w:ascii="Helvetica" w:hAnsi="Helvetica" w:cs="Arial"/>
          <w:szCs w:val="21"/>
        </w:rPr>
        <w:t>B</w:t>
      </w:r>
      <w:r w:rsidRPr="00285DFA">
        <w:rPr>
          <w:rFonts w:ascii="Helvetica" w:hAnsi="Helvetica" w:cs="Arial"/>
          <w:szCs w:val="21"/>
        </w:rPr>
        <w:t xml:space="preserve"> and other </w:t>
      </w:r>
      <w:r>
        <w:rPr>
          <w:rFonts w:ascii="Helvetica" w:hAnsi="Helvetica" w:cs="Arial"/>
          <w:szCs w:val="21"/>
        </w:rPr>
        <w:t xml:space="preserve">classes. </w:t>
      </w:r>
      <w:r w:rsidRPr="00150593">
        <w:rPr>
          <w:rFonts w:ascii="Helvetica" w:hAnsi="Helvetica" w:cs="Arial"/>
          <w:szCs w:val="21"/>
        </w:rPr>
        <w:t>(</w:t>
      </w:r>
      <w:r>
        <w:rPr>
          <w:rFonts w:ascii="Helvetica" w:hAnsi="Helvetica" w:cs="Arial"/>
          <w:szCs w:val="21"/>
        </w:rPr>
        <w:t>A-D</w:t>
      </w:r>
      <w:r w:rsidRPr="00150593">
        <w:rPr>
          <w:rFonts w:ascii="Helvetica" w:hAnsi="Helvetica" w:cs="Arial"/>
          <w:szCs w:val="21"/>
        </w:rPr>
        <w:t xml:space="preserve">) </w:t>
      </w:r>
    </w:p>
    <w:p w14:paraId="2DFFA6BE" w14:textId="77777777" w:rsidR="001B04BC" w:rsidRDefault="001B04BC" w:rsidP="001B04BC">
      <w:pPr>
        <w:rPr>
          <w:rFonts w:ascii="Helvetica" w:hAnsi="Helvetica" w:cs="Arial"/>
          <w:szCs w:val="21"/>
        </w:rPr>
      </w:pPr>
    </w:p>
    <w:p w14:paraId="43AC831E" w14:textId="77777777" w:rsidR="001B04BC" w:rsidRDefault="001B04BC" w:rsidP="001B04BC">
      <w:pPr>
        <w:rPr>
          <w:rFonts w:ascii="Helvetica" w:hAnsi="Helvetica" w:cs="Arial"/>
          <w:szCs w:val="21"/>
        </w:rPr>
      </w:pPr>
      <w:r w:rsidRPr="0091077A">
        <w:rPr>
          <w:rFonts w:ascii="Arial" w:hAnsi="Arial" w:cs="Arial" w:hint="eastAsia"/>
          <w:b/>
          <w:bCs/>
          <w:szCs w:val="21"/>
        </w:rPr>
        <w:t>Fig</w:t>
      </w:r>
      <w:r w:rsidRPr="0091077A">
        <w:rPr>
          <w:rFonts w:ascii="Arial" w:hAnsi="Arial" w:cs="Arial"/>
          <w:b/>
          <w:bCs/>
          <w:szCs w:val="21"/>
        </w:rPr>
        <w:t>. S</w:t>
      </w:r>
      <w:r>
        <w:rPr>
          <w:rFonts w:ascii="Arial" w:hAnsi="Arial" w:cs="Arial"/>
          <w:b/>
          <w:bCs/>
          <w:szCs w:val="21"/>
        </w:rPr>
        <w:t>9</w:t>
      </w:r>
      <w:r w:rsidRPr="0091077A">
        <w:rPr>
          <w:rFonts w:ascii="Arial" w:hAnsi="Arial" w:cs="Arial"/>
          <w:b/>
          <w:bCs/>
          <w:szCs w:val="21"/>
        </w:rPr>
        <w:t>.</w:t>
      </w:r>
      <w:r w:rsidRPr="00150593">
        <w:rPr>
          <w:rFonts w:ascii="Helvetica" w:hAnsi="Helvetica" w:cs="Arial"/>
          <w:szCs w:val="21"/>
        </w:rPr>
        <w:t xml:space="preserve"> </w:t>
      </w:r>
      <w:r>
        <w:rPr>
          <w:rFonts w:ascii="Helvetica" w:hAnsi="Helvetica" w:cs="Arial"/>
          <w:szCs w:val="21"/>
        </w:rPr>
        <w:t>T</w:t>
      </w:r>
      <w:r w:rsidRPr="00285DFA">
        <w:rPr>
          <w:rFonts w:ascii="Helvetica" w:hAnsi="Helvetica" w:cs="Arial"/>
          <w:szCs w:val="21"/>
        </w:rPr>
        <w:t xml:space="preserve">he </w:t>
      </w:r>
      <w:r>
        <w:rPr>
          <w:rFonts w:ascii="Helvetica" w:hAnsi="Helvetica" w:cs="Arial"/>
          <w:szCs w:val="21"/>
        </w:rPr>
        <w:t>heatmap</w:t>
      </w:r>
      <w:r w:rsidRPr="00285DFA">
        <w:rPr>
          <w:rFonts w:ascii="Helvetica" w:hAnsi="Helvetica" w:cs="Arial"/>
          <w:szCs w:val="21"/>
        </w:rPr>
        <w:t xml:space="preserve"> diagram represents lncRNA DEGs between </w:t>
      </w:r>
      <w:r>
        <w:rPr>
          <w:rFonts w:ascii="Helvetica" w:hAnsi="Helvetica" w:cs="Arial"/>
          <w:szCs w:val="21"/>
        </w:rPr>
        <w:t>class</w:t>
      </w:r>
      <w:r w:rsidRPr="00285DFA">
        <w:rPr>
          <w:rFonts w:ascii="Helvetica" w:hAnsi="Helvetica" w:cs="Arial"/>
          <w:szCs w:val="21"/>
        </w:rPr>
        <w:t xml:space="preserve"> </w:t>
      </w:r>
      <w:r>
        <w:rPr>
          <w:rFonts w:ascii="Helvetica" w:hAnsi="Helvetica" w:cs="Arial"/>
          <w:szCs w:val="21"/>
        </w:rPr>
        <w:t>B</w:t>
      </w:r>
      <w:r w:rsidRPr="00285DFA">
        <w:rPr>
          <w:rFonts w:ascii="Helvetica" w:hAnsi="Helvetica" w:cs="Arial"/>
          <w:szCs w:val="21"/>
        </w:rPr>
        <w:t xml:space="preserve"> and other </w:t>
      </w:r>
      <w:r>
        <w:rPr>
          <w:rFonts w:ascii="Helvetica" w:hAnsi="Helvetica" w:cs="Arial"/>
          <w:szCs w:val="21"/>
        </w:rPr>
        <w:t xml:space="preserve">classes. </w:t>
      </w:r>
      <w:r w:rsidRPr="00150593">
        <w:rPr>
          <w:rFonts w:ascii="Helvetica" w:hAnsi="Helvetica" w:cs="Arial"/>
          <w:szCs w:val="21"/>
        </w:rPr>
        <w:t>(</w:t>
      </w:r>
      <w:r>
        <w:rPr>
          <w:rFonts w:ascii="Helvetica" w:hAnsi="Helvetica" w:cs="Arial"/>
          <w:szCs w:val="21"/>
        </w:rPr>
        <w:t>A-D</w:t>
      </w:r>
      <w:r w:rsidRPr="00150593">
        <w:rPr>
          <w:rFonts w:ascii="Helvetica" w:hAnsi="Helvetica" w:cs="Arial"/>
          <w:szCs w:val="21"/>
        </w:rPr>
        <w:t xml:space="preserve">) </w:t>
      </w:r>
    </w:p>
    <w:p w14:paraId="4C2EE34D" w14:textId="77777777" w:rsidR="003C5159" w:rsidRPr="003C5159" w:rsidRDefault="003C5159" w:rsidP="001B04BC">
      <w:pPr>
        <w:rPr>
          <w:rFonts w:ascii="Helvetica" w:hAnsi="Helvetica" w:cs="Arial"/>
          <w:szCs w:val="21"/>
        </w:rPr>
      </w:pPr>
      <w:r>
        <w:rPr>
          <w:rFonts w:ascii="Helvetica" w:hAnsi="Helvetica" w:cs="Arial"/>
          <w:szCs w:val="21"/>
        </w:rPr>
        <w:t>V</w:t>
      </w:r>
      <w:r w:rsidRPr="003C5159">
        <w:rPr>
          <w:rFonts w:ascii="Helvetica" w:hAnsi="Helvetica" w:cs="Arial"/>
          <w:szCs w:val="21"/>
        </w:rPr>
        <w:t xml:space="preserve">olcano plots of differential </w:t>
      </w:r>
      <w:r w:rsidRPr="00285DFA">
        <w:rPr>
          <w:rFonts w:ascii="Helvetica" w:hAnsi="Helvetica" w:cs="Arial"/>
          <w:szCs w:val="21"/>
        </w:rPr>
        <w:t>lncRNA</w:t>
      </w:r>
      <w:r w:rsidRPr="003C5159">
        <w:rPr>
          <w:rFonts w:ascii="Helvetica" w:hAnsi="Helvetica" w:cs="Arial"/>
          <w:szCs w:val="21"/>
        </w:rPr>
        <w:t xml:space="preserve"> expression (using Ensembl IDs) between group B and other groups (A, C, D, E). Each plot illustrates log fold change (logFC) versus adjusted p-value for gene expression differences. </w:t>
      </w:r>
      <w:r w:rsidRPr="00150593">
        <w:rPr>
          <w:rFonts w:ascii="Helvetica" w:hAnsi="Helvetica" w:cs="Arial"/>
          <w:szCs w:val="21"/>
        </w:rPr>
        <w:t>(</w:t>
      </w:r>
      <w:r>
        <w:rPr>
          <w:rFonts w:ascii="Helvetica" w:hAnsi="Helvetica" w:cs="Arial"/>
          <w:szCs w:val="21"/>
        </w:rPr>
        <w:t>A-D</w:t>
      </w:r>
      <w:r w:rsidRPr="00150593">
        <w:rPr>
          <w:rFonts w:ascii="Helvetica" w:hAnsi="Helvetica" w:cs="Arial"/>
          <w:szCs w:val="21"/>
        </w:rPr>
        <w:t>)</w:t>
      </w:r>
      <w:r>
        <w:rPr>
          <w:rFonts w:ascii="Helvetica" w:hAnsi="Helvetica" w:cs="Arial"/>
          <w:szCs w:val="21"/>
        </w:rPr>
        <w:t xml:space="preserve"> S</w:t>
      </w:r>
      <w:r>
        <w:rPr>
          <w:rFonts w:ascii="Helvetica" w:hAnsi="Helvetica" w:cs="Arial"/>
          <w:szCs w:val="21"/>
        </w:rPr>
        <w:tab/>
      </w:r>
    </w:p>
    <w:p w14:paraId="3DD2CCCD" w14:textId="77777777" w:rsidR="001B04BC" w:rsidRDefault="001B04BC" w:rsidP="001B04BC">
      <w:pPr>
        <w:rPr>
          <w:rFonts w:ascii="Helvetica" w:hAnsi="Helvetica" w:cs="Arial"/>
          <w:szCs w:val="21"/>
        </w:rPr>
      </w:pPr>
    </w:p>
    <w:p w14:paraId="5B07A76B" w14:textId="77777777" w:rsidR="001B04BC" w:rsidRPr="001B04BC" w:rsidRDefault="001B04BC" w:rsidP="001B04BC">
      <w:pPr>
        <w:rPr>
          <w:rFonts w:ascii="Helvetica" w:hAnsi="Helvetica" w:cs="Arial"/>
          <w:szCs w:val="21"/>
        </w:rPr>
      </w:pPr>
      <w:r w:rsidRPr="0091077A">
        <w:rPr>
          <w:rFonts w:ascii="Arial" w:hAnsi="Arial" w:cs="Arial" w:hint="eastAsia"/>
          <w:b/>
          <w:bCs/>
          <w:szCs w:val="21"/>
        </w:rPr>
        <w:t>Fig</w:t>
      </w:r>
      <w:r w:rsidRPr="0091077A">
        <w:rPr>
          <w:rFonts w:ascii="Arial" w:hAnsi="Arial" w:cs="Arial"/>
          <w:b/>
          <w:bCs/>
          <w:szCs w:val="21"/>
        </w:rPr>
        <w:t>. S</w:t>
      </w:r>
      <w:r>
        <w:rPr>
          <w:rFonts w:ascii="Arial" w:hAnsi="Arial" w:cs="Arial"/>
          <w:b/>
          <w:bCs/>
          <w:szCs w:val="21"/>
        </w:rPr>
        <w:t>10</w:t>
      </w:r>
      <w:r w:rsidRPr="0091077A">
        <w:rPr>
          <w:rFonts w:ascii="Arial" w:hAnsi="Arial" w:cs="Arial"/>
          <w:b/>
          <w:bCs/>
          <w:szCs w:val="21"/>
        </w:rPr>
        <w:t>.</w:t>
      </w:r>
      <w:r w:rsidRPr="00150593">
        <w:rPr>
          <w:rFonts w:ascii="Helvetica" w:hAnsi="Helvetica" w:cs="Arial"/>
          <w:szCs w:val="21"/>
        </w:rPr>
        <w:t xml:space="preserve"> </w:t>
      </w:r>
      <w:r w:rsidR="003C5159">
        <w:rPr>
          <w:rFonts w:ascii="Helvetica" w:hAnsi="Helvetica" w:cs="Arial"/>
          <w:szCs w:val="21"/>
        </w:rPr>
        <w:t>V</w:t>
      </w:r>
      <w:r w:rsidR="003C5159" w:rsidRPr="003C5159">
        <w:rPr>
          <w:rFonts w:ascii="Helvetica" w:hAnsi="Helvetica" w:cs="Arial"/>
          <w:szCs w:val="21"/>
        </w:rPr>
        <w:t>olcano plots of differential methylation analysis between group B and other groups (A, C, D, E). Each plot shows log fold change (logFC) versus adjusted p-value for CpG sites</w:t>
      </w:r>
      <w:r>
        <w:rPr>
          <w:rFonts w:ascii="Helvetica" w:hAnsi="Helvetica" w:cs="Arial"/>
          <w:szCs w:val="21"/>
        </w:rPr>
        <w:t xml:space="preserve">. </w:t>
      </w:r>
      <w:r w:rsidRPr="00150593">
        <w:rPr>
          <w:rFonts w:ascii="Helvetica" w:hAnsi="Helvetica" w:cs="Arial"/>
          <w:szCs w:val="21"/>
        </w:rPr>
        <w:t>(</w:t>
      </w:r>
      <w:r>
        <w:rPr>
          <w:rFonts w:ascii="Helvetica" w:hAnsi="Helvetica" w:cs="Arial"/>
          <w:szCs w:val="21"/>
        </w:rPr>
        <w:t>A-D</w:t>
      </w:r>
      <w:r w:rsidRPr="00150593">
        <w:rPr>
          <w:rFonts w:ascii="Helvetica" w:hAnsi="Helvetica" w:cs="Arial"/>
          <w:szCs w:val="21"/>
        </w:rPr>
        <w:t xml:space="preserve">) </w:t>
      </w:r>
    </w:p>
    <w:p w14:paraId="4FAE90A2" w14:textId="77777777" w:rsidR="001B04BC" w:rsidRDefault="001B04BC" w:rsidP="001B04BC">
      <w:pPr>
        <w:rPr>
          <w:rFonts w:ascii="Helvetica" w:hAnsi="Helvetica" w:cs="Arial"/>
          <w:szCs w:val="21"/>
        </w:rPr>
      </w:pPr>
    </w:p>
    <w:p w14:paraId="76EF6BBE" w14:textId="77777777" w:rsidR="001174D4" w:rsidRPr="001B04BC" w:rsidRDefault="001174D4" w:rsidP="001174D4">
      <w:pPr>
        <w:rPr>
          <w:rFonts w:ascii="Helvetica" w:hAnsi="Helvetica" w:cs="Arial"/>
          <w:szCs w:val="21"/>
        </w:rPr>
      </w:pPr>
      <w:r w:rsidRPr="0091077A">
        <w:rPr>
          <w:rFonts w:ascii="Arial" w:hAnsi="Arial" w:cs="Arial" w:hint="eastAsia"/>
          <w:b/>
          <w:bCs/>
          <w:szCs w:val="21"/>
        </w:rPr>
        <w:t>Fig</w:t>
      </w:r>
      <w:r w:rsidRPr="0091077A">
        <w:rPr>
          <w:rFonts w:ascii="Arial" w:hAnsi="Arial" w:cs="Arial"/>
          <w:b/>
          <w:bCs/>
          <w:szCs w:val="21"/>
        </w:rPr>
        <w:t>. S</w:t>
      </w:r>
      <w:r>
        <w:rPr>
          <w:rFonts w:ascii="Arial" w:hAnsi="Arial" w:cs="Arial"/>
          <w:b/>
          <w:bCs/>
          <w:szCs w:val="21"/>
        </w:rPr>
        <w:t>11</w:t>
      </w:r>
      <w:r w:rsidRPr="0091077A">
        <w:rPr>
          <w:rFonts w:ascii="Arial" w:hAnsi="Arial" w:cs="Arial"/>
          <w:b/>
          <w:bCs/>
          <w:szCs w:val="21"/>
        </w:rPr>
        <w:t>.</w:t>
      </w:r>
      <w:r w:rsidRPr="00150593">
        <w:rPr>
          <w:rFonts w:ascii="Helvetica" w:hAnsi="Helvetica" w:cs="Arial"/>
          <w:szCs w:val="21"/>
        </w:rPr>
        <w:t xml:space="preserve"> </w:t>
      </w:r>
      <w:r w:rsidR="003C5159">
        <w:rPr>
          <w:rFonts w:ascii="Helvetica" w:hAnsi="Helvetica" w:cs="Arial"/>
          <w:szCs w:val="21"/>
        </w:rPr>
        <w:t>B</w:t>
      </w:r>
      <w:r w:rsidR="003C5159" w:rsidRPr="003C5159">
        <w:rPr>
          <w:rFonts w:ascii="Helvetica" w:hAnsi="Helvetica" w:cs="Arial"/>
          <w:szCs w:val="21"/>
        </w:rPr>
        <w:t>ar charts of druggable gene categories across five classes (A, B, C, D, E). Each chart highlights different types of druggable targets and the number of genes associated with each category.</w:t>
      </w:r>
    </w:p>
    <w:p w14:paraId="5A055082" w14:textId="77777777" w:rsidR="001B04BC" w:rsidRDefault="001B04BC" w:rsidP="001B04BC">
      <w:pPr>
        <w:rPr>
          <w:rFonts w:ascii="Helvetica" w:hAnsi="Helvetica" w:cs="Arial"/>
          <w:szCs w:val="21"/>
        </w:rPr>
      </w:pPr>
    </w:p>
    <w:p w14:paraId="18EE6811" w14:textId="77777777" w:rsidR="007272EE" w:rsidRPr="007272EE" w:rsidRDefault="007272EE" w:rsidP="00336181">
      <w:pPr>
        <w:rPr>
          <w:rFonts w:ascii="Helvetica" w:hAnsi="Helvetica"/>
          <w:b/>
          <w:bCs/>
          <w:szCs w:val="21"/>
        </w:rPr>
      </w:pPr>
    </w:p>
    <w:sectPr w:rsidR="007272EE" w:rsidRPr="007272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Nimbus Sans">
    <w:altName w:val="Cambria"/>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6A3"/>
    <w:rsid w:val="00005C79"/>
    <w:rsid w:val="00011CA8"/>
    <w:rsid w:val="000155F0"/>
    <w:rsid w:val="000261F6"/>
    <w:rsid w:val="00061229"/>
    <w:rsid w:val="00067B0D"/>
    <w:rsid w:val="000814A6"/>
    <w:rsid w:val="000A6C26"/>
    <w:rsid w:val="001174D4"/>
    <w:rsid w:val="00150593"/>
    <w:rsid w:val="001601B1"/>
    <w:rsid w:val="001B04BC"/>
    <w:rsid w:val="001C2378"/>
    <w:rsid w:val="001D4B46"/>
    <w:rsid w:val="001F640A"/>
    <w:rsid w:val="00240CC9"/>
    <w:rsid w:val="00285DFA"/>
    <w:rsid w:val="002C5E78"/>
    <w:rsid w:val="002D156F"/>
    <w:rsid w:val="002F68A0"/>
    <w:rsid w:val="00304304"/>
    <w:rsid w:val="003049B8"/>
    <w:rsid w:val="00336181"/>
    <w:rsid w:val="00364044"/>
    <w:rsid w:val="003C5159"/>
    <w:rsid w:val="00423741"/>
    <w:rsid w:val="00475F66"/>
    <w:rsid w:val="004C494F"/>
    <w:rsid w:val="00585DC5"/>
    <w:rsid w:val="0059466C"/>
    <w:rsid w:val="005A66A3"/>
    <w:rsid w:val="0060779D"/>
    <w:rsid w:val="00667F7E"/>
    <w:rsid w:val="006C3A42"/>
    <w:rsid w:val="007272EE"/>
    <w:rsid w:val="007C5F0B"/>
    <w:rsid w:val="00865F59"/>
    <w:rsid w:val="008745C1"/>
    <w:rsid w:val="008867BA"/>
    <w:rsid w:val="008D0F1C"/>
    <w:rsid w:val="0093331F"/>
    <w:rsid w:val="0097257F"/>
    <w:rsid w:val="00987E16"/>
    <w:rsid w:val="009C4440"/>
    <w:rsid w:val="00A20ADB"/>
    <w:rsid w:val="00A84BAC"/>
    <w:rsid w:val="00A95945"/>
    <w:rsid w:val="00AB1AB3"/>
    <w:rsid w:val="00AD4495"/>
    <w:rsid w:val="00B5530A"/>
    <w:rsid w:val="00BA28FB"/>
    <w:rsid w:val="00BE0A21"/>
    <w:rsid w:val="00C14AD6"/>
    <w:rsid w:val="00C638B2"/>
    <w:rsid w:val="00CF04B8"/>
    <w:rsid w:val="00D62374"/>
    <w:rsid w:val="00DA08CF"/>
    <w:rsid w:val="00E058CC"/>
    <w:rsid w:val="00E12733"/>
    <w:rsid w:val="00E51FEF"/>
    <w:rsid w:val="00E7539C"/>
    <w:rsid w:val="00F133F2"/>
    <w:rsid w:val="00FF2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A050B"/>
  <w15:chartTrackingRefBased/>
  <w15:docId w15:val="{DF317F1E-06FD-D74A-A205-D35528B7B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5A66A3"/>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Heading2">
    <w:name w:val="heading 2"/>
    <w:basedOn w:val="Normal"/>
    <w:next w:val="Normal"/>
    <w:link w:val="Heading2Char"/>
    <w:uiPriority w:val="9"/>
    <w:semiHidden/>
    <w:unhideWhenUsed/>
    <w:qFormat/>
    <w:rsid w:val="005A66A3"/>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Heading3">
    <w:name w:val="heading 3"/>
    <w:basedOn w:val="Normal"/>
    <w:next w:val="Normal"/>
    <w:link w:val="Heading3Char"/>
    <w:uiPriority w:val="9"/>
    <w:semiHidden/>
    <w:unhideWhenUsed/>
    <w:qFormat/>
    <w:rsid w:val="005A66A3"/>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5A66A3"/>
    <w:pPr>
      <w:keepNext/>
      <w:keepLines/>
      <w:spacing w:before="80" w:after="40"/>
      <w:outlineLvl w:val="3"/>
    </w:pPr>
    <w:rPr>
      <w:rFonts w:cstheme="majorBidi"/>
      <w:color w:val="2F5496" w:themeColor="accent1" w:themeShade="BF"/>
      <w:sz w:val="28"/>
      <w:szCs w:val="28"/>
    </w:rPr>
  </w:style>
  <w:style w:type="paragraph" w:styleId="Heading5">
    <w:name w:val="heading 5"/>
    <w:basedOn w:val="Normal"/>
    <w:next w:val="Normal"/>
    <w:link w:val="Heading5Char"/>
    <w:uiPriority w:val="9"/>
    <w:semiHidden/>
    <w:unhideWhenUsed/>
    <w:qFormat/>
    <w:rsid w:val="005A66A3"/>
    <w:pPr>
      <w:keepNext/>
      <w:keepLines/>
      <w:spacing w:before="80" w:after="40"/>
      <w:outlineLvl w:val="4"/>
    </w:pPr>
    <w:rPr>
      <w:rFonts w:cstheme="majorBidi"/>
      <w:color w:val="2F5496" w:themeColor="accent1" w:themeShade="BF"/>
      <w:sz w:val="24"/>
    </w:rPr>
  </w:style>
  <w:style w:type="paragraph" w:styleId="Heading6">
    <w:name w:val="heading 6"/>
    <w:basedOn w:val="Normal"/>
    <w:next w:val="Normal"/>
    <w:link w:val="Heading6Char"/>
    <w:uiPriority w:val="9"/>
    <w:semiHidden/>
    <w:unhideWhenUsed/>
    <w:qFormat/>
    <w:rsid w:val="005A66A3"/>
    <w:pPr>
      <w:keepNext/>
      <w:keepLines/>
      <w:spacing w:before="40"/>
      <w:outlineLvl w:val="5"/>
    </w:pPr>
    <w:rPr>
      <w:rFonts w:cstheme="majorBidi"/>
      <w:b/>
      <w:bCs/>
      <w:color w:val="2F5496" w:themeColor="accent1" w:themeShade="BF"/>
    </w:rPr>
  </w:style>
  <w:style w:type="paragraph" w:styleId="Heading7">
    <w:name w:val="heading 7"/>
    <w:basedOn w:val="Normal"/>
    <w:next w:val="Normal"/>
    <w:link w:val="Heading7Char"/>
    <w:uiPriority w:val="9"/>
    <w:semiHidden/>
    <w:unhideWhenUsed/>
    <w:qFormat/>
    <w:rsid w:val="005A66A3"/>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5A66A3"/>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5A66A3"/>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66A3"/>
    <w:rPr>
      <w:rFonts w:asciiTheme="majorHAnsi" w:eastAsiaTheme="majorEastAsia" w:hAnsiTheme="majorHAnsi" w:cstheme="majorBidi"/>
      <w:color w:val="2F5496" w:themeColor="accent1" w:themeShade="BF"/>
      <w:sz w:val="48"/>
      <w:szCs w:val="48"/>
    </w:rPr>
  </w:style>
  <w:style w:type="character" w:customStyle="1" w:styleId="Heading2Char">
    <w:name w:val="Heading 2 Char"/>
    <w:basedOn w:val="DefaultParagraphFont"/>
    <w:link w:val="Heading2"/>
    <w:uiPriority w:val="9"/>
    <w:semiHidden/>
    <w:rsid w:val="005A66A3"/>
    <w:rPr>
      <w:rFonts w:asciiTheme="majorHAnsi" w:eastAsiaTheme="majorEastAsia" w:hAnsiTheme="majorHAnsi" w:cstheme="majorBidi"/>
      <w:color w:val="2F5496" w:themeColor="accent1" w:themeShade="BF"/>
      <w:sz w:val="40"/>
      <w:szCs w:val="40"/>
    </w:rPr>
  </w:style>
  <w:style w:type="character" w:customStyle="1" w:styleId="Heading3Char">
    <w:name w:val="Heading 3 Char"/>
    <w:basedOn w:val="DefaultParagraphFont"/>
    <w:link w:val="Heading3"/>
    <w:uiPriority w:val="9"/>
    <w:semiHidden/>
    <w:rsid w:val="005A66A3"/>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5A66A3"/>
    <w:rPr>
      <w:rFonts w:cstheme="majorBidi"/>
      <w:color w:val="2F5496" w:themeColor="accent1" w:themeShade="BF"/>
      <w:sz w:val="28"/>
      <w:szCs w:val="28"/>
    </w:rPr>
  </w:style>
  <w:style w:type="character" w:customStyle="1" w:styleId="Heading5Char">
    <w:name w:val="Heading 5 Char"/>
    <w:basedOn w:val="DefaultParagraphFont"/>
    <w:link w:val="Heading5"/>
    <w:uiPriority w:val="9"/>
    <w:semiHidden/>
    <w:rsid w:val="005A66A3"/>
    <w:rPr>
      <w:rFonts w:cstheme="majorBidi"/>
      <w:color w:val="2F5496" w:themeColor="accent1" w:themeShade="BF"/>
      <w:sz w:val="24"/>
    </w:rPr>
  </w:style>
  <w:style w:type="character" w:customStyle="1" w:styleId="Heading6Char">
    <w:name w:val="Heading 6 Char"/>
    <w:basedOn w:val="DefaultParagraphFont"/>
    <w:link w:val="Heading6"/>
    <w:uiPriority w:val="9"/>
    <w:semiHidden/>
    <w:rsid w:val="005A66A3"/>
    <w:rPr>
      <w:rFonts w:cstheme="majorBidi"/>
      <w:b/>
      <w:bCs/>
      <w:color w:val="2F5496" w:themeColor="accent1" w:themeShade="BF"/>
    </w:rPr>
  </w:style>
  <w:style w:type="character" w:customStyle="1" w:styleId="Heading7Char">
    <w:name w:val="Heading 7 Char"/>
    <w:basedOn w:val="DefaultParagraphFont"/>
    <w:link w:val="Heading7"/>
    <w:uiPriority w:val="9"/>
    <w:semiHidden/>
    <w:rsid w:val="005A66A3"/>
    <w:rPr>
      <w:rFonts w:cstheme="majorBidi"/>
      <w:b/>
      <w:bCs/>
      <w:color w:val="595959" w:themeColor="text1" w:themeTint="A6"/>
    </w:rPr>
  </w:style>
  <w:style w:type="character" w:customStyle="1" w:styleId="Heading8Char">
    <w:name w:val="Heading 8 Char"/>
    <w:basedOn w:val="DefaultParagraphFont"/>
    <w:link w:val="Heading8"/>
    <w:uiPriority w:val="9"/>
    <w:semiHidden/>
    <w:rsid w:val="005A66A3"/>
    <w:rPr>
      <w:rFonts w:cstheme="majorBidi"/>
      <w:color w:val="595959" w:themeColor="text1" w:themeTint="A6"/>
    </w:rPr>
  </w:style>
  <w:style w:type="character" w:customStyle="1" w:styleId="Heading9Char">
    <w:name w:val="Heading 9 Char"/>
    <w:basedOn w:val="DefaultParagraphFont"/>
    <w:link w:val="Heading9"/>
    <w:uiPriority w:val="9"/>
    <w:semiHidden/>
    <w:rsid w:val="005A66A3"/>
    <w:rPr>
      <w:rFonts w:eastAsiaTheme="majorEastAsia" w:cstheme="majorBidi"/>
      <w:color w:val="595959" w:themeColor="text1" w:themeTint="A6"/>
    </w:rPr>
  </w:style>
  <w:style w:type="paragraph" w:styleId="Title">
    <w:name w:val="Title"/>
    <w:basedOn w:val="Normal"/>
    <w:next w:val="Normal"/>
    <w:link w:val="TitleChar"/>
    <w:uiPriority w:val="10"/>
    <w:qFormat/>
    <w:rsid w:val="005A66A3"/>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66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66A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66A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5A66A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66A3"/>
    <w:rPr>
      <w:i/>
      <w:iCs/>
      <w:color w:val="404040" w:themeColor="text1" w:themeTint="BF"/>
    </w:rPr>
  </w:style>
  <w:style w:type="paragraph" w:styleId="ListParagraph">
    <w:name w:val="List Paragraph"/>
    <w:basedOn w:val="Normal"/>
    <w:uiPriority w:val="34"/>
    <w:qFormat/>
    <w:rsid w:val="005A66A3"/>
    <w:pPr>
      <w:ind w:left="720"/>
      <w:contextualSpacing/>
    </w:pPr>
  </w:style>
  <w:style w:type="character" w:styleId="IntenseEmphasis">
    <w:name w:val="Intense Emphasis"/>
    <w:basedOn w:val="DefaultParagraphFont"/>
    <w:uiPriority w:val="21"/>
    <w:qFormat/>
    <w:rsid w:val="005A66A3"/>
    <w:rPr>
      <w:i/>
      <w:iCs/>
      <w:color w:val="2F5496" w:themeColor="accent1" w:themeShade="BF"/>
    </w:rPr>
  </w:style>
  <w:style w:type="paragraph" w:styleId="IntenseQuote">
    <w:name w:val="Intense Quote"/>
    <w:basedOn w:val="Normal"/>
    <w:next w:val="Normal"/>
    <w:link w:val="IntenseQuoteChar"/>
    <w:uiPriority w:val="30"/>
    <w:qFormat/>
    <w:rsid w:val="005A66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A66A3"/>
    <w:rPr>
      <w:i/>
      <w:iCs/>
      <w:color w:val="2F5496" w:themeColor="accent1" w:themeShade="BF"/>
    </w:rPr>
  </w:style>
  <w:style w:type="character" w:styleId="IntenseReference">
    <w:name w:val="Intense Reference"/>
    <w:basedOn w:val="DefaultParagraphFont"/>
    <w:uiPriority w:val="32"/>
    <w:qFormat/>
    <w:rsid w:val="005A66A3"/>
    <w:rPr>
      <w:b/>
      <w:bCs/>
      <w:smallCaps/>
      <w:color w:val="2F5496" w:themeColor="accent1" w:themeShade="BF"/>
      <w:spacing w:val="5"/>
    </w:rPr>
  </w:style>
  <w:style w:type="paragraph" w:styleId="Bibliography">
    <w:name w:val="Bibliography"/>
    <w:basedOn w:val="Normal"/>
    <w:next w:val="Normal"/>
    <w:uiPriority w:val="37"/>
    <w:unhideWhenUsed/>
    <w:rsid w:val="00865F59"/>
    <w:pPr>
      <w:tabs>
        <w:tab w:val="left" w:pos="380"/>
      </w:tabs>
      <w:spacing w:after="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096057">
      <w:bodyDiv w:val="1"/>
      <w:marLeft w:val="0"/>
      <w:marRight w:val="0"/>
      <w:marTop w:val="0"/>
      <w:marBottom w:val="0"/>
      <w:divBdr>
        <w:top w:val="none" w:sz="0" w:space="0" w:color="auto"/>
        <w:left w:val="none" w:sz="0" w:space="0" w:color="auto"/>
        <w:bottom w:val="none" w:sz="0" w:space="0" w:color="auto"/>
        <w:right w:val="none" w:sz="0" w:space="0" w:color="auto"/>
      </w:divBdr>
    </w:div>
    <w:div w:id="768740074">
      <w:bodyDiv w:val="1"/>
      <w:marLeft w:val="0"/>
      <w:marRight w:val="0"/>
      <w:marTop w:val="0"/>
      <w:marBottom w:val="0"/>
      <w:divBdr>
        <w:top w:val="none" w:sz="0" w:space="0" w:color="auto"/>
        <w:left w:val="none" w:sz="0" w:space="0" w:color="auto"/>
        <w:bottom w:val="none" w:sz="0" w:space="0" w:color="auto"/>
        <w:right w:val="none" w:sz="0" w:space="0" w:color="auto"/>
      </w:divBdr>
    </w:div>
    <w:div w:id="1145200506">
      <w:bodyDiv w:val="1"/>
      <w:marLeft w:val="0"/>
      <w:marRight w:val="0"/>
      <w:marTop w:val="0"/>
      <w:marBottom w:val="0"/>
      <w:divBdr>
        <w:top w:val="none" w:sz="0" w:space="0" w:color="auto"/>
        <w:left w:val="none" w:sz="0" w:space="0" w:color="auto"/>
        <w:bottom w:val="none" w:sz="0" w:space="0" w:color="auto"/>
        <w:right w:val="none" w:sz="0" w:space="0" w:color="auto"/>
      </w:divBdr>
    </w:div>
    <w:div w:id="1256597706">
      <w:bodyDiv w:val="1"/>
      <w:marLeft w:val="0"/>
      <w:marRight w:val="0"/>
      <w:marTop w:val="0"/>
      <w:marBottom w:val="0"/>
      <w:divBdr>
        <w:top w:val="none" w:sz="0" w:space="0" w:color="auto"/>
        <w:left w:val="none" w:sz="0" w:space="0" w:color="auto"/>
        <w:bottom w:val="none" w:sz="0" w:space="0" w:color="auto"/>
        <w:right w:val="none" w:sz="0" w:space="0" w:color="auto"/>
      </w:divBdr>
    </w:div>
    <w:div w:id="1449541011">
      <w:bodyDiv w:val="1"/>
      <w:marLeft w:val="0"/>
      <w:marRight w:val="0"/>
      <w:marTop w:val="0"/>
      <w:marBottom w:val="0"/>
      <w:divBdr>
        <w:top w:val="none" w:sz="0" w:space="0" w:color="auto"/>
        <w:left w:val="none" w:sz="0" w:space="0" w:color="auto"/>
        <w:bottom w:val="none" w:sz="0" w:space="0" w:color="auto"/>
        <w:right w:val="none" w:sz="0" w:space="0" w:color="auto"/>
      </w:divBdr>
    </w:div>
    <w:div w:id="1470518553">
      <w:bodyDiv w:val="1"/>
      <w:marLeft w:val="0"/>
      <w:marRight w:val="0"/>
      <w:marTop w:val="0"/>
      <w:marBottom w:val="0"/>
      <w:divBdr>
        <w:top w:val="none" w:sz="0" w:space="0" w:color="auto"/>
        <w:left w:val="none" w:sz="0" w:space="0" w:color="auto"/>
        <w:bottom w:val="none" w:sz="0" w:space="0" w:color="auto"/>
        <w:right w:val="none" w:sz="0" w:space="0" w:color="auto"/>
      </w:divBdr>
    </w:div>
    <w:div w:id="1979649316">
      <w:bodyDiv w:val="1"/>
      <w:marLeft w:val="0"/>
      <w:marRight w:val="0"/>
      <w:marTop w:val="0"/>
      <w:marBottom w:val="0"/>
      <w:divBdr>
        <w:top w:val="none" w:sz="0" w:space="0" w:color="auto"/>
        <w:left w:val="none" w:sz="0" w:space="0" w:color="auto"/>
        <w:bottom w:val="none" w:sz="0" w:space="0" w:color="auto"/>
        <w:right w:val="none" w:sz="0" w:space="0" w:color="auto"/>
      </w:divBdr>
    </w:div>
    <w:div w:id="199552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379</Words>
  <Characters>2162</Characters>
  <Application>Microsoft Office Word</Application>
  <DocSecurity>0</DocSecurity>
  <Lines>18</Lines>
  <Paragraphs>5</Paragraphs>
  <ScaleCrop>false</ScaleCrop>
  <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Zhou</dc:creator>
  <cp:keywords/>
  <dc:description/>
  <cp:lastModifiedBy>Trupti Sudge</cp:lastModifiedBy>
  <cp:revision>2</cp:revision>
  <dcterms:created xsi:type="dcterms:W3CDTF">2024-12-20T11:36:00Z</dcterms:created>
  <dcterms:modified xsi:type="dcterms:W3CDTF">2024-12-20T11:36:00Z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zotero-version="7.0.7"&gt;&lt;session id="JYTd6ReV"/&gt;&lt;style id="http://www.zotero.org/styles/journal-of-translational-medicine" hasBibliography="1" bibliographyStyleHasBeenSet="1"/&gt;&lt;prefs&gt;&lt;pref name="fieldType" value="Field"/&gt;&lt;/prefs&gt;&lt;/da</vt:lpwstr>
  </property>
  <property fmtid="{D5CDD505-2E9C-101B-9397-08002B2CF9AE}" pid="3" name="ZOTERO_PREF_2">
    <vt:lpwstr>ta&gt;</vt:lpwstr>
  </property>
</Properties>
</file>