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C6E19" w14:textId="56F20DB9" w:rsidR="00821204" w:rsidRDefault="00821204" w:rsidP="00821204">
      <w:pPr>
        <w:rPr>
          <w:rFonts w:ascii="Times New Roman" w:hAnsi="Times New Roman" w:cs="Times New Roman"/>
          <w:b/>
        </w:rPr>
      </w:pPr>
      <w:r>
        <w:rPr>
          <w:rFonts w:ascii="Times New Roman" w:hAnsi="Times New Roman" w:cs="Times New Roman"/>
          <w:b/>
        </w:rPr>
        <w:t xml:space="preserve">Supplementary Data </w:t>
      </w:r>
    </w:p>
    <w:p w14:paraId="1F054CF3" w14:textId="1A0F4F12" w:rsidR="001227CF" w:rsidRPr="001227CF" w:rsidRDefault="001227CF" w:rsidP="00821204">
      <w:pPr>
        <w:rPr>
          <w:rFonts w:ascii="Times New Roman" w:hAnsi="Times New Roman" w:cs="Times New Roman"/>
          <w:b/>
        </w:rPr>
      </w:pPr>
      <w:r w:rsidRPr="001227CF">
        <w:rPr>
          <w:rFonts w:ascii="Times New Roman" w:hAnsi="Times New Roman" w:cs="Times New Roman"/>
          <w:b/>
        </w:rPr>
        <w:t>Table S1.</w:t>
      </w:r>
      <w:r w:rsidRPr="001227CF">
        <w:rPr>
          <w:rFonts w:ascii="Times New Roman" w:hAnsi="Times New Roman" w:cs="Times New Roman"/>
        </w:rPr>
        <w:t xml:space="preserve"> Composition of </w:t>
      </w:r>
      <w:r w:rsidRPr="001227CF">
        <w:rPr>
          <w:rFonts w:ascii="Times New Roman" w:hAnsi="Times New Roman" w:cs="Times New Roman"/>
          <w:i/>
        </w:rPr>
        <w:t xml:space="preserve">S. cordifolia </w:t>
      </w:r>
      <w:r w:rsidRPr="001227CF">
        <w:rPr>
          <w:rFonts w:ascii="Times New Roman" w:hAnsi="Times New Roman" w:cs="Times New Roman"/>
        </w:rPr>
        <w:t>aqueous fractions (SCAF).</w:t>
      </w:r>
    </w:p>
    <w:tbl>
      <w:tblPr>
        <w:tblStyle w:val="TableGrid"/>
        <w:tblW w:w="9288" w:type="dxa"/>
        <w:tblLook w:val="04A0" w:firstRow="1" w:lastRow="0" w:firstColumn="1" w:lastColumn="0" w:noHBand="0" w:noVBand="1"/>
      </w:tblPr>
      <w:tblGrid>
        <w:gridCol w:w="1368"/>
        <w:gridCol w:w="7920"/>
      </w:tblGrid>
      <w:tr w:rsidR="00DD6710" w14:paraId="0F67934B" w14:textId="77777777" w:rsidTr="00EF3410">
        <w:tc>
          <w:tcPr>
            <w:tcW w:w="1368" w:type="dxa"/>
          </w:tcPr>
          <w:p w14:paraId="254727C1" w14:textId="77777777" w:rsidR="00DD6710" w:rsidRPr="007C22D6" w:rsidRDefault="00DD6710" w:rsidP="00EF3410">
            <w:pPr>
              <w:spacing w:after="120" w:line="360" w:lineRule="auto"/>
              <w:rPr>
                <w:rFonts w:ascii="Times New Roman" w:hAnsi="Times New Roman" w:cs="Times New Roman"/>
                <w:b/>
              </w:rPr>
            </w:pPr>
            <w:r w:rsidRPr="007C22D6">
              <w:rPr>
                <w:rFonts w:ascii="Times New Roman" w:hAnsi="Times New Roman" w:cs="Times New Roman"/>
                <w:b/>
              </w:rPr>
              <w:t>Fractions</w:t>
            </w:r>
          </w:p>
        </w:tc>
        <w:tc>
          <w:tcPr>
            <w:tcW w:w="7920" w:type="dxa"/>
          </w:tcPr>
          <w:p w14:paraId="35CCDDD9" w14:textId="77777777" w:rsidR="00DD6710" w:rsidRPr="007C22D6" w:rsidRDefault="00DD6710" w:rsidP="00EF3410">
            <w:pPr>
              <w:spacing w:after="120" w:line="360" w:lineRule="auto"/>
              <w:rPr>
                <w:rFonts w:ascii="Times New Roman" w:hAnsi="Times New Roman" w:cs="Times New Roman"/>
                <w:b/>
              </w:rPr>
            </w:pPr>
            <w:r w:rsidRPr="007C22D6">
              <w:rPr>
                <w:rFonts w:ascii="Times New Roman" w:hAnsi="Times New Roman" w:cs="Times New Roman"/>
                <w:b/>
              </w:rPr>
              <w:t>Fraction composition (dry weight)</w:t>
            </w:r>
          </w:p>
        </w:tc>
      </w:tr>
      <w:tr w:rsidR="00DD6710" w14:paraId="5FE0AACE" w14:textId="77777777" w:rsidTr="00EF3410">
        <w:tc>
          <w:tcPr>
            <w:tcW w:w="1368" w:type="dxa"/>
          </w:tcPr>
          <w:p w14:paraId="138A6656"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rPr>
              <w:t>SCAF0</w:t>
            </w:r>
          </w:p>
        </w:tc>
        <w:tc>
          <w:tcPr>
            <w:tcW w:w="7920" w:type="dxa"/>
          </w:tcPr>
          <w:p w14:paraId="3F84ACA9" w14:textId="77777777" w:rsidR="00DD6710" w:rsidRPr="004D76FB" w:rsidRDefault="00DD6710" w:rsidP="00EF3410">
            <w:pPr>
              <w:spacing w:after="120" w:line="360" w:lineRule="auto"/>
              <w:rPr>
                <w:rFonts w:ascii="Times New Roman" w:hAnsi="Times New Roman" w:cs="Times New Roman"/>
              </w:rPr>
            </w:pPr>
            <w:r>
              <w:rPr>
                <w:rFonts w:ascii="Times New Roman" w:hAnsi="Times New Roman" w:cs="Times New Roman"/>
                <w:lang w:bidi="ar-SA"/>
              </w:rPr>
              <w:t xml:space="preserve">crude polysaccharide fraction of </w:t>
            </w:r>
            <w:r w:rsidRPr="004B6B6D">
              <w:rPr>
                <w:rFonts w:ascii="Times New Roman" w:hAnsi="Times New Roman" w:cs="Times New Roman"/>
                <w:i/>
                <w:iCs/>
                <w:lang w:bidi="ar-SA"/>
              </w:rPr>
              <w:t>S. cordifolia</w:t>
            </w:r>
            <w:r>
              <w:rPr>
                <w:rFonts w:ascii="Times New Roman" w:hAnsi="Times New Roman" w:cs="Times New Roman"/>
                <w:lang w:bidi="ar-SA"/>
              </w:rPr>
              <w:t xml:space="preserve"> (SCAQ)</w:t>
            </w:r>
          </w:p>
        </w:tc>
      </w:tr>
      <w:tr w:rsidR="00DD6710" w14:paraId="4B7DFE08" w14:textId="77777777" w:rsidTr="00EF3410">
        <w:tc>
          <w:tcPr>
            <w:tcW w:w="1368" w:type="dxa"/>
          </w:tcPr>
          <w:p w14:paraId="490591C1"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rPr>
              <w:t>SCAF1</w:t>
            </w:r>
          </w:p>
        </w:tc>
        <w:tc>
          <w:tcPr>
            <w:tcW w:w="7920" w:type="dxa"/>
          </w:tcPr>
          <w:p w14:paraId="75B568AF"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 xml:space="preserve">low ionic strength and &lt;100kDa </w:t>
            </w:r>
          </w:p>
        </w:tc>
      </w:tr>
      <w:tr w:rsidR="00DD6710" w14:paraId="556A7C3D" w14:textId="77777777" w:rsidTr="00EF3410">
        <w:tc>
          <w:tcPr>
            <w:tcW w:w="1368" w:type="dxa"/>
          </w:tcPr>
          <w:p w14:paraId="3B874782"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SCAF2</w:t>
            </w:r>
          </w:p>
        </w:tc>
        <w:tc>
          <w:tcPr>
            <w:tcW w:w="7920" w:type="dxa"/>
          </w:tcPr>
          <w:p w14:paraId="4FCF0E75"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medium ionic strength and between 10-100kDa</w:t>
            </w:r>
          </w:p>
        </w:tc>
      </w:tr>
      <w:tr w:rsidR="00DD6710" w14:paraId="2B4E9FF0" w14:textId="77777777" w:rsidTr="00EF3410">
        <w:tc>
          <w:tcPr>
            <w:tcW w:w="1368" w:type="dxa"/>
          </w:tcPr>
          <w:p w14:paraId="712D12EA"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SCAF 3</w:t>
            </w:r>
          </w:p>
        </w:tc>
        <w:tc>
          <w:tcPr>
            <w:tcW w:w="7920" w:type="dxa"/>
          </w:tcPr>
          <w:p w14:paraId="693B8448"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medium ionic strength and &lt; 100kDa</w:t>
            </w:r>
          </w:p>
        </w:tc>
      </w:tr>
      <w:tr w:rsidR="00DD6710" w14:paraId="2E3BA114" w14:textId="77777777" w:rsidTr="00EF3410">
        <w:tc>
          <w:tcPr>
            <w:tcW w:w="1368" w:type="dxa"/>
          </w:tcPr>
          <w:p w14:paraId="025A959B"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SCAF 4</w:t>
            </w:r>
          </w:p>
        </w:tc>
        <w:tc>
          <w:tcPr>
            <w:tcW w:w="7920" w:type="dxa"/>
          </w:tcPr>
          <w:p w14:paraId="6829FF7F"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high ionic strength (2 mol/l) and between 10kDa-100kDa</w:t>
            </w:r>
          </w:p>
        </w:tc>
      </w:tr>
      <w:tr w:rsidR="00DD6710" w14:paraId="22829CF5" w14:textId="77777777" w:rsidTr="00EF3410">
        <w:tc>
          <w:tcPr>
            <w:tcW w:w="1368" w:type="dxa"/>
          </w:tcPr>
          <w:p w14:paraId="409F4300"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SCAF 5</w:t>
            </w:r>
          </w:p>
        </w:tc>
        <w:tc>
          <w:tcPr>
            <w:tcW w:w="7920" w:type="dxa"/>
          </w:tcPr>
          <w:p w14:paraId="38DA1C76" w14:textId="77777777" w:rsidR="00DD6710" w:rsidRDefault="00DD6710" w:rsidP="00EF3410">
            <w:pPr>
              <w:spacing w:after="120" w:line="360" w:lineRule="auto"/>
              <w:rPr>
                <w:rFonts w:ascii="Times New Roman" w:hAnsi="Times New Roman" w:cs="Times New Roman"/>
              </w:rPr>
            </w:pPr>
            <w:r>
              <w:rPr>
                <w:rFonts w:ascii="Times New Roman" w:hAnsi="Times New Roman" w:cs="Times New Roman"/>
                <w:lang w:bidi="ar-SA"/>
              </w:rPr>
              <w:t>high ionic strength and &lt;100kDa</w:t>
            </w:r>
          </w:p>
        </w:tc>
      </w:tr>
    </w:tbl>
    <w:p w14:paraId="3CB7F0A6" w14:textId="0C4A50ED" w:rsidR="00DD6710" w:rsidRDefault="00DD6710" w:rsidP="00DD6710">
      <w:pPr>
        <w:spacing w:after="120" w:line="360" w:lineRule="auto"/>
        <w:rPr>
          <w:rFonts w:ascii="Times New Roman" w:hAnsi="Times New Roman" w:cs="Times New Roman"/>
        </w:rPr>
      </w:pPr>
      <w:r>
        <w:rPr>
          <w:rFonts w:ascii="Times New Roman" w:hAnsi="Times New Roman" w:cs="Times New Roman"/>
        </w:rPr>
        <w:t xml:space="preserve">The crude aqueous extract (SCAQ) was precipitated using ethanol (EXAP) and then further fractionated </w:t>
      </w:r>
      <w:proofErr w:type="gramStart"/>
      <w:r>
        <w:rPr>
          <w:rFonts w:ascii="Times New Roman" w:hAnsi="Times New Roman" w:cs="Times New Roman"/>
        </w:rPr>
        <w:t>on the basis of</w:t>
      </w:r>
      <w:proofErr w:type="gramEnd"/>
      <w:r>
        <w:rPr>
          <w:rFonts w:ascii="Times New Roman" w:hAnsi="Times New Roman" w:cs="Times New Roman"/>
        </w:rPr>
        <w:t xml:space="preserve"> ionic strength and size.</w:t>
      </w:r>
    </w:p>
    <w:p w14:paraId="691C9300" w14:textId="77777777" w:rsidR="00DD6710" w:rsidRDefault="00DD6710" w:rsidP="00DD6710">
      <w:pPr>
        <w:spacing w:after="120" w:line="360" w:lineRule="auto"/>
        <w:rPr>
          <w:rFonts w:ascii="Times New Roman" w:hAnsi="Times New Roman" w:cs="Times New Roman"/>
        </w:rPr>
      </w:pPr>
    </w:p>
    <w:p w14:paraId="41D9FD34" w14:textId="40768466" w:rsidR="001A7DE6" w:rsidRPr="001227CF" w:rsidRDefault="001227CF" w:rsidP="001A7DE6">
      <w:pPr>
        <w:spacing w:after="160" w:line="360" w:lineRule="auto"/>
        <w:rPr>
          <w:rFonts w:ascii="Times New Roman" w:hAnsi="Times New Roman" w:cs="Times New Roman"/>
        </w:rPr>
      </w:pPr>
      <w:r w:rsidRPr="001227CF">
        <w:rPr>
          <w:rFonts w:ascii="Times New Roman" w:hAnsi="Times New Roman" w:cs="Times New Roman"/>
          <w:b/>
          <w:bCs/>
        </w:rPr>
        <w:t>Table S2.</w:t>
      </w:r>
      <w:r w:rsidRPr="001227CF">
        <w:rPr>
          <w:rFonts w:ascii="Times New Roman" w:hAnsi="Times New Roman" w:cs="Times New Roman"/>
        </w:rPr>
        <w:t xml:space="preserve"> Primers sequences (forward and reverse) used for quantification of cytokine mRNA expression in splenocytes and RAW246.7 macrophage cell line.  </w:t>
      </w:r>
    </w:p>
    <w:tbl>
      <w:tblPr>
        <w:tblStyle w:val="TableGrid"/>
        <w:tblpPr w:leftFromText="180" w:rightFromText="180" w:vertAnchor="text" w:horzAnchor="margin" w:tblpY="-85"/>
        <w:tblW w:w="8733" w:type="dxa"/>
        <w:tblLook w:val="04A0" w:firstRow="1" w:lastRow="0" w:firstColumn="1" w:lastColumn="0" w:noHBand="0" w:noVBand="1"/>
      </w:tblPr>
      <w:tblGrid>
        <w:gridCol w:w="828"/>
        <w:gridCol w:w="3550"/>
        <w:gridCol w:w="3483"/>
        <w:gridCol w:w="1027"/>
      </w:tblGrid>
      <w:tr w:rsidR="001A7DE6" w:rsidRPr="00E868E2" w14:paraId="3D34CEB6"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62D37CF2"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Gene</w:t>
            </w:r>
          </w:p>
        </w:tc>
        <w:tc>
          <w:tcPr>
            <w:tcW w:w="3214" w:type="dxa"/>
            <w:tcBorders>
              <w:top w:val="single" w:sz="4" w:space="0" w:color="auto"/>
              <w:left w:val="single" w:sz="4" w:space="0" w:color="auto"/>
              <w:bottom w:val="single" w:sz="4" w:space="0" w:color="auto"/>
              <w:right w:val="single" w:sz="4" w:space="0" w:color="auto"/>
            </w:tcBorders>
            <w:hideMark/>
          </w:tcPr>
          <w:p w14:paraId="666D2D93"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 xml:space="preserve">Forward </w:t>
            </w:r>
          </w:p>
        </w:tc>
        <w:tc>
          <w:tcPr>
            <w:tcW w:w="2830" w:type="dxa"/>
            <w:tcBorders>
              <w:top w:val="single" w:sz="4" w:space="0" w:color="auto"/>
              <w:left w:val="single" w:sz="4" w:space="0" w:color="auto"/>
              <w:bottom w:val="single" w:sz="4" w:space="0" w:color="auto"/>
              <w:right w:val="single" w:sz="4" w:space="0" w:color="auto"/>
            </w:tcBorders>
            <w:hideMark/>
          </w:tcPr>
          <w:p w14:paraId="057A3C32"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 xml:space="preserve">Reverse </w:t>
            </w:r>
          </w:p>
        </w:tc>
        <w:tc>
          <w:tcPr>
            <w:tcW w:w="1701" w:type="dxa"/>
            <w:tcBorders>
              <w:top w:val="single" w:sz="4" w:space="0" w:color="auto"/>
              <w:left w:val="single" w:sz="4" w:space="0" w:color="auto"/>
              <w:bottom w:val="single" w:sz="4" w:space="0" w:color="auto"/>
              <w:right w:val="single" w:sz="4" w:space="0" w:color="auto"/>
            </w:tcBorders>
            <w:hideMark/>
          </w:tcPr>
          <w:p w14:paraId="3D63EAD5"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 xml:space="preserve">Reference </w:t>
            </w:r>
          </w:p>
        </w:tc>
      </w:tr>
      <w:tr w:rsidR="001A7DE6" w:rsidRPr="00E868E2" w14:paraId="3187A67E"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2DEAF416"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IL-1a</w:t>
            </w:r>
          </w:p>
        </w:tc>
        <w:tc>
          <w:tcPr>
            <w:tcW w:w="3214" w:type="dxa"/>
            <w:tcBorders>
              <w:top w:val="single" w:sz="4" w:space="0" w:color="auto"/>
              <w:left w:val="single" w:sz="4" w:space="0" w:color="auto"/>
              <w:bottom w:val="single" w:sz="4" w:space="0" w:color="auto"/>
              <w:right w:val="single" w:sz="4" w:space="0" w:color="auto"/>
            </w:tcBorders>
            <w:hideMark/>
          </w:tcPr>
          <w:p w14:paraId="29A2ACE9"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GGAAGATTCTGAAGAAGAGACGG</w:t>
            </w:r>
          </w:p>
        </w:tc>
        <w:tc>
          <w:tcPr>
            <w:tcW w:w="2830" w:type="dxa"/>
            <w:tcBorders>
              <w:top w:val="single" w:sz="4" w:space="0" w:color="auto"/>
              <w:left w:val="single" w:sz="4" w:space="0" w:color="auto"/>
              <w:bottom w:val="single" w:sz="4" w:space="0" w:color="auto"/>
              <w:right w:val="single" w:sz="4" w:space="0" w:color="auto"/>
            </w:tcBorders>
            <w:hideMark/>
          </w:tcPr>
          <w:p w14:paraId="60D033F8"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TGAGATTTTTAGAGTAACAGG</w:t>
            </w:r>
          </w:p>
        </w:tc>
        <w:tc>
          <w:tcPr>
            <w:tcW w:w="1701" w:type="dxa"/>
            <w:tcBorders>
              <w:top w:val="single" w:sz="4" w:space="0" w:color="auto"/>
              <w:left w:val="single" w:sz="4" w:space="0" w:color="auto"/>
              <w:bottom w:val="single" w:sz="4" w:space="0" w:color="auto"/>
              <w:right w:val="single" w:sz="4" w:space="0" w:color="auto"/>
            </w:tcBorders>
            <w:hideMark/>
          </w:tcPr>
          <w:p w14:paraId="2E669C51"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"10.1016/j.lfs.2003.10.010", "ISSN" : "00243205", "abstract" : "Double-stranded (ds)RNA is made as a by-product of viral replication. Synthetic dsRNA induces virtually all of the same systemic symptoms as acute viral infections, such as fever and malaise. In order to develop a model of respiratory viral infections (such as influenza) suitable for use in gene knockout mice (where the deleted gene may affect viral replication), we examined C57BL/6 mouse body temperature and locomotor activity responses to the synthetic dsRNA polyriboinosinic??polyribocytidylic acid (poly[rI??rC]) introduced via the intratracheal (IT) route. We compared the IT poly[rI??rC] responses to the well-characterized intraperitoneal (IP) poly[rI??rC] responses. IT poly[rI??rC] failed to induce an acute phase response (APR) in mice, in contrast to IP poly[rI??rC]. However, addition of interferon (IFN)?? to the IT poly[rI??rC] inoculum induced sustained hypothermia and suppressed locomotor activity responses with similar kinetics to those responses seen in acute mouse influenza. We further examined cytokine, antiviral, muscarinic M2 receptor and inducible nitric oxide synthase gene expression at 5 hr in the lungs of IT challenged mice. These studies suggested that priming the lung with IFN?? could enhance proinflammatory (IL1??, IL6, TNF??) cytokine gene expression and suppress interferon gene expression compared to IT poly[rI??rC] alone. No differences were detected for the other genes examined. While further molecular characterization of the model is required, we demonstrate that IT challenge with combined poly[rI??rC] and IFN?? closely simulates the APR to an acute respiratory virus, and may serve as a suitable model for analyzing the molecular basis of the viral APR in gene knockout mice. ?? 2004 Elsevier Inc. All rights reserved.", "author" : [ { "dropping-particle" : "", "family" : "Traynor", "given" : "Tim R.", "non-dropping-particle" : "", "parse-names" : false, "suffix" : "" }, { "dropping-particle" : "", "family" : "Majde", "given" : "Jeannine a.", "non-dropping-particle" : "", "parse-names" : false, "suffix" : "" }, { "dropping-particle" : "", "family" : "Bohnet", "given" : "Stewart G.", "non-dropping-particle" : "", "parse-names" : false, "suffix" : "" }, { "dropping-particle" : "", "family" : "Krueger", "given" : "James M.", "non-dropping-particle" : "", "parse-names" : false, "suffix" : "" } ], "container-title" : "Life Sciences", "id" : "ITEM-1", "issued" : { "date-parts" : [ [ "2004" ] ] }, "page" : "2563-2576", "title" : "Intratracheal Double-Stranded RNA plus interferon-\u03b3: A model for Analysis of The Acute Phase Response to Respiratory Viral Infections", "type" : "article-journal", "volume" : "74" }, "uris" : [ "http://www.mendeley.com/documents/?uuid=97d35cb0-2dba-44a0-bfee-d2b350eb2e75" ] } ], "mendeley" : { "formattedCitation" : "(67)", "plainTextFormattedCitation" : "(67)", "previouslyFormattedCitation" : "(31)"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(67)</w:t>
            </w:r>
            <w:r w:rsidRPr="00E868E2">
              <w:rPr>
                <w:rFonts w:ascii="Times New Roman" w:hAnsi="Times New Roman" w:cs="Times New Roman"/>
                <w:sz w:val="20"/>
                <w:szCs w:val="20"/>
              </w:rPr>
              <w:fldChar w:fldCharType="end"/>
            </w:r>
          </w:p>
        </w:tc>
      </w:tr>
      <w:tr w:rsidR="001A7DE6" w:rsidRPr="00E868E2" w14:paraId="31B1ED6C"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3C0B0C29"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IL-1b</w:t>
            </w:r>
          </w:p>
        </w:tc>
        <w:tc>
          <w:tcPr>
            <w:tcW w:w="3214" w:type="dxa"/>
            <w:tcBorders>
              <w:top w:val="single" w:sz="4" w:space="0" w:color="auto"/>
              <w:left w:val="single" w:sz="4" w:space="0" w:color="auto"/>
              <w:bottom w:val="single" w:sz="4" w:space="0" w:color="auto"/>
              <w:right w:val="single" w:sz="4" w:space="0" w:color="auto"/>
            </w:tcBorders>
            <w:hideMark/>
          </w:tcPr>
          <w:p w14:paraId="0EDE5950"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TGTCTGAAGCAGCTATGGCAAC</w:t>
            </w:r>
          </w:p>
        </w:tc>
        <w:tc>
          <w:tcPr>
            <w:tcW w:w="2830" w:type="dxa"/>
            <w:tcBorders>
              <w:top w:val="single" w:sz="4" w:space="0" w:color="auto"/>
              <w:left w:val="single" w:sz="4" w:space="0" w:color="auto"/>
              <w:bottom w:val="single" w:sz="4" w:space="0" w:color="auto"/>
              <w:right w:val="single" w:sz="4" w:space="0" w:color="auto"/>
            </w:tcBorders>
            <w:hideMark/>
          </w:tcPr>
          <w:p w14:paraId="0315126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 xml:space="preserve">CTGCCTGAAGCTCTTGTTGATG </w:t>
            </w:r>
          </w:p>
        </w:tc>
        <w:tc>
          <w:tcPr>
            <w:tcW w:w="1701" w:type="dxa"/>
            <w:tcBorders>
              <w:top w:val="single" w:sz="4" w:space="0" w:color="auto"/>
              <w:left w:val="single" w:sz="4" w:space="0" w:color="auto"/>
              <w:bottom w:val="single" w:sz="4" w:space="0" w:color="auto"/>
              <w:right w:val="single" w:sz="4" w:space="0" w:color="auto"/>
            </w:tcBorders>
            <w:hideMark/>
          </w:tcPr>
          <w:p w14:paraId="5A70BA8F"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"10.1016/j.bbi.2012.07.023", "ISBN" : "1090-2139 (Electronic)\\r0889-1591 (Linking)", "ISSN" : "08891591", "PMID" : "22884959", "abstract" : "A role for pro-inflammatory cytokines and their neuroinflammatory signaling cascades in depressive pathology has increasingly gained acceptance. In this regard, several lines of evidence suggested that interleukin-1?? (IL-1??) and tumor necrosis factor-?? (TNF-??) can provoke neurochemical and hormonal changes akin to those associated with psychological stressors, and that these cytokines also induce sickness behaviors that resemble some of the neurovegetative features of depression. Similarly, human depressed patients often display marked changes of pro-inflammatory cytokine levels and immune cell activity. Perhaps more germane in the analysis of the cytokine-depression connection, reports of humans undergoing interferon-?? (IFN-??) treatment for certain cancers or viral infections have indicated that the pro-inflammatory cytokine caused signs of major depression in a substantial subset of those treated. In the present investigation, we demonstrated that acute or repeated infusion of IFN-?? into the lateral ventricles provoked depressive-like behavior and concomitant changes in serotonin (5-HT) and mRNA expression of particular 5-HT receptors and pro-inflammatory cytokines. These actions were less evident following administration directly into the prefrontal cortex and not apparent at all when administered to the dorsal raphe nucleus. The data are discussed in relation to the induction of depression elicited by IFN-??, and are presented in the context of a mini-review that highlights potential mechanisms through which the cytokine might act to promote psychomotor and affective disturbances and interact with stressors. ?? 2012 Elsevier Inc.", "author" : [ { "dropping-particle" : "", "family" : "Hayley", "given" : "Shawn", "non-dropping-particle" : "", "parse-names" : false, "suffix" : "" }, { "dropping-particle" : "", "family" : "Scharf", "given" : "Jeff", "non-dropping-particle" : "", "parse-names" : false, "suffix" : "" }, { "dropping-particle" : "", "family" : "Anisman", "given" : "Hymie", "non-dropping-particle" : "", "parse-names" : false, "suffix" : "" } ], "container-title" : "Brain, Behavior, and Immunity", "id" : "ITEM-1", "issue" : "2013", "issued" : { "date-parts" : [ [ "2013" ] ] }, "page" : "115-127", "publisher" : "Elsevier Inc.", "title" : "Central Administration of Murine Interferon-\u03b1 Induces Depressive-Like Behavioral, Brain Cytokine and Neurochemical Alterations in Mice: A Mini-Review and Original Experiments", "type" : "article-journal", "volume" : "31" }, "uris" : [ "http://www.mendeley.com/documents/?uuid=c0bef9f7-9d6f-4a4b-93e2-d95a4ad3fc4d" ] } ], "mendeley" : { "formattedCitation" : "(68)", "plainTextFormattedCitation" : "(68)", "previouslyFormattedCitation" : "(32)"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(68)</w:t>
            </w:r>
            <w:r w:rsidRPr="00E868E2">
              <w:rPr>
                <w:rFonts w:ascii="Times New Roman" w:hAnsi="Times New Roman" w:cs="Times New Roman"/>
                <w:sz w:val="20"/>
                <w:szCs w:val="20"/>
              </w:rPr>
              <w:fldChar w:fldCharType="end"/>
            </w:r>
          </w:p>
        </w:tc>
      </w:tr>
      <w:tr w:rsidR="001A7DE6" w:rsidRPr="00E868E2" w14:paraId="57CC8CA7"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11EE212D"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IL-6</w:t>
            </w:r>
          </w:p>
        </w:tc>
        <w:tc>
          <w:tcPr>
            <w:tcW w:w="3214" w:type="dxa"/>
            <w:tcBorders>
              <w:top w:val="single" w:sz="4" w:space="0" w:color="auto"/>
              <w:left w:val="single" w:sz="4" w:space="0" w:color="auto"/>
              <w:bottom w:val="single" w:sz="4" w:space="0" w:color="auto"/>
              <w:right w:val="single" w:sz="4" w:space="0" w:color="auto"/>
            </w:tcBorders>
            <w:hideMark/>
          </w:tcPr>
          <w:p w14:paraId="777B861F"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TCTTGGGACTGATGCTGGTG</w:t>
            </w:r>
          </w:p>
        </w:tc>
        <w:tc>
          <w:tcPr>
            <w:tcW w:w="2830" w:type="dxa"/>
            <w:tcBorders>
              <w:top w:val="single" w:sz="4" w:space="0" w:color="auto"/>
              <w:left w:val="single" w:sz="4" w:space="0" w:color="auto"/>
              <w:bottom w:val="single" w:sz="4" w:space="0" w:color="auto"/>
              <w:right w:val="single" w:sz="4" w:space="0" w:color="auto"/>
            </w:tcBorders>
            <w:hideMark/>
          </w:tcPr>
          <w:p w14:paraId="58D55E1A"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CAGAATTGCCATTGCACAACTC</w:t>
            </w:r>
          </w:p>
        </w:tc>
        <w:tc>
          <w:tcPr>
            <w:tcW w:w="1701" w:type="dxa"/>
            <w:tcBorders>
              <w:top w:val="single" w:sz="4" w:space="0" w:color="auto"/>
              <w:left w:val="single" w:sz="4" w:space="0" w:color="auto"/>
              <w:bottom w:val="single" w:sz="4" w:space="0" w:color="auto"/>
              <w:right w:val="single" w:sz="4" w:space="0" w:color="auto"/>
            </w:tcBorders>
            <w:hideMark/>
          </w:tcPr>
          <w:p w14:paraId="0C87FB9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"10.1016/j.bbi.2012.07.023", "ISBN" : "1090-2139 (Electronic)\\r0889-1591 (Linking)", "ISSN" : "08891591", "PMID" : "22884959", "abstract" : "A role for pro-inflammatory cytokines and their neuroinflammatory signaling cascades in depressive pathology has increasingly gained acceptance. In this regard, several lines of evidence suggested that interleukin-1?? (IL-1??) and tumor necrosis factor-?? (TNF-??) can provoke neurochemical and hormonal changes akin to those associated with psychological stressors, and that these cytokines also induce sickness behaviors that resemble some of the neurovegetative features of depression. Similarly, human depressed patients often display marked changes of pro-inflammatory cytokine levels and immune cell activity. Perhaps more germane in the analysis of the cytokine-depression connection, reports of humans undergoing interferon-?? (IFN-??) treatment for certain cancers or viral infections have indicated that the pro-inflammatory cytokine caused signs of major depression in a substantial subset of those treated. In the present investigation, we demonstrated that acute or repeated infusion of IFN-?? into the lateral ventricles provoked depressive-like behavior and concomitant changes in serotonin (5-HT) and mRNA expression of particular 5-HT receptors and pro-inflammatory cytokines. These actions were less evident following administration directly into the prefrontal cortex and not apparent at all when administered to the dorsal raphe nucleus. The data are discussed in relation to the induction of depression elicited by IFN-??, and are presented in the context of a mini-review that highlights potential mechanisms through which the cytokine might act to promote psychomotor and affective disturbances and interact with stressors. ?? 2012 Elsevier Inc.", "author" : [ { "dropping-particle" : "", "family" : "Hayley", "given" : "Shawn", "non-dropping-particle" : "", "parse-names" : false, "suffix" : "" }, { "dropping-particle" : "", "family" : "Scharf", "given" : "Jeff", "non-dropping-particle" : "", "parse-names" : false, "suffix" : "" }, { "dropping-particle" : "", "family" : "Anisman", "given" : "Hymie", "non-dropping-particle" : "", "parse-names" : false, "suffix" : "" } ], "container-title" : "Brain, Behavior, and Immunity", "id" : "ITEM-1", "issue" : "2013", "issued" : { "date-parts" : [ [ "2013" ] ] }, "page" : "115-127", "publisher" : "Elsevier Inc.", "title" : "Central Administration of Murine Interferon-\u03b1 Induces Depressive-Like Behavioral, Brain Cytokine and Neurochemical Alterations in Mice: A Mini-Review and Original Experiments", "type" : "article-journal", "volume" : "31" }, "uris" : [ "http://www.mendeley.com/documents/?uuid=c0bef9f7-9d6f-4a4b-93e2-d95a4ad3fc4d" ] } ], "mendeley" : { "formattedCitation" : "(68)", "plainTextFormattedCitation" : "(68)", "previouslyFormattedCitation" : "(32)"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(68)</w:t>
            </w:r>
            <w:r w:rsidRPr="00E868E2">
              <w:rPr>
                <w:rFonts w:ascii="Times New Roman" w:hAnsi="Times New Roman" w:cs="Times New Roman"/>
                <w:sz w:val="20"/>
                <w:szCs w:val="20"/>
              </w:rPr>
              <w:fldChar w:fldCharType="end"/>
            </w:r>
          </w:p>
        </w:tc>
      </w:tr>
      <w:tr w:rsidR="001A7DE6" w:rsidRPr="00E868E2" w14:paraId="607B4A46"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5D3CBB9B"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IL-10</w:t>
            </w:r>
          </w:p>
        </w:tc>
        <w:tc>
          <w:tcPr>
            <w:tcW w:w="3214" w:type="dxa"/>
            <w:tcBorders>
              <w:top w:val="single" w:sz="4" w:space="0" w:color="auto"/>
              <w:left w:val="single" w:sz="4" w:space="0" w:color="auto"/>
              <w:bottom w:val="single" w:sz="4" w:space="0" w:color="auto"/>
              <w:right w:val="single" w:sz="4" w:space="0" w:color="auto"/>
            </w:tcBorders>
            <w:hideMark/>
          </w:tcPr>
          <w:p w14:paraId="7DF61A72"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AATTCCCTGGGTGAGAAGCTG</w:t>
            </w:r>
          </w:p>
        </w:tc>
        <w:tc>
          <w:tcPr>
            <w:tcW w:w="2830" w:type="dxa"/>
            <w:tcBorders>
              <w:top w:val="single" w:sz="4" w:space="0" w:color="auto"/>
              <w:left w:val="single" w:sz="4" w:space="0" w:color="auto"/>
              <w:bottom w:val="single" w:sz="4" w:space="0" w:color="auto"/>
              <w:right w:val="single" w:sz="4" w:space="0" w:color="auto"/>
            </w:tcBorders>
            <w:hideMark/>
          </w:tcPr>
          <w:p w14:paraId="65619241"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CATGGCCTTGTAGACACCTTG</w:t>
            </w:r>
          </w:p>
        </w:tc>
        <w:tc>
          <w:tcPr>
            <w:tcW w:w="1701" w:type="dxa"/>
            <w:tcBorders>
              <w:top w:val="single" w:sz="4" w:space="0" w:color="auto"/>
              <w:left w:val="single" w:sz="4" w:space="0" w:color="auto"/>
              <w:bottom w:val="single" w:sz="4" w:space="0" w:color="auto"/>
              <w:right w:val="single" w:sz="4" w:space="0" w:color="auto"/>
            </w:tcBorders>
            <w:hideMark/>
          </w:tcPr>
          <w:p w14:paraId="6B34B7C7"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"10.1016/j.bbi.2012.07.023", "ISBN" : "1090-2139 (Electronic)\\r0889-1591 (Linking)", "ISSN" : "08891591", "PMID" : "22884959", "abstract" : "A role for pro-inflammatory cytokines and their neuroinflammatory signaling cascades in depressive pathology has increasingly gained acceptance. In this regard, several lines of evidence suggested that interleukin-1?? (IL-1??) and tumor necrosis factor-?? (TNF-??) can provoke neurochemical and hormonal changes akin to those associated with psychological stressors, and that these cytokines also induce sickness behaviors that resemble some of the neurovegetative features of depression. Similarly, human depressed patients often display marked changes of pro-inflammatory cytokine levels and immune cell activity. Perhaps more germane in the analysis of the cytokine-depression connection, reports of humans undergoing interferon-?? (IFN-??) treatment for certain cancers or viral infections have indicated that the pro-inflammatory cytokine caused signs of major depression in a substantial subset of those treated. In the present investigation, we demonstrated that acute or repeated infusion of IFN-?? into the lateral ventricles provoked depressive-like behavior and concomitant changes in serotonin (5-HT) and mRNA expression of particular 5-HT receptors and pro-inflammatory cytokines. These actions were less evident following administration directly into the prefrontal cortex and not apparent at all when administered to the dorsal raphe nucleus. The data are discussed in relation to the induction of depression elicited by IFN-??, and are presented in the context of a mini-review that highlights potential mechanisms through which the cytokine might act to promote psychomotor and affective disturbances and interact with stressors. ?? 2012 Elsevier Inc.", "author" : [ { "dropping-particle" : "", "family" : "Hayley", "given" : "Shawn", "non-dropping-particle" : "", "parse-names" : false, "suffix" : "" }, { "dropping-particle" : "", "family" : "Scharf", "given" : "Jeff", "non-dropping-particle" : "", "parse-names" : false, "suffix" : "" }, { "dropping-particle" : "", "family" : "Anisman", "given" : "Hymie", "non-dropping-particle" : "", "parse-names" : false, "suffix" : "" } ], "container-title" : "Brain, Behavior, and Immunity", "id" : "ITEM-1", "issue" : "2013", "issued" : { "date-parts" : [ [ "2013" ] ] }, "page" : "115-127", "publisher" : "Elsevier Inc.", "title" : "Central Administration of Murine Interferon-\u03b1 Induces Depressive-Like Behavioral, Brain Cytokine and Neurochemical Alterations in Mice: A Mini-Review and Original Experiments", "type" : "article-journal", "volume" : "31" }, "uris" : [ "http://www.mendeley.com/documents/?uuid=c0bef9f7-9d6f-4a4b-93e2-d95a4ad3fc4d" ] } ], "mendeley" : { "formattedCitation" : "(68)", "plainTextFormattedCitation" : "(68)", "previouslyFormattedCitation" : "(32)"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(68)</w:t>
            </w:r>
            <w:r w:rsidRPr="00E868E2">
              <w:rPr>
                <w:rFonts w:ascii="Times New Roman" w:hAnsi="Times New Roman" w:cs="Times New Roman"/>
                <w:sz w:val="20"/>
                <w:szCs w:val="20"/>
              </w:rPr>
              <w:fldChar w:fldCharType="end"/>
            </w:r>
          </w:p>
        </w:tc>
      </w:tr>
      <w:tr w:rsidR="001A7DE6" w:rsidRPr="00E868E2" w14:paraId="5B1D8E62"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74DD385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1L-12 p35</w:t>
            </w:r>
          </w:p>
        </w:tc>
        <w:tc>
          <w:tcPr>
            <w:tcW w:w="3214" w:type="dxa"/>
            <w:tcBorders>
              <w:top w:val="single" w:sz="4" w:space="0" w:color="auto"/>
              <w:left w:val="single" w:sz="4" w:space="0" w:color="auto"/>
              <w:bottom w:val="single" w:sz="4" w:space="0" w:color="auto"/>
              <w:right w:val="single" w:sz="4" w:space="0" w:color="auto"/>
            </w:tcBorders>
            <w:hideMark/>
          </w:tcPr>
          <w:p w14:paraId="65C85F4A"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TGG ACC TGC CAG GTG TCT TAG</w:t>
            </w:r>
          </w:p>
        </w:tc>
        <w:tc>
          <w:tcPr>
            <w:tcW w:w="2830" w:type="dxa"/>
            <w:tcBorders>
              <w:top w:val="single" w:sz="4" w:space="0" w:color="auto"/>
              <w:left w:val="single" w:sz="4" w:space="0" w:color="auto"/>
              <w:bottom w:val="single" w:sz="4" w:space="0" w:color="auto"/>
              <w:right w:val="single" w:sz="4" w:space="0" w:color="auto"/>
            </w:tcBorders>
            <w:hideMark/>
          </w:tcPr>
          <w:p w14:paraId="52FC7E83"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CAATGTGCTGGTTTGGTCCC</w:t>
            </w:r>
          </w:p>
        </w:tc>
        <w:tc>
          <w:tcPr>
            <w:tcW w:w="1701" w:type="dxa"/>
            <w:tcBorders>
              <w:top w:val="single" w:sz="4" w:space="0" w:color="auto"/>
              <w:left w:val="single" w:sz="4" w:space="0" w:color="auto"/>
              <w:bottom w:val="single" w:sz="4" w:space="0" w:color="auto"/>
              <w:right w:val="single" w:sz="4" w:space="0" w:color="auto"/>
            </w:tcBorders>
            <w:hideMark/>
          </w:tcPr>
          <w:p w14:paraId="3B8E3F42"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"10.1078/0171-2985-00189", "ISBN" : "0171-2985", "ISSN" : "0171-2985", "PMID" : "12437070", "abstract" : "The innate immune system recognizes pathogen-associated molecular patterns (PAMP) to cope with evolving infections. Toll-like receptors (TLRs) play a pivotal role in recognition of PAMPs. In the course of infection not a single but rather a full panel of different microbial components interacts with distinct TLRs simultaneously. Only limited information is available on effects of combinations of TLR agonists. Here, we have analyzed the effects of lipoteichoic acid (LTA), CpG-DNA and combinations thereof on innate immune cells in vitro. Although proinflammatory cytokines like TNF-alpha were induced by these agonists in quite similar amounts, CpG DNA was superior in its potency to induce IL-12p40 reflecting important differences in the biological valence of LTA and CpG-DNA. When given in combination, LTA and CpG-DNA were additive in induction of TNF-alpha, IL-6 and nitric oxide in RAW 264 macrophages, peritoneal macrophages and dendritic cells. Additive effects were also observed in regard to TNF-alpha mRNA. In contrast, LTA suppressed IL12p40 secretion induced by CpG-DNA in RAW cells and peritoneal macrophages but not in dendritic cells. Intracellular signal cascades (NFkappaB and p38 MAP kinase) showed additive effects after simultaneous triggering. mRNA expression ofTLRs showed only minor regulation after CpG or LTA application and thus does not account for the additive/suppressive effects observed. These results indicate that the consequences of interaction of innate immune cells with microbial pattern depend on the responding cell type and might be differential for certain effector mechanisms. Thus, the pathogen-characteristic panel of TLR ligands will induce pathogen-specific innate responses decisive for the inflammatory reactions.", "author" : [ { "dropping-particle" : "", "family" : "Dalpke", "given" : "Alexander H", "non-dropping-particle" : "", "parse-names" : false, "suffix" : "" }, { "dropping-particle" : "", "family" : "Frey", "given" : "Markus", "non-dropping-particle" : "", "parse-names" : false, "suffix" : "" }, { "dropping-particle" : "", "family" : "Morath", "given" : "Siegfried", "non-dropping-particle" : "", "parse-names" : false, "suffix" : "" }, { "dropping-particle" : "", "family" : "Hartung", "given" : "Thomas", "non-dropping-particle" : "", "parse-names" : false, "suffix" : "" }, { "dropping-particle" : "", "family" : "Heeg", "given" : "Klaus", "non-dropping-particle" : "", "parse-names" : false, "suffix" : "" } ], "container-title" : "Immunobiology", "id" : "ITEM-1", "issue" : "2002", "issued" : { "date-parts" : [ [ "2002" ] ] }, "page" : "392-407", "title" : "Interaction of Lipoteichoic acid and CpG-DNA During Activation of Innate Immune Cells.", "type" : "article-journal", "volume" : "206" }, "uris" : [ "http://www.mendeley.com/documents/?uuid=1fb330f0-1730-4a04-ab0d-9e6220470625" ] } ], "mendeley" : { "formattedCitation" : "(69)", "plainTextFormattedCitation" : "(69)", "previouslyFormattedCitation" : "(33)"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(69)</w:t>
            </w:r>
            <w:r w:rsidRPr="00E868E2">
              <w:rPr>
                <w:rFonts w:ascii="Times New Roman" w:hAnsi="Times New Roman" w:cs="Times New Roman"/>
                <w:sz w:val="20"/>
                <w:szCs w:val="20"/>
              </w:rPr>
              <w:fldChar w:fldCharType="end"/>
            </w:r>
          </w:p>
        </w:tc>
      </w:tr>
      <w:tr w:rsidR="001A7DE6" w:rsidRPr="00E868E2" w14:paraId="46AD0795"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17EC236A"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IL-12 p40</w:t>
            </w:r>
          </w:p>
        </w:tc>
        <w:tc>
          <w:tcPr>
            <w:tcW w:w="3214" w:type="dxa"/>
            <w:tcBorders>
              <w:top w:val="single" w:sz="4" w:space="0" w:color="auto"/>
              <w:left w:val="single" w:sz="4" w:space="0" w:color="auto"/>
              <w:bottom w:val="single" w:sz="4" w:space="0" w:color="auto"/>
              <w:right w:val="single" w:sz="4" w:space="0" w:color="auto"/>
            </w:tcBorders>
            <w:hideMark/>
          </w:tcPr>
          <w:p w14:paraId="59175CD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AAGAAGGAAAATGGAATTTGGTCC</w:t>
            </w:r>
          </w:p>
        </w:tc>
        <w:tc>
          <w:tcPr>
            <w:tcW w:w="2830" w:type="dxa"/>
            <w:tcBorders>
              <w:top w:val="single" w:sz="4" w:space="0" w:color="auto"/>
              <w:left w:val="single" w:sz="4" w:space="0" w:color="auto"/>
              <w:bottom w:val="single" w:sz="4" w:space="0" w:color="auto"/>
              <w:right w:val="single" w:sz="4" w:space="0" w:color="auto"/>
            </w:tcBorders>
            <w:hideMark/>
          </w:tcPr>
          <w:p w14:paraId="705295CD"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ATGTCACTGCCCGAGAGTCAG</w:t>
            </w:r>
          </w:p>
        </w:tc>
        <w:tc>
          <w:tcPr>
            <w:tcW w:w="1701" w:type="dxa"/>
            <w:tcBorders>
              <w:top w:val="single" w:sz="4" w:space="0" w:color="auto"/>
              <w:left w:val="single" w:sz="4" w:space="0" w:color="auto"/>
              <w:bottom w:val="single" w:sz="4" w:space="0" w:color="auto"/>
              <w:right w:val="single" w:sz="4" w:space="0" w:color="auto"/>
            </w:tcBorders>
            <w:hideMark/>
          </w:tcPr>
          <w:p w14:paraId="2B49BB8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"10.1078/0171-2985-00189", "ISBN" : "0171-2985", "ISSN" : "0171-2985", "PMID" : "12437070", "abstract" : "The innate immune system recognizes pathogen-associated molecular patterns (PAMP) to cope with evolving infections. Toll-like receptors (TLRs) play a pivotal role in recognition of PAMPs. In the course of infection not a single but rather a full panel of different microbial components interacts with distinct TLRs simultaneously. Only limited information is available on effects of combinations of TLR agonists. Here, we have analyzed the effects of lipoteichoic acid (LTA), CpG-DNA and combinations thereof on innate immune cells in vitro. Although proinflammatory cytokines like TNF-alpha were induced by these agonists in quite similar amounts, CpG DNA was superior in its potency to induce IL-12p40 reflecting important differences in the biological valence of LTA and CpG-DNA. When given in combination, LTA and CpG-DNA were additive in induction of TNF-alpha, IL-6 and nitric oxide in RAW 264 macrophages, peritoneal macrophages and dendritic cells. Additive effects were also observed in regard to TNF-alpha mRNA. In contrast, LTA suppressed IL12p40 secretion induced by CpG-DNA in RAW cells and peritoneal macrophages but not in dendritic cells. Intracellular signal cascades (NFkappaB and p38 MAP kinase) showed additive effects after simultaneous triggering. mRNA expression ofTLRs showed only minor regulation after CpG or LTA application and thus does not account for the additive/suppressive effects observed. These results indicate that the consequences of interaction of innate immune cells with microbial pattern depend on the responding cell type and might be differential for certain effector mechanisms. Thus, the pathogen-characteristic panel of TLR ligands will induce pathogen-specific innate responses decisive for the inflammatory reactions.", "author" : [ { "dropping-particle" : "", "family" : "Dalpke", "given" : "Alexander H", "non-dropping-particle" : "", "parse-names" : false, "suffix" : "" }, { "dropping-particle" : "", "family" : "Frey", "given" : "Markus", "non-dropping-particle" : "", "parse-names" : false, "suffix" : "" }, { "dropping-particle" : "", "family" : "Morath", "given" : "Siegfried", "non-dropping-particle" : "", "parse-names" : false, "suffix" : "" }, { "dropping-particle" : "", "family" : "Hartung", "given" : "Thomas", "non-dropping-particle" : "", "parse-names" : false, "suffix" : "" }, { "dropping-particle" : "", "family" : "Heeg", "given" : "Klaus", "non-dropping-particle" : "", "parse-names" : false, "suffix" : "" } ], "container-title" : "Immunobiology", "id" : "ITEM-1", "issue" : "2002", "issued" : { "date-parts" : [ [ "2002" ] ] }, "page" : "392-407", "title" : "Interaction of Lipoteichoic acid and CpG-DNA During Activation of Innate Immune Cells.", "type" : "article-journal", "volume" : "206" }, "uris" : [ "http://www.mendeley.com/documents/?uuid=1fb330f0-1730-4a04-ab0d-9e6220470625" ] } ], "mendeley" : { "formattedCitation" : "(69)", "plainTextFormattedCitation" : "(69)", "previouslyFormattedCitation" : "(33)"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(69)</w:t>
            </w:r>
            <w:r w:rsidRPr="00E868E2">
              <w:rPr>
                <w:rFonts w:ascii="Times New Roman" w:hAnsi="Times New Roman" w:cs="Times New Roman"/>
                <w:sz w:val="20"/>
                <w:szCs w:val="20"/>
              </w:rPr>
              <w:fldChar w:fldCharType="end"/>
            </w:r>
          </w:p>
        </w:tc>
      </w:tr>
      <w:tr w:rsidR="001A7DE6" w:rsidRPr="00E868E2" w14:paraId="49DDC8D8"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7708C687"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TNF - α</w:t>
            </w:r>
          </w:p>
        </w:tc>
        <w:tc>
          <w:tcPr>
            <w:tcW w:w="3214" w:type="dxa"/>
            <w:tcBorders>
              <w:top w:val="single" w:sz="4" w:space="0" w:color="auto"/>
              <w:left w:val="single" w:sz="4" w:space="0" w:color="auto"/>
              <w:bottom w:val="single" w:sz="4" w:space="0" w:color="auto"/>
              <w:right w:val="single" w:sz="4" w:space="0" w:color="auto"/>
            </w:tcBorders>
            <w:hideMark/>
          </w:tcPr>
          <w:p w14:paraId="26B51C5C"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CTCAGCCTCTTCTCATTCCTGC</w:t>
            </w:r>
          </w:p>
        </w:tc>
        <w:tc>
          <w:tcPr>
            <w:tcW w:w="2830" w:type="dxa"/>
            <w:tcBorders>
              <w:top w:val="single" w:sz="4" w:space="0" w:color="auto"/>
              <w:left w:val="single" w:sz="4" w:space="0" w:color="auto"/>
              <w:bottom w:val="single" w:sz="4" w:space="0" w:color="auto"/>
              <w:right w:val="single" w:sz="4" w:space="0" w:color="auto"/>
            </w:tcBorders>
            <w:hideMark/>
          </w:tcPr>
          <w:p w14:paraId="0D0DBDE2"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CCATAGAACTG ATGAGAGGG</w:t>
            </w:r>
          </w:p>
        </w:tc>
        <w:tc>
          <w:tcPr>
            <w:tcW w:w="1701" w:type="dxa"/>
            <w:tcBorders>
              <w:top w:val="single" w:sz="4" w:space="0" w:color="auto"/>
              <w:left w:val="single" w:sz="4" w:space="0" w:color="auto"/>
              <w:bottom w:val="single" w:sz="4" w:space="0" w:color="auto"/>
              <w:right w:val="single" w:sz="4" w:space="0" w:color="auto"/>
            </w:tcBorders>
            <w:hideMark/>
          </w:tcPr>
          <w:p w14:paraId="633A2D03"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"10.1016/j.bbi.2012.07.023", "ISBN" : "1090-2139 (Electronic)\\r0889-1591 (Linking)", "ISSN" : "08891591", "PMID" : "22884959", "abstract" : "A role for pro-inflammatory cytokines and their neuroinflammatory signaling cascades in depressive pathology has increasingly gained acceptance. In this regard, several lines of evidence suggested that interleukin-1?? (IL-1??) and tumor necrosis factor-?? (TNF-??) can provoke neurochemical and hormonal changes akin to those associated with psychological stressors, and that these cytokines also induce sickness behaviors that resemble some of the neurovegetative features of depression. Similarly, human depressed patients often display marked changes of pro-inflammatory cytokine levels and immune cell activity. Perhaps more germane in the analysis of the cytokine-depression connection, reports of humans undergoing interferon-?? (IFN-??) treatment for certain cancers or viral infections have indicated that the pro-inflammatory cytokine caused signs of major depression in a substantial subset of those treated. In the present investigation, we demonstrated that acute or repeated infusion of IFN-?? into the lateral ventricles provoked depressive-like behavior and concomitant changes in serotonin (5-HT) and mRNA expression of particular 5-HT receptors and pro-inflammatory cytokines. These actions were less evident following administration directly into the prefrontal cortex and not apparent at all when administered to the dorsal raphe nucleus. The data are discussed in relation to the induction of depression elicited by IFN-??, and are presented in the context of a mini-review that highlights potential mechanisms through which the cytokine might act to promote psychomotor and affective disturbances and interact with stressors. ?? 2012 Elsevier Inc.", "author" : [ { "dropping-particle" : "", "family" : "Hayley", "given" : "Shawn", "non-dropping-particle" : "", "parse-names" : false, "suffix" : "" }, { "dropping-particle" : "", "family" : "Scharf", "given" : "Jeff", "non-dropping-particle" : "", "parse-names" : false, "suffix" : "" }, { "dropping-particle" : "", "family" : "Anisman", "given" : "Hymie", "non-dropping-particle" : "", "parse-names" : false, "suffix" : "" } ], "container-title" : "Brain, Behavior, and Immunity", "id" : "ITEM-1", "issue" : "2013", "issued" : { "date-parts" : [ [ "2013" ] ] }, "page" : "115-127", "publisher" : "Elsevier Inc.", "title" : "Central Administration of Murine Interferon-\u03b1 Induces Depressive-Like Behavioral, Brain Cytokine and Neurochemical Alterations in Mice: A Mini-Review and Original Experiments", "type" : "article-journal", "volume" : "31" }, "uris" : [ "http://www.mendeley.com/documents/?uuid=c0bef9f7-9d6f-4a4b-93e2-d95a4ad3fc4d" ] } ], "mendeley" : { "formattedCitation" : "(68)", "plainTextFormattedCitation" : "(68)", "previouslyFormattedCitation" : "(32)"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(68)</w:t>
            </w:r>
            <w:r w:rsidRPr="00E868E2">
              <w:rPr>
                <w:rFonts w:ascii="Times New Roman" w:hAnsi="Times New Roman" w:cs="Times New Roman"/>
                <w:sz w:val="20"/>
                <w:szCs w:val="20"/>
              </w:rPr>
              <w:fldChar w:fldCharType="end"/>
            </w:r>
          </w:p>
        </w:tc>
      </w:tr>
      <w:tr w:rsidR="001A7DE6" w:rsidRPr="00E868E2" w14:paraId="055324BF"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5C6EF0D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IFN-γ</w:t>
            </w:r>
          </w:p>
        </w:tc>
        <w:tc>
          <w:tcPr>
            <w:tcW w:w="3214" w:type="dxa"/>
            <w:tcBorders>
              <w:top w:val="single" w:sz="4" w:space="0" w:color="auto"/>
              <w:left w:val="single" w:sz="4" w:space="0" w:color="auto"/>
              <w:bottom w:val="single" w:sz="4" w:space="0" w:color="auto"/>
              <w:right w:val="single" w:sz="4" w:space="0" w:color="auto"/>
            </w:tcBorders>
            <w:hideMark/>
          </w:tcPr>
          <w:p w14:paraId="271B4BCB"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AGCAACAGC AAG GCG AAA A</w:t>
            </w:r>
          </w:p>
        </w:tc>
        <w:tc>
          <w:tcPr>
            <w:tcW w:w="2830" w:type="dxa"/>
            <w:tcBorders>
              <w:top w:val="single" w:sz="4" w:space="0" w:color="auto"/>
              <w:left w:val="single" w:sz="4" w:space="0" w:color="auto"/>
              <w:bottom w:val="single" w:sz="4" w:space="0" w:color="auto"/>
              <w:right w:val="single" w:sz="4" w:space="0" w:color="auto"/>
            </w:tcBorders>
            <w:hideMark/>
          </w:tcPr>
          <w:p w14:paraId="5D3767BC"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CTGGACCTGTGGGTTGTTGA</w:t>
            </w:r>
          </w:p>
        </w:tc>
        <w:tc>
          <w:tcPr>
            <w:tcW w:w="1701" w:type="dxa"/>
            <w:tcBorders>
              <w:top w:val="single" w:sz="4" w:space="0" w:color="auto"/>
              <w:left w:val="single" w:sz="4" w:space="0" w:color="auto"/>
              <w:bottom w:val="single" w:sz="4" w:space="0" w:color="auto"/>
              <w:right w:val="single" w:sz="4" w:space="0" w:color="auto"/>
            </w:tcBorders>
            <w:hideMark/>
          </w:tcPr>
          <w:p w14:paraId="319391F5"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"10.1016/j.lfs.2003.10.010", "ISSN" : "00243205", "abstract" : "Double-stranded (ds)RNA is made as a by-product of viral replication. Synthetic dsRNA induces virtually all of the same systemic symptoms as acute viral infections, such as fever and malaise. In order to develop a model of respiratory viral infections (such as influenza) suitable for use in gene knockout mice (where the deleted gene may affect viral replication), we examined C57BL/6 mouse body temperature and locomotor activity responses to the synthetic dsRNA polyriboinosinic??polyribocytidylic acid (poly[rI??rC]) introduced via the intratracheal (IT) route. We compared the IT poly[rI??rC] responses to the well-characterized intraperitoneal (IP) poly[rI??rC] responses. IT poly[rI??rC] failed to induce an acute phase response (APR) in mice, in contrast to IP poly[rI??rC]. However, addition of interferon (IFN)?? to the IT poly[rI??rC] inoculum induced sustained hypothermia and suppressed locomotor activity responses with similar kinetics to those responses seen in acute mouse influenza. We further examined cytokine, antiviral, muscarinic M2 receptor and inducible nitric oxide synthase gene expression at 5 hr in the lungs of IT challenged mice. These studies suggested that priming the lung with IFN?? could enhance proinflammatory (IL1??, IL6, TNF??) cytokine gene expression and suppress interferon gene expression compared to IT poly[rI??rC] alone. No differences were detected for the other genes examined. While further molecular characterization of the model is required, we demonstrate that IT challenge with combined poly[rI??rC] and IFN?? closely simulates the APR to an acute respiratory virus, and may serve as a suitable model for analyzing the molecular basis of the viral APR in gene knockout mice. ?? 2004 Elsevier Inc. All rights reserved.", "author" : [ { "dropping-particle" : "", "family" : "Traynor", "given" : "Tim R.", "non-dropping-particle" : "", "parse-names" : false, "suffix" : "" }, { "dropping-particle" : "", "family" : "Majde", "given" : "Jeannine a.", "non-dropping-particle" : "", "parse-names" : false, "suffix" : "" }, { "dropping-particle" : "", "family" : "Bohnet", "given" : "Stewart G.", "non-dropping-particle" : "", "parse-names" : false, "suffix" : "" }, { "dropping-particle" : "", "family" : "Krueger", "given" : "James M.", "non-dropping-particle" : "", "parse-names" : false, "suffix" : "" } ], "container-title" : "Life Sciences", "id" : "ITEM-1", "issued" : { "date-parts" : [ [ "2004" ] ] }, "page" : "2563-2576", "title" : "Intratracheal Double-Stranded RNA plus interferon-\u03b3: A model for Analysis of The Acute Phase Response to Respiratory Viral Infections", "type" : "article-journal", "volume" : "74" }, "uris" : [ "http://www.mendeley.com/documents/?uuid=97d35cb0-2dba-44a0-bfee-d2b350eb2e75" ] } ], "mendeley" : { "formattedCitation" : "(67)", "plainTextFormattedCitation" : "(67)", "previouslyFormattedCitation" : "(31)"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(67)</w:t>
            </w:r>
            <w:r w:rsidRPr="00E868E2">
              <w:rPr>
                <w:rFonts w:ascii="Times New Roman" w:hAnsi="Times New Roman" w:cs="Times New Roman"/>
                <w:sz w:val="20"/>
                <w:szCs w:val="20"/>
              </w:rPr>
              <w:fldChar w:fldCharType="end"/>
            </w:r>
          </w:p>
        </w:tc>
      </w:tr>
      <w:tr w:rsidR="001A7DE6" w:rsidRPr="00E868E2" w14:paraId="0FD54852"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61B56477"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IFN-β</w:t>
            </w:r>
          </w:p>
        </w:tc>
        <w:tc>
          <w:tcPr>
            <w:tcW w:w="3214" w:type="dxa"/>
            <w:tcBorders>
              <w:top w:val="single" w:sz="4" w:space="0" w:color="auto"/>
              <w:left w:val="single" w:sz="4" w:space="0" w:color="auto"/>
              <w:bottom w:val="single" w:sz="4" w:space="0" w:color="auto"/>
              <w:right w:val="single" w:sz="4" w:space="0" w:color="auto"/>
            </w:tcBorders>
            <w:hideMark/>
          </w:tcPr>
          <w:p w14:paraId="06DC0219"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CGTGGGAGATGTCCTCAACT</w:t>
            </w:r>
          </w:p>
        </w:tc>
        <w:tc>
          <w:tcPr>
            <w:tcW w:w="2830" w:type="dxa"/>
            <w:tcBorders>
              <w:top w:val="single" w:sz="4" w:space="0" w:color="auto"/>
              <w:left w:val="single" w:sz="4" w:space="0" w:color="auto"/>
              <w:bottom w:val="single" w:sz="4" w:space="0" w:color="auto"/>
              <w:right w:val="single" w:sz="4" w:space="0" w:color="auto"/>
            </w:tcBorders>
            <w:hideMark/>
          </w:tcPr>
          <w:p w14:paraId="41493CE4"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AAGATCTCTGCTCGGACCAC</w:t>
            </w:r>
          </w:p>
        </w:tc>
        <w:tc>
          <w:tcPr>
            <w:tcW w:w="1701" w:type="dxa"/>
            <w:tcBorders>
              <w:top w:val="single" w:sz="4" w:space="0" w:color="auto"/>
              <w:left w:val="single" w:sz="4" w:space="0" w:color="auto"/>
              <w:bottom w:val="single" w:sz="4" w:space="0" w:color="auto"/>
              <w:right w:val="single" w:sz="4" w:space="0" w:color="auto"/>
            </w:tcBorders>
            <w:hideMark/>
          </w:tcPr>
          <w:p w14:paraId="31B1DF6E"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"10.1016/j.lfs.2003.10.010", "ISSN" : "00243205", "abstract" : "Double-stranded (ds)RNA is made as a by-product of viral replication. Synthetic dsRNA induces virtually all of the same systemic symptoms as acute viral infections, such as fever and malaise. In order to develop a model of respiratory viral infections (such as influenza) suitable for use in gene knockout mice (where the deleted gene may affect viral replication), we examined C57BL/6 mouse body temperature and locomotor activity responses to the synthetic dsRNA polyriboinosinic??polyribocytidylic acid (poly[rI??rC]) introduced via the intratracheal (IT) route. We compared the IT poly[rI??rC] responses to the well-characterized intraperitoneal (IP) poly[rI??rC] responses. IT poly[rI??rC] failed to induce an acute phase response (APR) in mice, in contrast to IP poly[rI??rC]. However, addition of interferon (IFN)?? to the IT poly[rI??rC] inoculum induced sustained hypothermia and suppressed locomotor activity responses with similar kinetics to those responses seen in acute mouse influenza. We further examined cytokine, antiviral, muscarinic M2 receptor and inducible nitric oxide synthase gene expression at 5 hr in the lungs of IT challenged mice. These studies suggested that priming the lung with IFN?? could enhance proinflammatory (IL1??, IL6, TNF??) cytokine gene expression and suppress interferon gene expression compared to IT poly[rI??rC] alone. No differences were detected for the other genes examined. While further molecular characterization of the model is required, we demonstrate that IT challenge with combined poly[rI??rC] and IFN?? closely simulates the APR to an acute respiratory virus, and may serve as a suitable model for analyzing the molecular basis of the viral APR in gene knockout mice. ?? 2004 Elsevier Inc. All rights reserved.", "author" : [ { "dropping-particle" : "", "family" : "Traynor", "given" : "Tim R.", "non-dropping-particle" : "", "parse-names" : false, "suffix" : "" }, { "dropping-particle" : "", "family" : "Majde", "given" : "Jeannine a.", "non-dropping-particle" : "", "parse-names" : false, "suffix" : "" }, { "dropping-particle" : "", "family" : "Bohnet", "given" : "Stewart G.", "non-dropping-particle" : "", "parse-names" : false, "suffix" : "" }, { "dropping-particle" : "", "family" : "Krueger", "given" : "James M.", "non-dropping-particle" : "", "parse-names" : false, "suffix" : "" } ], "container-title" : "Life Sciences", "id" : "ITEM-1", "issued" : { "date-parts" : [ [ "2004" ] ] }, "page" : "2563-2576", "title" : "Intratracheal Double-Stranded RNA plus interferon-\u03b3: A model for Analysis of The Acute Phase Response to Respiratory Viral Infections", "type" : "article-journal", "volume" : "74" }, "uris" : [ "http://www.mendeley.com/documents/?uuid=97d35cb0-2dba-44a0-bfee-d2b350eb2e75" ] } ], "mendeley" : { "formattedCitation" : "(67)", "plainTextFormattedCitation" : "(67)", "previouslyFormattedCitation" : "(31)"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(67)</w:t>
            </w:r>
            <w:r w:rsidRPr="00E868E2">
              <w:rPr>
                <w:rFonts w:ascii="Times New Roman" w:hAnsi="Times New Roman" w:cs="Times New Roman"/>
                <w:sz w:val="20"/>
                <w:szCs w:val="20"/>
              </w:rPr>
              <w:fldChar w:fldCharType="end"/>
            </w:r>
          </w:p>
        </w:tc>
      </w:tr>
      <w:tr w:rsidR="001A7DE6" w:rsidRPr="00E868E2" w14:paraId="638A375F" w14:textId="77777777" w:rsidTr="00911384">
        <w:trPr>
          <w:trHeight w:val="65"/>
        </w:trPr>
        <w:tc>
          <w:tcPr>
            <w:tcW w:w="988" w:type="dxa"/>
            <w:tcBorders>
              <w:top w:val="single" w:sz="4" w:space="0" w:color="auto"/>
              <w:left w:val="single" w:sz="4" w:space="0" w:color="auto"/>
              <w:bottom w:val="single" w:sz="4" w:space="0" w:color="auto"/>
              <w:right w:val="single" w:sz="4" w:space="0" w:color="auto"/>
            </w:tcBorders>
            <w:hideMark/>
          </w:tcPr>
          <w:p w14:paraId="04441E9A"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iNOS</w:t>
            </w:r>
          </w:p>
        </w:tc>
        <w:tc>
          <w:tcPr>
            <w:tcW w:w="3214" w:type="dxa"/>
            <w:tcBorders>
              <w:top w:val="single" w:sz="4" w:space="0" w:color="auto"/>
              <w:left w:val="single" w:sz="4" w:space="0" w:color="auto"/>
              <w:bottom w:val="single" w:sz="4" w:space="0" w:color="auto"/>
              <w:right w:val="single" w:sz="4" w:space="0" w:color="auto"/>
            </w:tcBorders>
            <w:hideMark/>
          </w:tcPr>
          <w:p w14:paraId="44569EE3"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CAG CTG GGC TGT ACA AAC CTT</w:t>
            </w:r>
          </w:p>
        </w:tc>
        <w:tc>
          <w:tcPr>
            <w:tcW w:w="2830" w:type="dxa"/>
            <w:tcBorders>
              <w:top w:val="single" w:sz="4" w:space="0" w:color="auto"/>
              <w:left w:val="single" w:sz="4" w:space="0" w:color="auto"/>
              <w:bottom w:val="single" w:sz="4" w:space="0" w:color="auto"/>
              <w:right w:val="single" w:sz="4" w:space="0" w:color="auto"/>
            </w:tcBorders>
            <w:hideMark/>
          </w:tcPr>
          <w:p w14:paraId="4A1A32FF"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CAT TGG AAG TGA AGC GTT TCG</w:t>
            </w:r>
          </w:p>
        </w:tc>
        <w:tc>
          <w:tcPr>
            <w:tcW w:w="1701" w:type="dxa"/>
            <w:tcBorders>
              <w:top w:val="single" w:sz="4" w:space="0" w:color="auto"/>
              <w:left w:val="single" w:sz="4" w:space="0" w:color="auto"/>
              <w:bottom w:val="single" w:sz="4" w:space="0" w:color="auto"/>
              <w:right w:val="single" w:sz="4" w:space="0" w:color="auto"/>
            </w:tcBorders>
            <w:hideMark/>
          </w:tcPr>
          <w:p w14:paraId="6A2333E1"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"10.1078/0171-2985-00189", "ISBN" : "0171-2985", "ISSN" : "0171-2985", "PMID" : "12437070", "abstract" : "The innate immune system recognizes pathogen-associated molecular patterns (PAMP) to cope with evolving infections. Toll-like receptors (TLRs) play a pivotal role in recognition of PAMPs. In the course of infection not a single but rather a full panel of different microbial components interacts with distinct TLRs simultaneously. Only limited information is available on effects of combinations of TLR agonists. Here, we have analyzed the effects of lipoteichoic acid (LTA), CpG-DNA and combinations thereof on innate immune cells in vitro. Although proinflammatory cytokines like TNF-alpha were induced by these agonists in quite similar amounts, CpG DNA was superior in its potency to induce IL-12p40 reflecting important differences in the biological valence of LTA and CpG-DNA. When given in combination, LTA and CpG-DNA were additive in induction of TNF-alpha, IL-6 and nitric oxide in RAW 264 macrophages, peritoneal macrophages and dendritic cells. Additive effects were also observed in regard to TNF-alpha mRNA. In contrast, LTA suppressed IL12p40 secretion induced by CpG-DNA in RAW cells and peritoneal macrophages but not in dendritic cells. Intracellular signal cascades (NFkappaB and p38 MAP kinase) showed additive effects after simultaneous triggering. mRNA expression ofTLRs showed only minor regulation after CpG or LTA application and thus does not account for the additive/suppressive effects observed. These results indicate that the consequences of interaction of innate immune cells with microbial pattern depend on the responding cell type and might be differential for certain effector mechanisms. Thus, the pathogen-characteristic panel of TLR ligands will induce pathogen-specific innate responses decisive for the inflammatory reactions.", "author" : [ { "dropping-particle" : "", "family" : "Dalpke", "given" : "Alexander H", "non-dropping-particle" : "", "parse-names" : false, "suffix" : "" }, { "dropping-particle" : "", "family" : "Frey", "given" : "Markus", "non-dropping-particle" : "", "parse-names" : false, "suffix" : "" }, { "dropping-particle" : "", "family" : "Morath", "given" : "Siegfried", "non-dropping-particle" : "", "parse-names" : false, "suffix" : "" }, { "dropping-particle" : "", "family" : "Hartung", "given" : "Thomas", "non-dropping-particle" : "", "parse-names" : false, "suffix" : "" }, { "dropping-particle" : "", "family" : "Heeg", "given" : "Klaus", "non-dropping-particle" : "", "parse-names" : false, "suffix" : "" } ], "container-title" : "Immunobiology", "id" : "ITEM-1", "issue" : "2002", "issued" : { "date-parts" : [ [ "2002" ] ] }, "page" : "392-407", "title" : "Interaction of Lipoteichoic acid and CpG-DNA During Activation of Innate Immune Cells.", "type" : "article-journal", "volume" : "206" }, "uris" : [ "http://www.mendeley.com/documents/?uuid=1fb330f0-1730-4a04-ab0d-9e6220470625" ] } ], "mendeley" : { "formattedCitation" : "(69)", "plainTextFormattedCitation" : "(69)", "previouslyFormattedCitation" : "(33)"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(69)</w:t>
            </w:r>
            <w:r w:rsidRPr="00E868E2">
              <w:rPr>
                <w:rFonts w:ascii="Times New Roman" w:hAnsi="Times New Roman" w:cs="Times New Roman"/>
                <w:sz w:val="20"/>
                <w:szCs w:val="20"/>
              </w:rPr>
              <w:fldChar w:fldCharType="end"/>
            </w:r>
          </w:p>
        </w:tc>
      </w:tr>
      <w:tr w:rsidR="001A7DE6" w:rsidRPr="00E868E2" w14:paraId="7306D091" w14:textId="77777777" w:rsidTr="00911384">
        <w:tc>
          <w:tcPr>
            <w:tcW w:w="988" w:type="dxa"/>
            <w:tcBorders>
              <w:top w:val="single" w:sz="4" w:space="0" w:color="auto"/>
              <w:left w:val="single" w:sz="4" w:space="0" w:color="auto"/>
              <w:bottom w:val="single" w:sz="4" w:space="0" w:color="auto"/>
              <w:right w:val="single" w:sz="4" w:space="0" w:color="auto"/>
            </w:tcBorders>
            <w:hideMark/>
          </w:tcPr>
          <w:p w14:paraId="487B2249"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 xml:space="preserve">HPRT1 </w:t>
            </w:r>
          </w:p>
        </w:tc>
        <w:tc>
          <w:tcPr>
            <w:tcW w:w="3214" w:type="dxa"/>
            <w:tcBorders>
              <w:top w:val="single" w:sz="4" w:space="0" w:color="auto"/>
              <w:left w:val="single" w:sz="4" w:space="0" w:color="auto"/>
              <w:bottom w:val="single" w:sz="4" w:space="0" w:color="auto"/>
              <w:right w:val="single" w:sz="4" w:space="0" w:color="auto"/>
            </w:tcBorders>
            <w:hideMark/>
          </w:tcPr>
          <w:p w14:paraId="36DF1E24"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GAGGAGTCCTGTTGATGTTGCCAG</w:t>
            </w:r>
          </w:p>
        </w:tc>
        <w:tc>
          <w:tcPr>
            <w:tcW w:w="2830" w:type="dxa"/>
            <w:tcBorders>
              <w:top w:val="single" w:sz="4" w:space="0" w:color="auto"/>
              <w:left w:val="single" w:sz="4" w:space="0" w:color="auto"/>
              <w:bottom w:val="single" w:sz="4" w:space="0" w:color="auto"/>
              <w:right w:val="single" w:sz="4" w:space="0" w:color="auto"/>
            </w:tcBorders>
            <w:hideMark/>
          </w:tcPr>
          <w:p w14:paraId="289419D4"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t>GGCTGGCCTATAGGCTCATAGTGC</w:t>
            </w:r>
          </w:p>
        </w:tc>
        <w:tc>
          <w:tcPr>
            <w:tcW w:w="1701" w:type="dxa"/>
            <w:tcBorders>
              <w:top w:val="single" w:sz="4" w:space="0" w:color="auto"/>
              <w:left w:val="single" w:sz="4" w:space="0" w:color="auto"/>
              <w:bottom w:val="single" w:sz="4" w:space="0" w:color="auto"/>
              <w:right w:val="single" w:sz="4" w:space="0" w:color="auto"/>
            </w:tcBorders>
            <w:hideMark/>
          </w:tcPr>
          <w:p w14:paraId="54AFB02F" w14:textId="77777777" w:rsidR="001A7DE6" w:rsidRPr="00E868E2" w:rsidRDefault="001A7DE6" w:rsidP="00911384">
            <w:pPr>
              <w:rPr>
                <w:rFonts w:ascii="Times New Roman" w:hAnsi="Times New Roman" w:cs="Times New Roman"/>
                <w:sz w:val="20"/>
                <w:szCs w:val="20"/>
              </w:rPr>
            </w:pPr>
            <w:r w:rsidRPr="00E868E2">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 "citationItems" : [ { "id" : "ITEM-1", "itemData" : { "DOI" : "10.1186/1756-0500-4-410", "ISBN" : "1756-0500 (Electronic)\\n1756-0500 (Linking)", "ISSN" : "1756-0500", "PMID" : "21996334", "abstract" : "BACKGROUND: Real-time quantitative RT-PCR (qPCR) is a powerful technique capable of accurately quantitating mRNA expression levels over a large dynamic range. This makes qPCR the most widely used method for studying quantitative gene expression. An important aspect of qPCR is selecting appropriate controls or normalization factors to account for any differences in starting cDNA quantities between samples during expression studies. Here, we report on the selection of a concise set of housekeeper genes for the accurate normalization of quantitative gene expression data in differentiating osteoblasts, osteoclasts and macrophages. We implemented the use of geNorm, an algorithm that determines the suitability of genes to function as housekeepers by assessing expression stabilities. We evaluated the expression stabilities of 18S, ACTB, B2M, GAPDH, HMBS and HPRT1 genes.\\n\\nFINDINGS: Our analyses revealed that 18S and GAPDH were regulated during osteoblast differentiation and are not suitable for use as reference genes. The most stably expressed genes in osteoblasts were ACTB, HMBS and HPRT1 and their geometric average constitutes a suitable normalization factor upon which gene expression data can be normalized. In macrophages, 18S and GAPDH were the most variable genes while HMBS and B2M were the most stably expressed genes. The geometric average of HMBS and B2M expression levels forms a suitable normalization factor to account for potential differences in starting cDNA quantities during gene expression analysis in macrophages. The expression stabilities of the six candidate reference genes in osteoclasts were, on average, more variable than that observed in macrophages but slightly less variable than those seen in osteoblasts. The two most stably expressed genes in osteoclasts were HMBS and B2M and the genes displaying the greatest levels of variability were 18S and GAPDH. Notably, 18S and GAPDH were the two most variably expressed control genes in all three cell types. The geometric average of HMBS, B2M and ACTB creates an appropriate normalization factor for gene expression studies in osteoclasts.\\n\\nCONCLUSION: We have identified concise sets of genes suitable to use as normalization factors for quantitative real-time RT-PCR gene expression studies in osteoblasts, osteoclasts and macrophages.", "author" : [ { "dropping-particle" : "", "family" : "Stephens", "given" : "Alexandre S", "non-dropping-particle" : "", "parse-names" : false, "suffix" : "" }, { "dropping-particle" : "", "family" : "Stephens", "given" : "Sebastien R", "non-dropping-particle" : "", "parse-names" : false, "suffix" : "" }, { "dropping-particle" : "", "family" : "Morrison", "given" : "Nigel A", "non-dropping-particle" : "", "parse-names" : false, "suffix" : "" } ], "container-title" : "BMC Research Notes", "id" : "ITEM-1", "issue" : "1", "issued" : { "date-parts" : [ [ "2011" ] ] }, "page" : "410", "publisher" : "BioMed Central Ltd", "title" : "Internal Control Genes for Quantitative RT-PCR Expression Analysis in Mouse Osteoblasts, Osteoclasts and Macrophages", "type" : "article-journal", "volume" : "4" }, "uris" : [ "http://www.mendeley.com/documents/?uuid=b6e1e7b0-ca62-43bb-b16b-f00adb21530b" ] } ], "mendeley" : { "formattedCitation" : "(70)", "plainTextFormattedCitation" : "(70)", "previouslyFormattedCitation" : "(34)" }, "properties" : { "noteIndex" : 0 }, "schema" : "https://github.com/citation-style-language/schema/raw/master/csl-citation.json" }</w:instrText>
            </w:r>
            <w:r w:rsidRPr="00E868E2">
              <w:rPr>
                <w:rFonts w:ascii="Times New Roman" w:hAnsi="Times New Roman" w:cs="Times New Roman"/>
                <w:sz w:val="20"/>
                <w:szCs w:val="20"/>
              </w:rPr>
              <w:fldChar w:fldCharType="separate"/>
            </w:r>
            <w:r w:rsidRPr="004E025E">
              <w:rPr>
                <w:rFonts w:ascii="Times New Roman" w:hAnsi="Times New Roman" w:cs="Times New Roman"/>
                <w:noProof/>
                <w:sz w:val="20"/>
                <w:szCs w:val="20"/>
              </w:rPr>
              <w:t>(70)</w:t>
            </w:r>
            <w:r w:rsidRPr="00E868E2">
              <w:rPr>
                <w:rFonts w:ascii="Times New Roman" w:hAnsi="Times New Roman" w:cs="Times New Roman"/>
                <w:sz w:val="20"/>
                <w:szCs w:val="20"/>
              </w:rPr>
              <w:fldChar w:fldCharType="end"/>
            </w:r>
          </w:p>
        </w:tc>
      </w:tr>
    </w:tbl>
    <w:p w14:paraId="677C2E2E" w14:textId="728DAEC4" w:rsidR="00062823" w:rsidRDefault="001A7DE6" w:rsidP="001A7DE6">
      <w:pPr>
        <w:spacing w:after="160" w:line="360" w:lineRule="auto"/>
        <w:rPr>
          <w:rFonts w:ascii="Times New Roman" w:hAnsi="Times New Roman" w:cs="Times New Roman"/>
        </w:rPr>
      </w:pPr>
      <w:r w:rsidRPr="003E3AEA">
        <w:rPr>
          <w:rFonts w:ascii="Times New Roman" w:hAnsi="Times New Roman" w:cs="Times New Roman"/>
        </w:rPr>
        <w:t>HPRT1 was used as the reference gene for the normalisation of all RT-qPCR assays.</w:t>
      </w:r>
    </w:p>
    <w:p w14:paraId="75A10510" w14:textId="77777777" w:rsidR="001A7DE6" w:rsidRPr="003E3AEA" w:rsidRDefault="001A7DE6" w:rsidP="001A7DE6">
      <w:pPr>
        <w:spacing w:after="160" w:line="360" w:lineRule="auto"/>
        <w:rPr>
          <w:rFonts w:ascii="Times New Roman" w:hAnsi="Times New Roman" w:cs="Times New Roman"/>
        </w:rPr>
      </w:pPr>
    </w:p>
    <w:p w14:paraId="29BFE5A7" w14:textId="77777777" w:rsidR="001A7DE6" w:rsidRDefault="001A7DE6" w:rsidP="00821204">
      <w:pPr>
        <w:rPr>
          <w:rFonts w:ascii="Times New Roman" w:hAnsi="Times New Roman" w:cs="Times New Roman"/>
          <w:b/>
        </w:rPr>
      </w:pPr>
    </w:p>
    <w:p w14:paraId="2F9892D2" w14:textId="77777777" w:rsidR="00821204" w:rsidRPr="00BE7B8F" w:rsidRDefault="00821204" w:rsidP="00821204">
      <w:pPr>
        <w:rPr>
          <w:rFonts w:ascii="Times New Roman" w:hAnsi="Times New Roman" w:cs="Times New Roman"/>
          <w:b/>
        </w:rPr>
      </w:pPr>
      <w:r w:rsidRPr="00821204">
        <w:rPr>
          <w:noProof/>
        </w:rPr>
        <w:drawing>
          <wp:inline distT="0" distB="0" distL="0" distR="0" wp14:anchorId="6CD30D42" wp14:editId="77B09A7A">
            <wp:extent cx="5731510" cy="4357148"/>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4357148"/>
                    </a:xfrm>
                    <a:prstGeom prst="rect">
                      <a:avLst/>
                    </a:prstGeom>
                    <a:noFill/>
                    <a:ln>
                      <a:noFill/>
                    </a:ln>
                  </pic:spPr>
                </pic:pic>
              </a:graphicData>
            </a:graphic>
          </wp:inline>
        </w:drawing>
      </w:r>
    </w:p>
    <w:p w14:paraId="0B453EAF" w14:textId="2BE1D6B5" w:rsidR="00821204" w:rsidRDefault="00821204" w:rsidP="00821204">
      <w:pPr>
        <w:spacing w:line="360" w:lineRule="auto"/>
        <w:rPr>
          <w:rFonts w:ascii="Times New Roman" w:hAnsi="Times New Roman" w:cs="Times New Roman"/>
        </w:rPr>
      </w:pPr>
      <w:r w:rsidRPr="001227CF">
        <w:rPr>
          <w:rFonts w:ascii="Times New Roman" w:hAnsi="Times New Roman" w:cs="Times New Roman"/>
          <w:b/>
        </w:rPr>
        <w:t>Figure S1.</w:t>
      </w:r>
      <w:r w:rsidRPr="001227CF">
        <w:rPr>
          <w:rFonts w:ascii="Times New Roman" w:hAnsi="Times New Roman" w:cs="Times New Roman"/>
        </w:rPr>
        <w:t xml:space="preserve"> </w:t>
      </w:r>
      <w:r w:rsidRPr="00821204">
        <w:rPr>
          <w:rFonts w:ascii="Times New Roman" w:hAnsi="Times New Roman" w:cs="Times New Roman"/>
        </w:rPr>
        <w:t xml:space="preserve">(A) Typical melt curve for murine inducible nitric oxide synthase (iNOS) (B) Amplification curve of iNOS following incubation of RAW 264.7 cells with SCAF 5 showing untreated control versus treatment with SCAF 5. (C) Amplification for IL-6 following incubation of splenocytes with SCAF 5. Lines show untreated control versus treatment with SCAF 5. </w:t>
      </w:r>
    </w:p>
    <w:p w14:paraId="7BD4B0C0" w14:textId="77777777" w:rsidR="00821204" w:rsidRDefault="00821204" w:rsidP="00821204">
      <w:pPr>
        <w:spacing w:line="360" w:lineRule="auto"/>
        <w:rPr>
          <w:rFonts w:ascii="Times New Roman" w:hAnsi="Times New Roman" w:cs="Times New Roman"/>
        </w:rPr>
      </w:pPr>
      <w:r w:rsidRPr="00821204">
        <w:rPr>
          <w:noProof/>
        </w:rPr>
        <w:drawing>
          <wp:inline distT="0" distB="0" distL="0" distR="0" wp14:anchorId="4D23441D" wp14:editId="5CF8E7DF">
            <wp:extent cx="5731510" cy="6729563"/>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729563"/>
                    </a:xfrm>
                    <a:prstGeom prst="rect">
                      <a:avLst/>
                    </a:prstGeom>
                    <a:noFill/>
                    <a:ln>
                      <a:noFill/>
                    </a:ln>
                  </pic:spPr>
                </pic:pic>
              </a:graphicData>
            </a:graphic>
          </wp:inline>
        </w:drawing>
      </w:r>
    </w:p>
    <w:p w14:paraId="298DB08F" w14:textId="41F2E4E3" w:rsidR="00821204" w:rsidRDefault="00821204" w:rsidP="00821204">
      <w:pPr>
        <w:spacing w:line="360" w:lineRule="auto"/>
        <w:rPr>
          <w:rFonts w:ascii="Times New Roman" w:hAnsi="Times New Roman" w:cs="Times New Roman"/>
        </w:rPr>
      </w:pPr>
      <w:r w:rsidRPr="00DE2C6D">
        <w:rPr>
          <w:rFonts w:ascii="Times New Roman" w:hAnsi="Times New Roman" w:cs="Times New Roman"/>
          <w:b/>
        </w:rPr>
        <w:t>Figure S2.</w:t>
      </w:r>
      <w:r w:rsidRPr="00DE2C6D">
        <w:rPr>
          <w:rFonts w:ascii="Times New Roman" w:hAnsi="Times New Roman" w:cs="Times New Roman"/>
        </w:rPr>
        <w:t xml:space="preserve"> </w:t>
      </w:r>
      <w:r w:rsidRPr="00821204">
        <w:rPr>
          <w:rFonts w:ascii="Times New Roman" w:hAnsi="Times New Roman" w:cs="Times New Roman"/>
        </w:rPr>
        <w:t>Mass Spectrum of SC2 (A) Mass Fragmentation patterns obtained for SC2 were suggestive of rosmarinic acid.  (B)</w:t>
      </w:r>
      <w:r w:rsidRPr="00821204">
        <w:rPr>
          <w:rFonts w:ascii="Times New Roman" w:hAnsi="Times New Roman" w:cs="Times New Roman"/>
          <w:b/>
          <w:bCs/>
        </w:rPr>
        <w:t xml:space="preserve"> </w:t>
      </w:r>
      <w:r w:rsidRPr="00821204">
        <w:rPr>
          <w:rFonts w:ascii="Times New Roman" w:hAnsi="Times New Roman" w:cs="Times New Roman"/>
          <w:vertAlign w:val="superscript"/>
        </w:rPr>
        <w:t>13</w:t>
      </w:r>
      <w:r w:rsidRPr="00821204">
        <w:rPr>
          <w:rFonts w:ascii="Times New Roman" w:hAnsi="Times New Roman" w:cs="Times New Roman"/>
        </w:rPr>
        <w:t>C NMR spectra of SC2.  (C)</w:t>
      </w:r>
      <w:r w:rsidRPr="00821204">
        <w:rPr>
          <w:rFonts w:ascii="Times New Roman" w:hAnsi="Times New Roman" w:cs="Times New Roman"/>
          <w:b/>
          <w:bCs/>
        </w:rPr>
        <w:t xml:space="preserve"> </w:t>
      </w:r>
      <w:r w:rsidRPr="00821204">
        <w:rPr>
          <w:rFonts w:ascii="Times New Roman" w:hAnsi="Times New Roman" w:cs="Times New Roman"/>
        </w:rPr>
        <w:t xml:space="preserve">Table summarising chemical shifts of both </w:t>
      </w:r>
      <w:r w:rsidRPr="00821204">
        <w:rPr>
          <w:rFonts w:ascii="Times New Roman" w:hAnsi="Times New Roman" w:cs="Times New Roman"/>
          <w:vertAlign w:val="superscript"/>
        </w:rPr>
        <w:t>13</w:t>
      </w:r>
      <w:r w:rsidRPr="00821204">
        <w:rPr>
          <w:rFonts w:ascii="Times New Roman" w:hAnsi="Times New Roman" w:cs="Times New Roman"/>
        </w:rPr>
        <w:t xml:space="preserve">C NMR and </w:t>
      </w:r>
      <w:r w:rsidRPr="00821204">
        <w:rPr>
          <w:rFonts w:ascii="Times New Roman" w:hAnsi="Times New Roman" w:cs="Times New Roman"/>
          <w:vertAlign w:val="superscript"/>
        </w:rPr>
        <w:t>1</w:t>
      </w:r>
      <w:r w:rsidRPr="00821204">
        <w:rPr>
          <w:rFonts w:ascii="Times New Roman" w:hAnsi="Times New Roman" w:cs="Times New Roman"/>
        </w:rPr>
        <w:t xml:space="preserve">H NMR spectra for SC2. </w:t>
      </w:r>
      <w:r w:rsidRPr="00821204">
        <w:rPr>
          <w:rFonts w:ascii="Times New Roman" w:hAnsi="Times New Roman" w:cs="Times New Roman"/>
          <w:vertAlign w:val="superscript"/>
        </w:rPr>
        <w:t>13</w:t>
      </w:r>
      <w:r w:rsidRPr="00821204">
        <w:rPr>
          <w:rFonts w:ascii="Times New Roman" w:hAnsi="Times New Roman" w:cs="Times New Roman"/>
        </w:rPr>
        <w:t xml:space="preserve">C NMR and </w:t>
      </w:r>
      <w:r w:rsidRPr="00821204">
        <w:rPr>
          <w:rFonts w:ascii="Times New Roman" w:hAnsi="Times New Roman" w:cs="Times New Roman"/>
          <w:vertAlign w:val="superscript"/>
        </w:rPr>
        <w:t>1</w:t>
      </w:r>
      <w:r w:rsidRPr="00821204">
        <w:rPr>
          <w:rFonts w:ascii="Times New Roman" w:hAnsi="Times New Roman" w:cs="Times New Roman"/>
        </w:rPr>
        <w:t>H NMR shifts and proposed structure of SC</w:t>
      </w:r>
      <w:proofErr w:type="gramStart"/>
      <w:r w:rsidRPr="00821204">
        <w:rPr>
          <w:rFonts w:ascii="Times New Roman" w:hAnsi="Times New Roman" w:cs="Times New Roman"/>
        </w:rPr>
        <w:t>2  were</w:t>
      </w:r>
      <w:proofErr w:type="gramEnd"/>
      <w:r w:rsidRPr="00821204">
        <w:rPr>
          <w:rFonts w:ascii="Times New Roman" w:hAnsi="Times New Roman" w:cs="Times New Roman"/>
        </w:rPr>
        <w:t xml:space="preserve"> highly suggestive of rosmarinic acid.  (D) The proposed structure of SC2 (rosmarinic acid).</w:t>
      </w:r>
    </w:p>
    <w:p w14:paraId="16AEA533" w14:textId="77777777" w:rsidR="00821204" w:rsidRDefault="00821204" w:rsidP="00821204">
      <w:pPr>
        <w:spacing w:line="360" w:lineRule="auto"/>
        <w:rPr>
          <w:rFonts w:ascii="Times New Roman" w:hAnsi="Times New Roman" w:cs="Times New Roman"/>
        </w:rPr>
      </w:pPr>
      <w:r w:rsidRPr="00821204">
        <w:rPr>
          <w:noProof/>
        </w:rPr>
        <w:drawing>
          <wp:inline distT="0" distB="0" distL="0" distR="0" wp14:anchorId="53E43FF6" wp14:editId="7676940F">
            <wp:extent cx="5731510" cy="7358408"/>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7358408"/>
                    </a:xfrm>
                    <a:prstGeom prst="rect">
                      <a:avLst/>
                    </a:prstGeom>
                    <a:noFill/>
                    <a:ln>
                      <a:noFill/>
                    </a:ln>
                  </pic:spPr>
                </pic:pic>
              </a:graphicData>
            </a:graphic>
          </wp:inline>
        </w:drawing>
      </w:r>
    </w:p>
    <w:p w14:paraId="450444A8" w14:textId="60E764C5" w:rsidR="00821204" w:rsidRDefault="00821204" w:rsidP="00821204">
      <w:pPr>
        <w:spacing w:line="360" w:lineRule="auto"/>
        <w:rPr>
          <w:rFonts w:ascii="Times New Roman" w:hAnsi="Times New Roman" w:cs="Times New Roman"/>
        </w:rPr>
      </w:pPr>
      <w:r w:rsidRPr="00DE2C6D">
        <w:rPr>
          <w:rFonts w:ascii="Times New Roman" w:hAnsi="Times New Roman" w:cs="Times New Roman"/>
          <w:b/>
        </w:rPr>
        <w:t>Figure S3.</w:t>
      </w:r>
      <w:r w:rsidRPr="00DE2C6D">
        <w:rPr>
          <w:rFonts w:ascii="Times New Roman" w:hAnsi="Times New Roman" w:cs="Times New Roman"/>
        </w:rPr>
        <w:t xml:space="preserve"> </w:t>
      </w:r>
      <w:r w:rsidRPr="00821204">
        <w:rPr>
          <w:rFonts w:ascii="Times New Roman" w:hAnsi="Times New Roman" w:cs="Times New Roman"/>
        </w:rPr>
        <w:t xml:space="preserve">Mass Spectrum of SC1 (A) Mass Fragmentation patterns obtained for SC1 were suggestive of rosmarinic acid 4-O-β-d-glucoside (Rosmarinyl glucoside). (B) </w:t>
      </w:r>
      <w:r w:rsidRPr="00821204">
        <w:rPr>
          <w:rFonts w:ascii="Times New Roman" w:hAnsi="Times New Roman" w:cs="Times New Roman"/>
          <w:vertAlign w:val="superscript"/>
        </w:rPr>
        <w:t>13</w:t>
      </w:r>
      <w:r w:rsidRPr="00821204">
        <w:rPr>
          <w:rFonts w:ascii="Times New Roman" w:hAnsi="Times New Roman" w:cs="Times New Roman"/>
        </w:rPr>
        <w:t xml:space="preserve">C NMR spectra of SC1.  (C) Table summarising chemical shifts of both </w:t>
      </w:r>
      <w:r w:rsidRPr="00821204">
        <w:rPr>
          <w:rFonts w:ascii="Times New Roman" w:hAnsi="Times New Roman" w:cs="Times New Roman"/>
          <w:vertAlign w:val="superscript"/>
        </w:rPr>
        <w:t>13</w:t>
      </w:r>
      <w:r w:rsidRPr="00821204">
        <w:rPr>
          <w:rFonts w:ascii="Times New Roman" w:hAnsi="Times New Roman" w:cs="Times New Roman"/>
        </w:rPr>
        <w:t xml:space="preserve">C NMR, and </w:t>
      </w:r>
      <w:r w:rsidRPr="00821204">
        <w:rPr>
          <w:rFonts w:ascii="Times New Roman" w:hAnsi="Times New Roman" w:cs="Times New Roman"/>
          <w:vertAlign w:val="superscript"/>
        </w:rPr>
        <w:t>1</w:t>
      </w:r>
      <w:r w:rsidRPr="00821204">
        <w:rPr>
          <w:rFonts w:ascii="Times New Roman" w:hAnsi="Times New Roman" w:cs="Times New Roman"/>
        </w:rPr>
        <w:t xml:space="preserve">H NMR. </w:t>
      </w:r>
      <w:r w:rsidRPr="00821204">
        <w:rPr>
          <w:rFonts w:ascii="Times New Roman" w:hAnsi="Times New Roman" w:cs="Times New Roman"/>
          <w:vertAlign w:val="superscript"/>
        </w:rPr>
        <w:t>13</w:t>
      </w:r>
      <w:r w:rsidRPr="00821204">
        <w:rPr>
          <w:rFonts w:ascii="Times New Roman" w:hAnsi="Times New Roman" w:cs="Times New Roman"/>
        </w:rPr>
        <w:t xml:space="preserve">C NMR, and </w:t>
      </w:r>
      <w:r w:rsidRPr="00821204">
        <w:rPr>
          <w:rFonts w:ascii="Times New Roman" w:hAnsi="Times New Roman" w:cs="Times New Roman"/>
          <w:vertAlign w:val="superscript"/>
        </w:rPr>
        <w:t>1</w:t>
      </w:r>
      <w:r w:rsidRPr="00821204">
        <w:rPr>
          <w:rFonts w:ascii="Times New Roman" w:hAnsi="Times New Roman" w:cs="Times New Roman"/>
        </w:rPr>
        <w:t xml:space="preserve">H NMR shifts were highly suggestive of rosmarinic acid 4-O-β-d-glucoside. and the (D) proposed structure of SC1 (rosmarinic acid 4-O-β-d-glucoside). </w:t>
      </w:r>
    </w:p>
    <w:p w14:paraId="2811B3DB" w14:textId="4A2DADAD" w:rsidR="00DE2C6D" w:rsidRDefault="00DE2C6D" w:rsidP="00821204">
      <w:pPr>
        <w:spacing w:line="360" w:lineRule="auto"/>
        <w:rPr>
          <w:rFonts w:ascii="Times New Roman" w:hAnsi="Times New Roman" w:cs="Times New Roman"/>
        </w:rPr>
      </w:pPr>
      <w:r w:rsidRPr="00DE2C6D">
        <w:rPr>
          <w:rFonts w:ascii="Times New Roman" w:hAnsi="Times New Roman" w:cs="Times New Roman"/>
          <w:b/>
          <w:bCs/>
        </w:rPr>
        <w:t xml:space="preserve">Table S3: </w:t>
      </w:r>
      <w:r w:rsidRPr="00821204">
        <w:rPr>
          <w:rFonts w:ascii="Times New Roman" w:hAnsi="Times New Roman" w:cs="Times New Roman"/>
        </w:rPr>
        <w:t>MIC and MBC (mg/ml) of Sephadex LH-20 f</w:t>
      </w:r>
      <w:r>
        <w:rPr>
          <w:rFonts w:ascii="Times New Roman" w:hAnsi="Times New Roman" w:cs="Times New Roman"/>
        </w:rPr>
        <w:t>ractions (</w:t>
      </w:r>
      <w:proofErr w:type="spellStart"/>
      <w:r>
        <w:rPr>
          <w:rFonts w:ascii="Times New Roman" w:hAnsi="Times New Roman" w:cs="Times New Roman"/>
        </w:rPr>
        <w:t>SCMEXBu</w:t>
      </w:r>
      <w:proofErr w:type="spellEnd"/>
      <w:r>
        <w:rPr>
          <w:rFonts w:ascii="Times New Roman" w:hAnsi="Times New Roman" w:cs="Times New Roman"/>
        </w:rPr>
        <w:t xml:space="preserve">) compared to </w:t>
      </w:r>
      <w:r w:rsidRPr="00821204">
        <w:rPr>
          <w:rFonts w:ascii="Times New Roman" w:hAnsi="Times New Roman" w:cs="Times New Roman"/>
        </w:rPr>
        <w:t>crude methanol extract (MEX).</w:t>
      </w:r>
    </w:p>
    <w:tbl>
      <w:tblPr>
        <w:tblW w:w="8480" w:type="dxa"/>
        <w:tblCellMar>
          <w:left w:w="0" w:type="dxa"/>
          <w:right w:w="0" w:type="dxa"/>
        </w:tblCellMar>
        <w:tblLook w:val="04A0" w:firstRow="1" w:lastRow="0" w:firstColumn="1" w:lastColumn="0" w:noHBand="0" w:noVBand="1"/>
      </w:tblPr>
      <w:tblGrid>
        <w:gridCol w:w="1273"/>
        <w:gridCol w:w="1200"/>
        <w:gridCol w:w="1200"/>
        <w:gridCol w:w="1200"/>
        <w:gridCol w:w="1171"/>
        <w:gridCol w:w="1200"/>
        <w:gridCol w:w="1236"/>
      </w:tblGrid>
      <w:tr w:rsidR="00821204" w:rsidRPr="00821204" w14:paraId="56B7BF0D" w14:textId="77777777" w:rsidTr="00085FF0">
        <w:trPr>
          <w:trHeight w:val="743"/>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4FCAC489" w14:textId="77777777" w:rsidR="00821204" w:rsidRPr="00821204" w:rsidRDefault="00821204" w:rsidP="00821204">
            <w:pPr>
              <w:spacing w:line="360" w:lineRule="auto"/>
              <w:rPr>
                <w:rFonts w:ascii="Times New Roman" w:hAnsi="Times New Roman" w:cs="Times New Roman"/>
              </w:rPr>
            </w:pPr>
          </w:p>
        </w:tc>
        <w:tc>
          <w:tcPr>
            <w:tcW w:w="1200" w:type="dxa"/>
            <w:tcBorders>
              <w:top w:val="nil"/>
              <w:left w:val="nil"/>
              <w:bottom w:val="single" w:sz="4" w:space="0" w:color="000000"/>
              <w:right w:val="single" w:sz="4" w:space="0" w:color="auto"/>
            </w:tcBorders>
            <w:shd w:val="clear" w:color="auto" w:fill="auto"/>
            <w:tcMar>
              <w:top w:w="13" w:type="dxa"/>
              <w:left w:w="13" w:type="dxa"/>
              <w:bottom w:w="0" w:type="dxa"/>
              <w:right w:w="13" w:type="dxa"/>
            </w:tcMar>
            <w:vAlign w:val="center"/>
            <w:hideMark/>
          </w:tcPr>
          <w:p w14:paraId="30E29E00"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MRSA ATCC43300</w:t>
            </w:r>
          </w:p>
        </w:tc>
        <w:tc>
          <w:tcPr>
            <w:tcW w:w="1200" w:type="dxa"/>
            <w:tcBorders>
              <w:top w:val="nil"/>
              <w:left w:val="single" w:sz="4" w:space="0" w:color="auto"/>
              <w:bottom w:val="single" w:sz="4" w:space="0" w:color="000000"/>
              <w:right w:val="single" w:sz="4" w:space="0" w:color="auto"/>
            </w:tcBorders>
            <w:shd w:val="clear" w:color="auto" w:fill="auto"/>
            <w:tcMar>
              <w:top w:w="13" w:type="dxa"/>
              <w:left w:w="13" w:type="dxa"/>
              <w:bottom w:w="0" w:type="dxa"/>
              <w:right w:w="13" w:type="dxa"/>
            </w:tcMar>
            <w:vAlign w:val="center"/>
            <w:hideMark/>
          </w:tcPr>
          <w:p w14:paraId="00D444DD"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MRSA ATCC33591</w:t>
            </w:r>
          </w:p>
        </w:tc>
        <w:tc>
          <w:tcPr>
            <w:tcW w:w="1200" w:type="dxa"/>
            <w:tcBorders>
              <w:top w:val="nil"/>
              <w:left w:val="single" w:sz="4" w:space="0" w:color="auto"/>
              <w:bottom w:val="single" w:sz="4" w:space="0" w:color="000000"/>
              <w:right w:val="single" w:sz="4" w:space="0" w:color="auto"/>
            </w:tcBorders>
            <w:shd w:val="clear" w:color="auto" w:fill="auto"/>
            <w:tcMar>
              <w:top w:w="13" w:type="dxa"/>
              <w:left w:w="13" w:type="dxa"/>
              <w:bottom w:w="0" w:type="dxa"/>
              <w:right w:w="13" w:type="dxa"/>
            </w:tcMar>
            <w:vAlign w:val="center"/>
            <w:hideMark/>
          </w:tcPr>
          <w:p w14:paraId="6A62841C"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SA ATCC29213</w:t>
            </w:r>
          </w:p>
        </w:tc>
        <w:tc>
          <w:tcPr>
            <w:tcW w:w="1171" w:type="dxa"/>
            <w:tcBorders>
              <w:top w:val="nil"/>
              <w:left w:val="single" w:sz="4" w:space="0" w:color="auto"/>
              <w:bottom w:val="single" w:sz="4" w:space="0" w:color="000000"/>
              <w:right w:val="single" w:sz="4" w:space="0" w:color="auto"/>
            </w:tcBorders>
            <w:shd w:val="clear" w:color="auto" w:fill="auto"/>
            <w:tcMar>
              <w:top w:w="13" w:type="dxa"/>
              <w:left w:w="13" w:type="dxa"/>
              <w:bottom w:w="0" w:type="dxa"/>
              <w:right w:w="13" w:type="dxa"/>
            </w:tcMar>
            <w:vAlign w:val="center"/>
            <w:hideMark/>
          </w:tcPr>
          <w:p w14:paraId="60731E5B"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SE        ATCC 35984</w:t>
            </w:r>
          </w:p>
        </w:tc>
        <w:tc>
          <w:tcPr>
            <w:tcW w:w="1200" w:type="dxa"/>
            <w:tcBorders>
              <w:top w:val="nil"/>
              <w:left w:val="single" w:sz="4" w:space="0" w:color="auto"/>
              <w:bottom w:val="single" w:sz="4" w:space="0" w:color="000000"/>
              <w:right w:val="single" w:sz="4" w:space="0" w:color="auto"/>
            </w:tcBorders>
            <w:shd w:val="clear" w:color="auto" w:fill="auto"/>
            <w:tcMar>
              <w:top w:w="13" w:type="dxa"/>
              <w:left w:w="13" w:type="dxa"/>
              <w:bottom w:w="0" w:type="dxa"/>
              <w:right w:w="13" w:type="dxa"/>
            </w:tcMar>
            <w:vAlign w:val="center"/>
            <w:hideMark/>
          </w:tcPr>
          <w:p w14:paraId="3B607BD9"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MRSE NCTC11964</w:t>
            </w:r>
          </w:p>
        </w:tc>
        <w:tc>
          <w:tcPr>
            <w:tcW w:w="1236" w:type="dxa"/>
            <w:tcBorders>
              <w:top w:val="nil"/>
              <w:left w:val="single" w:sz="4" w:space="0" w:color="auto"/>
              <w:bottom w:val="single" w:sz="4" w:space="0" w:color="000000"/>
              <w:right w:val="nil"/>
            </w:tcBorders>
            <w:shd w:val="clear" w:color="auto" w:fill="auto"/>
            <w:tcMar>
              <w:top w:w="13" w:type="dxa"/>
              <w:left w:w="13" w:type="dxa"/>
              <w:bottom w:w="0" w:type="dxa"/>
              <w:right w:w="13" w:type="dxa"/>
            </w:tcMar>
            <w:vAlign w:val="center"/>
            <w:hideMark/>
          </w:tcPr>
          <w:p w14:paraId="7F7C1828"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b/>
                <w:bCs/>
              </w:rPr>
              <w:t>EF DZMZ25390</w:t>
            </w:r>
          </w:p>
        </w:tc>
      </w:tr>
      <w:tr w:rsidR="00821204" w:rsidRPr="00821204" w14:paraId="461E478F" w14:textId="77777777" w:rsidTr="00821204">
        <w:trPr>
          <w:trHeight w:val="261"/>
        </w:trPr>
        <w:tc>
          <w:tcPr>
            <w:tcW w:w="1273" w:type="dxa"/>
            <w:tcBorders>
              <w:top w:val="nil"/>
              <w:left w:val="nil"/>
              <w:bottom w:val="single" w:sz="4" w:space="0" w:color="000000"/>
              <w:right w:val="nil"/>
            </w:tcBorders>
            <w:shd w:val="clear" w:color="auto" w:fill="auto"/>
            <w:tcMar>
              <w:top w:w="13" w:type="dxa"/>
              <w:left w:w="13" w:type="dxa"/>
              <w:bottom w:w="0" w:type="dxa"/>
              <w:right w:w="13" w:type="dxa"/>
            </w:tcMar>
            <w:vAlign w:val="center"/>
            <w:hideMark/>
          </w:tcPr>
          <w:p w14:paraId="62292DC3"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 </w:t>
            </w:r>
          </w:p>
        </w:tc>
        <w:tc>
          <w:tcPr>
            <w:tcW w:w="7207" w:type="dxa"/>
            <w:gridSpan w:val="6"/>
            <w:tcBorders>
              <w:top w:val="single" w:sz="4" w:space="0" w:color="000000"/>
              <w:left w:val="nil"/>
              <w:bottom w:val="single" w:sz="4" w:space="0" w:color="000000"/>
              <w:right w:val="nil"/>
            </w:tcBorders>
            <w:shd w:val="clear" w:color="auto" w:fill="auto"/>
            <w:tcMar>
              <w:top w:w="13" w:type="dxa"/>
              <w:left w:w="13" w:type="dxa"/>
              <w:bottom w:w="0" w:type="dxa"/>
              <w:right w:w="13" w:type="dxa"/>
            </w:tcMar>
            <w:vAlign w:val="center"/>
            <w:hideMark/>
          </w:tcPr>
          <w:p w14:paraId="60CD7C16"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b/>
                <w:bCs/>
                <w:i/>
                <w:iCs/>
              </w:rPr>
              <w:t>Mean Inhibitory Concentration (MIC) (mg/ml)</w:t>
            </w:r>
          </w:p>
        </w:tc>
      </w:tr>
      <w:tr w:rsidR="00821204" w:rsidRPr="00821204" w14:paraId="45A1B36F" w14:textId="77777777" w:rsidTr="00201F27">
        <w:trPr>
          <w:trHeight w:val="349"/>
        </w:trPr>
        <w:tc>
          <w:tcPr>
            <w:tcW w:w="1273" w:type="dxa"/>
            <w:tcBorders>
              <w:top w:val="single" w:sz="4" w:space="0" w:color="000000"/>
              <w:left w:val="nil"/>
              <w:bottom w:val="nil"/>
              <w:right w:val="nil"/>
            </w:tcBorders>
            <w:shd w:val="clear" w:color="auto" w:fill="auto"/>
            <w:tcMar>
              <w:top w:w="13" w:type="dxa"/>
              <w:left w:w="13" w:type="dxa"/>
              <w:bottom w:w="0" w:type="dxa"/>
              <w:right w:w="13" w:type="dxa"/>
            </w:tcMar>
            <w:vAlign w:val="center"/>
            <w:hideMark/>
          </w:tcPr>
          <w:p w14:paraId="12AC248D"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w:t>
            </w:r>
          </w:p>
        </w:tc>
        <w:tc>
          <w:tcPr>
            <w:tcW w:w="1200" w:type="dxa"/>
            <w:tcBorders>
              <w:top w:val="single" w:sz="4" w:space="0" w:color="000000"/>
              <w:left w:val="nil"/>
              <w:bottom w:val="nil"/>
              <w:right w:val="single" w:sz="4" w:space="0" w:color="auto"/>
            </w:tcBorders>
            <w:shd w:val="clear" w:color="auto" w:fill="auto"/>
            <w:tcMar>
              <w:top w:w="13" w:type="dxa"/>
              <w:left w:w="13" w:type="dxa"/>
              <w:bottom w:w="0" w:type="dxa"/>
              <w:right w:w="13" w:type="dxa"/>
            </w:tcMar>
            <w:vAlign w:val="center"/>
            <w:hideMark/>
          </w:tcPr>
          <w:p w14:paraId="7102E267"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1</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6B47791"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0.5</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45BA9C1"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1</w:t>
            </w:r>
          </w:p>
        </w:tc>
        <w:tc>
          <w:tcPr>
            <w:tcW w:w="1171"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6B8C0DCE"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2</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6FA769E"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4</w:t>
            </w:r>
          </w:p>
        </w:tc>
        <w:tc>
          <w:tcPr>
            <w:tcW w:w="1236" w:type="dxa"/>
            <w:tcBorders>
              <w:top w:val="single" w:sz="4" w:space="0" w:color="000000"/>
              <w:left w:val="single" w:sz="4" w:space="0" w:color="auto"/>
              <w:bottom w:val="nil"/>
              <w:right w:val="nil"/>
            </w:tcBorders>
            <w:shd w:val="clear" w:color="auto" w:fill="auto"/>
            <w:tcMar>
              <w:top w:w="13" w:type="dxa"/>
              <w:left w:w="13" w:type="dxa"/>
              <w:bottom w:w="0" w:type="dxa"/>
              <w:right w:w="13" w:type="dxa"/>
            </w:tcMar>
            <w:vAlign w:val="center"/>
            <w:hideMark/>
          </w:tcPr>
          <w:p w14:paraId="01A58310"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2</w:t>
            </w:r>
          </w:p>
        </w:tc>
      </w:tr>
      <w:tr w:rsidR="00821204" w:rsidRPr="00821204" w14:paraId="7A787578"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676D931F"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SCMEXBu1</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71B203D8"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54A71C6"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3FB9FF5"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7344A7B"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C1A074E"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0D972523"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73892F70"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7A3F80EA"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SCMEXBu2</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714188D1"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A2AA4D8"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102FA76"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A4F74C7"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53FF66B"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11DD5817"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19E20C4E"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70EDC7A8"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SCMEXBu3</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6D116E7E"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0C8B85B"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F555A25"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870042C"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C5CF7CF"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659B8249"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275048DB"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0FFEC163"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SCMEXBu4</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3B4DBD85"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06C66E4"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9B40EEC"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BAD4243"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60D3C59A"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375086CD"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42F7EB8F"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4E07BFFE"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SCMEXBu5</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1A5D4339"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0.125</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6E8B448"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0.125</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858E814"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0.25</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5CC0A66"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0.25</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FB7E1AB"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0.5</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3C592547"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0.125</w:t>
            </w:r>
          </w:p>
        </w:tc>
      </w:tr>
      <w:tr w:rsidR="00821204" w:rsidRPr="00821204" w14:paraId="5C2706AA"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3C14B3D4"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SCMEXBu6</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01438E8E"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7C09C74"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33ED0D4"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BDE2D52"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57D6BEC"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37A1FB00"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198C1D65"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60379587"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SCMEXBu7</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4F7039DA"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F6849EC"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EE8A185"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D8973C3"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D2AD0D6"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4E9A8925" w14:textId="77777777" w:rsidR="00C82581" w:rsidRPr="00821204" w:rsidRDefault="00821204" w:rsidP="00085FF0">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59046C21" w14:textId="77777777" w:rsidTr="00821204">
        <w:trPr>
          <w:trHeight w:val="261"/>
        </w:trPr>
        <w:tc>
          <w:tcPr>
            <w:tcW w:w="1273" w:type="dxa"/>
            <w:tcBorders>
              <w:top w:val="nil"/>
              <w:left w:val="nil"/>
              <w:bottom w:val="nil"/>
              <w:right w:val="nil"/>
            </w:tcBorders>
            <w:shd w:val="clear" w:color="auto" w:fill="auto"/>
            <w:tcMar>
              <w:top w:w="13" w:type="dxa"/>
              <w:left w:w="13" w:type="dxa"/>
              <w:bottom w:w="0" w:type="dxa"/>
              <w:right w:w="13" w:type="dxa"/>
            </w:tcMar>
            <w:vAlign w:val="bottom"/>
            <w:hideMark/>
          </w:tcPr>
          <w:p w14:paraId="2F507413" w14:textId="77777777" w:rsidR="00821204" w:rsidRPr="00821204" w:rsidRDefault="00821204" w:rsidP="00821204">
            <w:pPr>
              <w:spacing w:line="360" w:lineRule="auto"/>
              <w:rPr>
                <w:rFonts w:ascii="Times New Roman" w:hAnsi="Times New Roman" w:cs="Times New Roman"/>
              </w:rPr>
            </w:pPr>
          </w:p>
        </w:tc>
        <w:tc>
          <w:tcPr>
            <w:tcW w:w="7207" w:type="dxa"/>
            <w:gridSpan w:val="6"/>
            <w:tcBorders>
              <w:top w:val="nil"/>
              <w:left w:val="nil"/>
              <w:bottom w:val="single" w:sz="4" w:space="0" w:color="000000"/>
              <w:right w:val="nil"/>
            </w:tcBorders>
            <w:shd w:val="clear" w:color="auto" w:fill="auto"/>
            <w:tcMar>
              <w:top w:w="13" w:type="dxa"/>
              <w:left w:w="13" w:type="dxa"/>
              <w:bottom w:w="0" w:type="dxa"/>
              <w:right w:w="13" w:type="dxa"/>
            </w:tcMar>
            <w:vAlign w:val="bottom"/>
            <w:hideMark/>
          </w:tcPr>
          <w:p w14:paraId="3C81C236"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b/>
                <w:bCs/>
                <w:i/>
                <w:iCs/>
              </w:rPr>
              <w:t>Mean Bactericidal Concentration (MBC) (mg/ml))</w:t>
            </w:r>
          </w:p>
        </w:tc>
      </w:tr>
      <w:tr w:rsidR="00821204" w:rsidRPr="00821204" w14:paraId="74B48F13"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19B51804"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w:t>
            </w:r>
          </w:p>
        </w:tc>
        <w:tc>
          <w:tcPr>
            <w:tcW w:w="1200" w:type="dxa"/>
            <w:tcBorders>
              <w:top w:val="single" w:sz="4" w:space="0" w:color="000000"/>
              <w:left w:val="nil"/>
              <w:bottom w:val="nil"/>
              <w:right w:val="single" w:sz="4" w:space="0" w:color="auto"/>
            </w:tcBorders>
            <w:shd w:val="clear" w:color="auto" w:fill="auto"/>
            <w:tcMar>
              <w:top w:w="13" w:type="dxa"/>
              <w:left w:w="13" w:type="dxa"/>
              <w:bottom w:w="0" w:type="dxa"/>
              <w:right w:w="13" w:type="dxa"/>
            </w:tcMar>
            <w:vAlign w:val="center"/>
            <w:hideMark/>
          </w:tcPr>
          <w:p w14:paraId="536705C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0.5</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2548EB6"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0.5</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0F3AE89"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1</w:t>
            </w:r>
          </w:p>
        </w:tc>
        <w:tc>
          <w:tcPr>
            <w:tcW w:w="1171"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F7BB67A"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2</w:t>
            </w:r>
          </w:p>
        </w:tc>
        <w:tc>
          <w:tcPr>
            <w:tcW w:w="1200" w:type="dxa"/>
            <w:tcBorders>
              <w:top w:val="single" w:sz="4" w:space="0" w:color="000000"/>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8145823"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2</w:t>
            </w:r>
          </w:p>
        </w:tc>
        <w:tc>
          <w:tcPr>
            <w:tcW w:w="1236" w:type="dxa"/>
            <w:tcBorders>
              <w:top w:val="single" w:sz="4" w:space="0" w:color="000000"/>
              <w:left w:val="single" w:sz="4" w:space="0" w:color="auto"/>
              <w:bottom w:val="nil"/>
              <w:right w:val="nil"/>
            </w:tcBorders>
            <w:shd w:val="clear" w:color="auto" w:fill="auto"/>
            <w:tcMar>
              <w:top w:w="13" w:type="dxa"/>
              <w:left w:w="13" w:type="dxa"/>
              <w:bottom w:w="0" w:type="dxa"/>
              <w:right w:w="13" w:type="dxa"/>
            </w:tcMar>
            <w:vAlign w:val="center"/>
            <w:hideMark/>
          </w:tcPr>
          <w:p w14:paraId="1F860D2F"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1D5FC89F"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4DE1C549"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SCMEXBu1</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695A653F"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BEB1906"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52BCDAE"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C7E3F29"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249F584"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0A5C98D5"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2F30617A"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7EA039CD"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SCMEXBu2</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63D65698"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0C4FF6E"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087DC4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719736B"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66DA67D"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2798E25A"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1025B539"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6E18436F"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SCMEXBu3</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33DFE96B"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300A7D85"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D7E346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DAC37A5"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2DF7695"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71D4EA19"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3FAD6BD0"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11A6142A"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SCMEXBu4</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2B605B89"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AA46D2A"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0FCA84C"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7D11C62"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C3AE553"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6A7C5A9F"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286E2553"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7B0DF389"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SCMEXBu5</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6144BAF7"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0.25</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24C57AA9"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0.25</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46FF7292"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0.5</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0DB2853"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1</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2A6D777"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1</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55A4A58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0.25</w:t>
            </w:r>
          </w:p>
        </w:tc>
      </w:tr>
      <w:tr w:rsidR="00821204" w:rsidRPr="00821204" w14:paraId="41F0970F"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249ABB5E"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SCMEXBu6</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5F12D34C"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7040F5C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0720E394"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3C75EFD"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6293C88E"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5A81D5B6"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r w:rsidR="00821204" w:rsidRPr="00821204" w14:paraId="549ACEC1" w14:textId="77777777" w:rsidTr="00201F27">
        <w:trPr>
          <w:trHeight w:val="349"/>
        </w:trPr>
        <w:tc>
          <w:tcPr>
            <w:tcW w:w="1273" w:type="dxa"/>
            <w:tcBorders>
              <w:top w:val="nil"/>
              <w:left w:val="nil"/>
              <w:bottom w:val="nil"/>
              <w:right w:val="nil"/>
            </w:tcBorders>
            <w:shd w:val="clear" w:color="auto" w:fill="auto"/>
            <w:tcMar>
              <w:top w:w="13" w:type="dxa"/>
              <w:left w:w="13" w:type="dxa"/>
              <w:bottom w:w="0" w:type="dxa"/>
              <w:right w:w="13" w:type="dxa"/>
            </w:tcMar>
            <w:vAlign w:val="center"/>
            <w:hideMark/>
          </w:tcPr>
          <w:p w14:paraId="45E00286" w14:textId="77777777" w:rsidR="00C82581" w:rsidRPr="00821204" w:rsidRDefault="00821204" w:rsidP="00821204">
            <w:pPr>
              <w:spacing w:line="360" w:lineRule="auto"/>
              <w:rPr>
                <w:rFonts w:ascii="Times New Roman" w:hAnsi="Times New Roman" w:cs="Times New Roman"/>
              </w:rPr>
            </w:pPr>
            <w:r w:rsidRPr="00821204">
              <w:rPr>
                <w:rFonts w:ascii="Times New Roman" w:hAnsi="Times New Roman" w:cs="Times New Roman"/>
              </w:rPr>
              <w:t>SCMEXBu7</w:t>
            </w:r>
          </w:p>
        </w:tc>
        <w:tc>
          <w:tcPr>
            <w:tcW w:w="1200" w:type="dxa"/>
            <w:tcBorders>
              <w:top w:val="nil"/>
              <w:left w:val="nil"/>
              <w:bottom w:val="nil"/>
              <w:right w:val="single" w:sz="4" w:space="0" w:color="auto"/>
            </w:tcBorders>
            <w:shd w:val="clear" w:color="auto" w:fill="auto"/>
            <w:tcMar>
              <w:top w:w="13" w:type="dxa"/>
              <w:left w:w="13" w:type="dxa"/>
              <w:bottom w:w="0" w:type="dxa"/>
              <w:right w:w="13" w:type="dxa"/>
            </w:tcMar>
            <w:vAlign w:val="center"/>
            <w:hideMark/>
          </w:tcPr>
          <w:p w14:paraId="3DCDB3FC"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77E9434"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6E085792"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171"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51145D38"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00" w:type="dxa"/>
            <w:tcBorders>
              <w:top w:val="nil"/>
              <w:left w:val="single" w:sz="4" w:space="0" w:color="auto"/>
              <w:bottom w:val="nil"/>
              <w:right w:val="single" w:sz="4" w:space="0" w:color="auto"/>
            </w:tcBorders>
            <w:shd w:val="clear" w:color="auto" w:fill="auto"/>
            <w:tcMar>
              <w:top w:w="13" w:type="dxa"/>
              <w:left w:w="13" w:type="dxa"/>
              <w:bottom w:w="0" w:type="dxa"/>
              <w:right w:w="13" w:type="dxa"/>
            </w:tcMar>
            <w:vAlign w:val="center"/>
            <w:hideMark/>
          </w:tcPr>
          <w:p w14:paraId="15491DD0"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c>
          <w:tcPr>
            <w:tcW w:w="1236" w:type="dxa"/>
            <w:tcBorders>
              <w:top w:val="nil"/>
              <w:left w:val="single" w:sz="4" w:space="0" w:color="auto"/>
              <w:bottom w:val="nil"/>
              <w:right w:val="nil"/>
            </w:tcBorders>
            <w:shd w:val="clear" w:color="auto" w:fill="auto"/>
            <w:tcMar>
              <w:top w:w="13" w:type="dxa"/>
              <w:left w:w="13" w:type="dxa"/>
              <w:bottom w:w="0" w:type="dxa"/>
              <w:right w:w="13" w:type="dxa"/>
            </w:tcMar>
            <w:vAlign w:val="center"/>
            <w:hideMark/>
          </w:tcPr>
          <w:p w14:paraId="310980B1" w14:textId="77777777" w:rsidR="00C82581" w:rsidRPr="00821204" w:rsidRDefault="00821204" w:rsidP="00201F27">
            <w:pPr>
              <w:spacing w:line="360" w:lineRule="auto"/>
              <w:jc w:val="center"/>
              <w:rPr>
                <w:rFonts w:ascii="Times New Roman" w:hAnsi="Times New Roman" w:cs="Times New Roman"/>
              </w:rPr>
            </w:pPr>
            <w:r w:rsidRPr="00821204">
              <w:rPr>
                <w:rFonts w:ascii="Times New Roman" w:hAnsi="Times New Roman" w:cs="Times New Roman"/>
              </w:rPr>
              <w:t>&gt; 4</w:t>
            </w:r>
          </w:p>
        </w:tc>
      </w:tr>
    </w:tbl>
    <w:p w14:paraId="19F52682" w14:textId="151BA721" w:rsidR="00863F48" w:rsidRPr="00821204" w:rsidRDefault="00821204" w:rsidP="00821204">
      <w:pPr>
        <w:spacing w:line="360" w:lineRule="auto"/>
        <w:rPr>
          <w:rFonts w:ascii="Times New Roman" w:hAnsi="Times New Roman" w:cs="Times New Roman"/>
        </w:rPr>
      </w:pPr>
      <w:r w:rsidRPr="00821204">
        <w:rPr>
          <w:rFonts w:ascii="Times New Roman" w:hAnsi="Times New Roman" w:cs="Times New Roman"/>
          <w:b/>
          <w:bCs/>
        </w:rPr>
        <w:t>MRSA:</w:t>
      </w:r>
      <w:r w:rsidRPr="00821204">
        <w:rPr>
          <w:rFonts w:ascii="Times New Roman" w:hAnsi="Times New Roman" w:cs="Times New Roman"/>
        </w:rPr>
        <w:t xml:space="preserve"> Methicillin-Resistant</w:t>
      </w:r>
      <w:r w:rsidRPr="00821204">
        <w:rPr>
          <w:rFonts w:ascii="Times New Roman" w:hAnsi="Times New Roman" w:cs="Times New Roman"/>
          <w:i/>
          <w:iCs/>
        </w:rPr>
        <w:t xml:space="preserve"> Staphylococcus aureus</w:t>
      </w:r>
      <w:r w:rsidRPr="00821204">
        <w:rPr>
          <w:rFonts w:ascii="Times New Roman" w:hAnsi="Times New Roman" w:cs="Times New Roman"/>
        </w:rPr>
        <w:t xml:space="preserve">, </w:t>
      </w:r>
      <w:r w:rsidRPr="00821204">
        <w:rPr>
          <w:rFonts w:ascii="Times New Roman" w:hAnsi="Times New Roman" w:cs="Times New Roman"/>
          <w:b/>
          <w:bCs/>
        </w:rPr>
        <w:t>SA:</w:t>
      </w:r>
      <w:r w:rsidRPr="00821204">
        <w:rPr>
          <w:rFonts w:ascii="Times New Roman" w:hAnsi="Times New Roman" w:cs="Times New Roman"/>
        </w:rPr>
        <w:t xml:space="preserve"> </w:t>
      </w:r>
      <w:r w:rsidRPr="00821204">
        <w:rPr>
          <w:rFonts w:ascii="Times New Roman" w:hAnsi="Times New Roman" w:cs="Times New Roman"/>
          <w:i/>
          <w:iCs/>
        </w:rPr>
        <w:t>Staphylococcus aureus</w:t>
      </w:r>
      <w:r w:rsidRPr="00821204">
        <w:rPr>
          <w:rFonts w:ascii="Times New Roman" w:hAnsi="Times New Roman" w:cs="Times New Roman"/>
        </w:rPr>
        <w:t xml:space="preserve">, </w:t>
      </w:r>
      <w:r w:rsidRPr="00821204">
        <w:rPr>
          <w:rFonts w:ascii="Times New Roman" w:hAnsi="Times New Roman" w:cs="Times New Roman"/>
          <w:b/>
          <w:bCs/>
        </w:rPr>
        <w:t>EF:</w:t>
      </w:r>
      <w:r w:rsidRPr="00821204">
        <w:rPr>
          <w:rFonts w:ascii="Times New Roman" w:hAnsi="Times New Roman" w:cs="Times New Roman"/>
        </w:rPr>
        <w:t xml:space="preserve"> </w:t>
      </w:r>
      <w:r w:rsidRPr="00821204">
        <w:rPr>
          <w:rFonts w:ascii="Times New Roman" w:hAnsi="Times New Roman" w:cs="Times New Roman"/>
          <w:i/>
          <w:iCs/>
        </w:rPr>
        <w:t xml:space="preserve">Enterococcus faecalis </w:t>
      </w:r>
      <w:r w:rsidRPr="00821204">
        <w:rPr>
          <w:rFonts w:ascii="Times New Roman" w:hAnsi="Times New Roman" w:cs="Times New Roman"/>
        </w:rPr>
        <w:t xml:space="preserve">and </w:t>
      </w:r>
      <w:r w:rsidRPr="00821204">
        <w:rPr>
          <w:rFonts w:ascii="Times New Roman" w:hAnsi="Times New Roman" w:cs="Times New Roman"/>
          <w:b/>
          <w:bCs/>
        </w:rPr>
        <w:t>SE</w:t>
      </w:r>
      <w:r w:rsidR="00291CB9">
        <w:rPr>
          <w:rFonts w:ascii="Times New Roman" w:hAnsi="Times New Roman" w:cs="Times New Roman"/>
          <w:b/>
          <w:bCs/>
        </w:rPr>
        <w:t xml:space="preserve">: </w:t>
      </w:r>
      <w:r w:rsidR="00291CB9" w:rsidRPr="00821204">
        <w:rPr>
          <w:rFonts w:ascii="Times New Roman" w:hAnsi="Times New Roman" w:cs="Times New Roman"/>
          <w:i/>
          <w:iCs/>
        </w:rPr>
        <w:t xml:space="preserve">Staphylococcus </w:t>
      </w:r>
      <w:r w:rsidR="00291CB9">
        <w:rPr>
          <w:rFonts w:ascii="Times New Roman" w:hAnsi="Times New Roman" w:cs="Times New Roman"/>
          <w:i/>
          <w:iCs/>
        </w:rPr>
        <w:t>epidermidis</w:t>
      </w:r>
      <w:r w:rsidR="00291CB9" w:rsidRPr="00821204">
        <w:rPr>
          <w:rFonts w:ascii="Times New Roman" w:hAnsi="Times New Roman" w:cs="Times New Roman"/>
        </w:rPr>
        <w:t>.</w:t>
      </w:r>
    </w:p>
    <w:sectPr w:rsidR="00863F48" w:rsidRPr="008212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204"/>
    <w:rsid w:val="00005CAE"/>
    <w:rsid w:val="00010AB1"/>
    <w:rsid w:val="00011445"/>
    <w:rsid w:val="00013A39"/>
    <w:rsid w:val="00014C1C"/>
    <w:rsid w:val="00023805"/>
    <w:rsid w:val="0002503C"/>
    <w:rsid w:val="0002577A"/>
    <w:rsid w:val="00037403"/>
    <w:rsid w:val="00043235"/>
    <w:rsid w:val="000444A3"/>
    <w:rsid w:val="00045DE1"/>
    <w:rsid w:val="0006067D"/>
    <w:rsid w:val="00062823"/>
    <w:rsid w:val="00077D2C"/>
    <w:rsid w:val="00085FF0"/>
    <w:rsid w:val="000A054F"/>
    <w:rsid w:val="000A57B9"/>
    <w:rsid w:val="000B4A86"/>
    <w:rsid w:val="000C4887"/>
    <w:rsid w:val="000C76E8"/>
    <w:rsid w:val="000D3BA4"/>
    <w:rsid w:val="000E494B"/>
    <w:rsid w:val="000F3864"/>
    <w:rsid w:val="001003EF"/>
    <w:rsid w:val="00112B57"/>
    <w:rsid w:val="001145FC"/>
    <w:rsid w:val="00117CA7"/>
    <w:rsid w:val="001211C2"/>
    <w:rsid w:val="001227CF"/>
    <w:rsid w:val="00132C6C"/>
    <w:rsid w:val="001338EF"/>
    <w:rsid w:val="00133A3C"/>
    <w:rsid w:val="001408ED"/>
    <w:rsid w:val="00161AEA"/>
    <w:rsid w:val="00164560"/>
    <w:rsid w:val="0017204A"/>
    <w:rsid w:val="00183080"/>
    <w:rsid w:val="00183F32"/>
    <w:rsid w:val="00192519"/>
    <w:rsid w:val="001931A7"/>
    <w:rsid w:val="001A1B43"/>
    <w:rsid w:val="001A1F02"/>
    <w:rsid w:val="001A3AAF"/>
    <w:rsid w:val="001A41D8"/>
    <w:rsid w:val="001A7DE6"/>
    <w:rsid w:val="001B0EE7"/>
    <w:rsid w:val="001C28B1"/>
    <w:rsid w:val="001C5B33"/>
    <w:rsid w:val="001D2DC6"/>
    <w:rsid w:val="001E0C03"/>
    <w:rsid w:val="001F6394"/>
    <w:rsid w:val="00201D54"/>
    <w:rsid w:val="00201F27"/>
    <w:rsid w:val="0020499F"/>
    <w:rsid w:val="00205B14"/>
    <w:rsid w:val="00206304"/>
    <w:rsid w:val="00211169"/>
    <w:rsid w:val="00213147"/>
    <w:rsid w:val="002132A6"/>
    <w:rsid w:val="002148D5"/>
    <w:rsid w:val="00215DC0"/>
    <w:rsid w:val="00223654"/>
    <w:rsid w:val="002251C5"/>
    <w:rsid w:val="002321F9"/>
    <w:rsid w:val="00233924"/>
    <w:rsid w:val="00234A84"/>
    <w:rsid w:val="0023504F"/>
    <w:rsid w:val="00241A35"/>
    <w:rsid w:val="002455CE"/>
    <w:rsid w:val="0025714F"/>
    <w:rsid w:val="0026472D"/>
    <w:rsid w:val="002804A0"/>
    <w:rsid w:val="002824C4"/>
    <w:rsid w:val="00283A14"/>
    <w:rsid w:val="002852ED"/>
    <w:rsid w:val="0028630C"/>
    <w:rsid w:val="00291CB9"/>
    <w:rsid w:val="002963CA"/>
    <w:rsid w:val="002A5B74"/>
    <w:rsid w:val="002B26FC"/>
    <w:rsid w:val="002B4FA0"/>
    <w:rsid w:val="002B5496"/>
    <w:rsid w:val="002B7C65"/>
    <w:rsid w:val="002C1010"/>
    <w:rsid w:val="002C1970"/>
    <w:rsid w:val="002D2A8A"/>
    <w:rsid w:val="002E6A39"/>
    <w:rsid w:val="002E6E79"/>
    <w:rsid w:val="002F4FA6"/>
    <w:rsid w:val="002F5F37"/>
    <w:rsid w:val="00304638"/>
    <w:rsid w:val="00305D6E"/>
    <w:rsid w:val="0031440D"/>
    <w:rsid w:val="00321FA4"/>
    <w:rsid w:val="00327D88"/>
    <w:rsid w:val="003300C0"/>
    <w:rsid w:val="0033239B"/>
    <w:rsid w:val="00337B7E"/>
    <w:rsid w:val="00342231"/>
    <w:rsid w:val="003430AE"/>
    <w:rsid w:val="00356F84"/>
    <w:rsid w:val="00357C01"/>
    <w:rsid w:val="00362B30"/>
    <w:rsid w:val="00375B9D"/>
    <w:rsid w:val="00376675"/>
    <w:rsid w:val="0038217A"/>
    <w:rsid w:val="00382AC6"/>
    <w:rsid w:val="00384874"/>
    <w:rsid w:val="003905C5"/>
    <w:rsid w:val="003921BF"/>
    <w:rsid w:val="003973E8"/>
    <w:rsid w:val="003A2689"/>
    <w:rsid w:val="003B619E"/>
    <w:rsid w:val="003C172E"/>
    <w:rsid w:val="003D665C"/>
    <w:rsid w:val="003F1E34"/>
    <w:rsid w:val="00416B60"/>
    <w:rsid w:val="00421004"/>
    <w:rsid w:val="00422EA2"/>
    <w:rsid w:val="0043541C"/>
    <w:rsid w:val="004371D0"/>
    <w:rsid w:val="004436A8"/>
    <w:rsid w:val="00444DE0"/>
    <w:rsid w:val="00473AE1"/>
    <w:rsid w:val="00474C02"/>
    <w:rsid w:val="00475A59"/>
    <w:rsid w:val="004829B5"/>
    <w:rsid w:val="0048503A"/>
    <w:rsid w:val="00486E0C"/>
    <w:rsid w:val="004905DA"/>
    <w:rsid w:val="004925D0"/>
    <w:rsid w:val="00496082"/>
    <w:rsid w:val="004A2827"/>
    <w:rsid w:val="004A3302"/>
    <w:rsid w:val="004C2CD1"/>
    <w:rsid w:val="004C37D4"/>
    <w:rsid w:val="004D4F85"/>
    <w:rsid w:val="004E2528"/>
    <w:rsid w:val="004E541B"/>
    <w:rsid w:val="004F1ED9"/>
    <w:rsid w:val="00507FA3"/>
    <w:rsid w:val="00510601"/>
    <w:rsid w:val="00540CB9"/>
    <w:rsid w:val="00542AF0"/>
    <w:rsid w:val="00543A9A"/>
    <w:rsid w:val="00544037"/>
    <w:rsid w:val="00566202"/>
    <w:rsid w:val="005675BF"/>
    <w:rsid w:val="00570935"/>
    <w:rsid w:val="00574848"/>
    <w:rsid w:val="00575133"/>
    <w:rsid w:val="00580B4B"/>
    <w:rsid w:val="00581992"/>
    <w:rsid w:val="00582E4E"/>
    <w:rsid w:val="00585F32"/>
    <w:rsid w:val="00592230"/>
    <w:rsid w:val="00592DA3"/>
    <w:rsid w:val="00593DC8"/>
    <w:rsid w:val="00596233"/>
    <w:rsid w:val="005967C5"/>
    <w:rsid w:val="00597A4D"/>
    <w:rsid w:val="005A51FC"/>
    <w:rsid w:val="005B66AE"/>
    <w:rsid w:val="005D4DBF"/>
    <w:rsid w:val="005D693A"/>
    <w:rsid w:val="005D6C41"/>
    <w:rsid w:val="00600994"/>
    <w:rsid w:val="00605088"/>
    <w:rsid w:val="00620F47"/>
    <w:rsid w:val="00631B07"/>
    <w:rsid w:val="0066098D"/>
    <w:rsid w:val="00661484"/>
    <w:rsid w:val="0066646B"/>
    <w:rsid w:val="006758E0"/>
    <w:rsid w:val="0068704C"/>
    <w:rsid w:val="0069126A"/>
    <w:rsid w:val="00692D23"/>
    <w:rsid w:val="00692DB9"/>
    <w:rsid w:val="00694A52"/>
    <w:rsid w:val="006A0017"/>
    <w:rsid w:val="006B5AA1"/>
    <w:rsid w:val="006C1D4F"/>
    <w:rsid w:val="006D579A"/>
    <w:rsid w:val="006D5F71"/>
    <w:rsid w:val="006E1690"/>
    <w:rsid w:val="006E1B80"/>
    <w:rsid w:val="006F0EBA"/>
    <w:rsid w:val="006F168E"/>
    <w:rsid w:val="0070352B"/>
    <w:rsid w:val="00707FD8"/>
    <w:rsid w:val="00712964"/>
    <w:rsid w:val="007158A5"/>
    <w:rsid w:val="00724A7C"/>
    <w:rsid w:val="007375DA"/>
    <w:rsid w:val="00742BD6"/>
    <w:rsid w:val="00754E13"/>
    <w:rsid w:val="0075619F"/>
    <w:rsid w:val="00757B72"/>
    <w:rsid w:val="00761D1D"/>
    <w:rsid w:val="0076368B"/>
    <w:rsid w:val="0078249D"/>
    <w:rsid w:val="00784773"/>
    <w:rsid w:val="00791C6C"/>
    <w:rsid w:val="00796936"/>
    <w:rsid w:val="007974EF"/>
    <w:rsid w:val="007A42BC"/>
    <w:rsid w:val="007B2215"/>
    <w:rsid w:val="007D61B8"/>
    <w:rsid w:val="007D7C12"/>
    <w:rsid w:val="007E18F0"/>
    <w:rsid w:val="007E253F"/>
    <w:rsid w:val="007E3EC1"/>
    <w:rsid w:val="007E3F6F"/>
    <w:rsid w:val="007E70A0"/>
    <w:rsid w:val="007F0B5A"/>
    <w:rsid w:val="00803924"/>
    <w:rsid w:val="00821204"/>
    <w:rsid w:val="00825421"/>
    <w:rsid w:val="00842978"/>
    <w:rsid w:val="00852ADE"/>
    <w:rsid w:val="008573E7"/>
    <w:rsid w:val="00862CB5"/>
    <w:rsid w:val="00863F48"/>
    <w:rsid w:val="00866D10"/>
    <w:rsid w:val="00872DD7"/>
    <w:rsid w:val="008743C7"/>
    <w:rsid w:val="0088074D"/>
    <w:rsid w:val="00884ADF"/>
    <w:rsid w:val="008A0C20"/>
    <w:rsid w:val="008A3B2D"/>
    <w:rsid w:val="008B660F"/>
    <w:rsid w:val="008C5D4D"/>
    <w:rsid w:val="008D0E3B"/>
    <w:rsid w:val="008E3DE9"/>
    <w:rsid w:val="008F587A"/>
    <w:rsid w:val="00930C11"/>
    <w:rsid w:val="00933730"/>
    <w:rsid w:val="00955AC0"/>
    <w:rsid w:val="00960577"/>
    <w:rsid w:val="00961722"/>
    <w:rsid w:val="00966A24"/>
    <w:rsid w:val="00967776"/>
    <w:rsid w:val="00993FAB"/>
    <w:rsid w:val="009A428A"/>
    <w:rsid w:val="009A7C63"/>
    <w:rsid w:val="009B271E"/>
    <w:rsid w:val="009B635E"/>
    <w:rsid w:val="009D42A9"/>
    <w:rsid w:val="009E43F2"/>
    <w:rsid w:val="00A004B1"/>
    <w:rsid w:val="00A01F4E"/>
    <w:rsid w:val="00A01FCA"/>
    <w:rsid w:val="00A032A4"/>
    <w:rsid w:val="00A04494"/>
    <w:rsid w:val="00A12027"/>
    <w:rsid w:val="00A202F7"/>
    <w:rsid w:val="00A21782"/>
    <w:rsid w:val="00A2415F"/>
    <w:rsid w:val="00A2758D"/>
    <w:rsid w:val="00A2773B"/>
    <w:rsid w:val="00A31327"/>
    <w:rsid w:val="00A61B5F"/>
    <w:rsid w:val="00A7232A"/>
    <w:rsid w:val="00A74999"/>
    <w:rsid w:val="00A75831"/>
    <w:rsid w:val="00A90654"/>
    <w:rsid w:val="00A90D6F"/>
    <w:rsid w:val="00A94E30"/>
    <w:rsid w:val="00A952BD"/>
    <w:rsid w:val="00A97069"/>
    <w:rsid w:val="00A97994"/>
    <w:rsid w:val="00AA0AF0"/>
    <w:rsid w:val="00AA19F6"/>
    <w:rsid w:val="00AB7FFC"/>
    <w:rsid w:val="00AD1229"/>
    <w:rsid w:val="00AE100B"/>
    <w:rsid w:val="00AF10F2"/>
    <w:rsid w:val="00AF5867"/>
    <w:rsid w:val="00B00EC1"/>
    <w:rsid w:val="00B06D43"/>
    <w:rsid w:val="00B1206C"/>
    <w:rsid w:val="00B13122"/>
    <w:rsid w:val="00B3614E"/>
    <w:rsid w:val="00B5307F"/>
    <w:rsid w:val="00B63641"/>
    <w:rsid w:val="00B66541"/>
    <w:rsid w:val="00B76E2B"/>
    <w:rsid w:val="00BA2883"/>
    <w:rsid w:val="00BA3CCF"/>
    <w:rsid w:val="00BB646B"/>
    <w:rsid w:val="00BB6BA0"/>
    <w:rsid w:val="00BD4759"/>
    <w:rsid w:val="00BD7C4F"/>
    <w:rsid w:val="00BF655A"/>
    <w:rsid w:val="00C009BB"/>
    <w:rsid w:val="00C015C4"/>
    <w:rsid w:val="00C06B46"/>
    <w:rsid w:val="00C24C8A"/>
    <w:rsid w:val="00C274F5"/>
    <w:rsid w:val="00C27EF5"/>
    <w:rsid w:val="00C30443"/>
    <w:rsid w:val="00C33133"/>
    <w:rsid w:val="00C36003"/>
    <w:rsid w:val="00C43B9A"/>
    <w:rsid w:val="00C460C3"/>
    <w:rsid w:val="00C50A4A"/>
    <w:rsid w:val="00C546A1"/>
    <w:rsid w:val="00C67536"/>
    <w:rsid w:val="00C677D2"/>
    <w:rsid w:val="00C70177"/>
    <w:rsid w:val="00C726BA"/>
    <w:rsid w:val="00C72A1C"/>
    <w:rsid w:val="00C76E9A"/>
    <w:rsid w:val="00C8085A"/>
    <w:rsid w:val="00C80B5E"/>
    <w:rsid w:val="00C82581"/>
    <w:rsid w:val="00C85A92"/>
    <w:rsid w:val="00C92C3D"/>
    <w:rsid w:val="00CA0B5A"/>
    <w:rsid w:val="00CA4076"/>
    <w:rsid w:val="00CA436A"/>
    <w:rsid w:val="00CA6E99"/>
    <w:rsid w:val="00CC5D8B"/>
    <w:rsid w:val="00CC5FA5"/>
    <w:rsid w:val="00CC6DDB"/>
    <w:rsid w:val="00CD30FB"/>
    <w:rsid w:val="00CD4DA1"/>
    <w:rsid w:val="00CD5688"/>
    <w:rsid w:val="00CE011A"/>
    <w:rsid w:val="00CE4DDA"/>
    <w:rsid w:val="00CF77BE"/>
    <w:rsid w:val="00D06207"/>
    <w:rsid w:val="00D078BC"/>
    <w:rsid w:val="00D126A3"/>
    <w:rsid w:val="00D27F02"/>
    <w:rsid w:val="00D375D8"/>
    <w:rsid w:val="00D453F1"/>
    <w:rsid w:val="00D52BD8"/>
    <w:rsid w:val="00D54C68"/>
    <w:rsid w:val="00D67FF0"/>
    <w:rsid w:val="00D7263B"/>
    <w:rsid w:val="00D82683"/>
    <w:rsid w:val="00D97606"/>
    <w:rsid w:val="00DA3B22"/>
    <w:rsid w:val="00DB0475"/>
    <w:rsid w:val="00DB53DB"/>
    <w:rsid w:val="00DC6EA5"/>
    <w:rsid w:val="00DD6710"/>
    <w:rsid w:val="00DE2C6D"/>
    <w:rsid w:val="00DE3271"/>
    <w:rsid w:val="00DF04C1"/>
    <w:rsid w:val="00DF43B1"/>
    <w:rsid w:val="00E108AC"/>
    <w:rsid w:val="00E2603C"/>
    <w:rsid w:val="00E40BAD"/>
    <w:rsid w:val="00E438DE"/>
    <w:rsid w:val="00E4714F"/>
    <w:rsid w:val="00E52EDB"/>
    <w:rsid w:val="00E53B7B"/>
    <w:rsid w:val="00E644BB"/>
    <w:rsid w:val="00E646ED"/>
    <w:rsid w:val="00E67996"/>
    <w:rsid w:val="00E71BD1"/>
    <w:rsid w:val="00E90349"/>
    <w:rsid w:val="00E94CE3"/>
    <w:rsid w:val="00E972AD"/>
    <w:rsid w:val="00EA0DEB"/>
    <w:rsid w:val="00EA457E"/>
    <w:rsid w:val="00EA52A7"/>
    <w:rsid w:val="00EB37E5"/>
    <w:rsid w:val="00EC3C05"/>
    <w:rsid w:val="00ED0E12"/>
    <w:rsid w:val="00ED30D7"/>
    <w:rsid w:val="00ED31F0"/>
    <w:rsid w:val="00ED3456"/>
    <w:rsid w:val="00ED564A"/>
    <w:rsid w:val="00EE53D9"/>
    <w:rsid w:val="00EF3489"/>
    <w:rsid w:val="00F01428"/>
    <w:rsid w:val="00F050E9"/>
    <w:rsid w:val="00F130C4"/>
    <w:rsid w:val="00F2435E"/>
    <w:rsid w:val="00F2741E"/>
    <w:rsid w:val="00F326F4"/>
    <w:rsid w:val="00F32D29"/>
    <w:rsid w:val="00F35D0C"/>
    <w:rsid w:val="00F41A07"/>
    <w:rsid w:val="00F45C55"/>
    <w:rsid w:val="00F521C2"/>
    <w:rsid w:val="00F56529"/>
    <w:rsid w:val="00F62D0B"/>
    <w:rsid w:val="00F71E9A"/>
    <w:rsid w:val="00F77F86"/>
    <w:rsid w:val="00F83480"/>
    <w:rsid w:val="00F8770C"/>
    <w:rsid w:val="00F9428A"/>
    <w:rsid w:val="00F96B6E"/>
    <w:rsid w:val="00FA2511"/>
    <w:rsid w:val="00FC7049"/>
    <w:rsid w:val="00FD052E"/>
    <w:rsid w:val="00FD17D7"/>
    <w:rsid w:val="00FD2377"/>
    <w:rsid w:val="00FD7507"/>
    <w:rsid w:val="00FF0548"/>
    <w:rsid w:val="00FF1A65"/>
    <w:rsid w:val="00FF7C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9D674"/>
  <w15:docId w15:val="{BEF13AAC-DF28-46E9-813D-8048A1E2E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204"/>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1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1204"/>
    <w:rPr>
      <w:rFonts w:ascii="Tahoma" w:eastAsiaTheme="minorEastAsia" w:hAnsi="Tahoma" w:cs="Tahoma"/>
      <w:sz w:val="16"/>
      <w:szCs w:val="16"/>
      <w:lang w:eastAsia="en-GB"/>
    </w:rPr>
  </w:style>
  <w:style w:type="table" w:styleId="TableGrid">
    <w:name w:val="Table Grid"/>
    <w:basedOn w:val="TableNormal"/>
    <w:uiPriority w:val="39"/>
    <w:rsid w:val="001A7DE6"/>
    <w:pPr>
      <w:spacing w:after="0" w:line="240" w:lineRule="auto"/>
    </w:pPr>
    <w:rPr>
      <w:rFonts w:eastAsiaTheme="minorEastAsia"/>
      <w:lang w:eastAsia="en-GB" w:bidi="as-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987773">
      <w:bodyDiv w:val="1"/>
      <w:marLeft w:val="0"/>
      <w:marRight w:val="0"/>
      <w:marTop w:val="0"/>
      <w:marBottom w:val="0"/>
      <w:divBdr>
        <w:top w:val="none" w:sz="0" w:space="0" w:color="auto"/>
        <w:left w:val="none" w:sz="0" w:space="0" w:color="auto"/>
        <w:bottom w:val="none" w:sz="0" w:space="0" w:color="auto"/>
        <w:right w:val="none" w:sz="0" w:space="0" w:color="auto"/>
      </w:divBdr>
    </w:div>
    <w:div w:id="542717387">
      <w:bodyDiv w:val="1"/>
      <w:marLeft w:val="0"/>
      <w:marRight w:val="0"/>
      <w:marTop w:val="0"/>
      <w:marBottom w:val="0"/>
      <w:divBdr>
        <w:top w:val="none" w:sz="0" w:space="0" w:color="auto"/>
        <w:left w:val="none" w:sz="0" w:space="0" w:color="auto"/>
        <w:bottom w:val="none" w:sz="0" w:space="0" w:color="auto"/>
        <w:right w:val="none" w:sz="0" w:space="0" w:color="auto"/>
      </w:divBdr>
    </w:div>
    <w:div w:id="1054816967">
      <w:bodyDiv w:val="1"/>
      <w:marLeft w:val="0"/>
      <w:marRight w:val="0"/>
      <w:marTop w:val="0"/>
      <w:marBottom w:val="0"/>
      <w:divBdr>
        <w:top w:val="none" w:sz="0" w:space="0" w:color="auto"/>
        <w:left w:val="none" w:sz="0" w:space="0" w:color="auto"/>
        <w:bottom w:val="none" w:sz="0" w:space="0" w:color="auto"/>
        <w:right w:val="none" w:sz="0" w:space="0" w:color="auto"/>
      </w:divBdr>
    </w:div>
    <w:div w:id="1369186339">
      <w:bodyDiv w:val="1"/>
      <w:marLeft w:val="0"/>
      <w:marRight w:val="0"/>
      <w:marTop w:val="0"/>
      <w:marBottom w:val="0"/>
      <w:divBdr>
        <w:top w:val="none" w:sz="0" w:space="0" w:color="auto"/>
        <w:left w:val="none" w:sz="0" w:space="0" w:color="auto"/>
        <w:bottom w:val="none" w:sz="0" w:space="0" w:color="auto"/>
        <w:right w:val="none" w:sz="0" w:space="0" w:color="auto"/>
      </w:divBdr>
    </w:div>
    <w:div w:id="1378895729">
      <w:bodyDiv w:val="1"/>
      <w:marLeft w:val="0"/>
      <w:marRight w:val="0"/>
      <w:marTop w:val="0"/>
      <w:marBottom w:val="0"/>
      <w:divBdr>
        <w:top w:val="none" w:sz="0" w:space="0" w:color="auto"/>
        <w:left w:val="none" w:sz="0" w:space="0" w:color="auto"/>
        <w:bottom w:val="none" w:sz="0" w:space="0" w:color="auto"/>
        <w:right w:val="none" w:sz="0" w:space="0" w:color="auto"/>
      </w:divBdr>
    </w:div>
    <w:div w:id="199132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5857</Words>
  <Characters>33386</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Owen Kavanagh</cp:lastModifiedBy>
  <cp:revision>24</cp:revision>
  <dcterms:created xsi:type="dcterms:W3CDTF">2021-01-23T13:49:00Z</dcterms:created>
  <dcterms:modified xsi:type="dcterms:W3CDTF">2021-05-25T09:39:00Z</dcterms:modified>
</cp:coreProperties>
</file>