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B2B" w:rsidRPr="000843CC" w:rsidRDefault="003A5B2B" w:rsidP="003A5B2B">
      <w:pPr>
        <w:jc w:val="center"/>
        <w:rPr>
          <w:b/>
          <w:sz w:val="24"/>
          <w:szCs w:val="24"/>
          <w:lang w:val="en-IE"/>
        </w:rPr>
      </w:pPr>
      <w:r w:rsidRPr="000843CC">
        <w:rPr>
          <w:b/>
          <w:sz w:val="32"/>
          <w:szCs w:val="24"/>
          <w:lang w:val="en-IE"/>
        </w:rPr>
        <w:t>Title page</w:t>
      </w:r>
    </w:p>
    <w:p w:rsidR="003A5B2B" w:rsidRPr="0008730F" w:rsidRDefault="003A5B2B" w:rsidP="003A5B2B">
      <w:pPr>
        <w:jc w:val="center"/>
        <w:rPr>
          <w:b/>
          <w:color w:val="FF0000"/>
          <w:sz w:val="24"/>
          <w:szCs w:val="24"/>
          <w:lang w:val="en-IE"/>
        </w:rPr>
      </w:pPr>
    </w:p>
    <w:p w:rsidR="003A5B2B" w:rsidRPr="0008730F" w:rsidRDefault="003A5B2B" w:rsidP="003A5B2B">
      <w:pPr>
        <w:spacing w:line="480" w:lineRule="auto"/>
        <w:rPr>
          <w:sz w:val="24"/>
          <w:szCs w:val="24"/>
          <w:lang w:val="en-IE"/>
        </w:rPr>
      </w:pPr>
      <w:r w:rsidRPr="0008730F">
        <w:rPr>
          <w:sz w:val="24"/>
          <w:szCs w:val="24"/>
          <w:lang w:val="en-IE"/>
        </w:rPr>
        <w:t>One-year mortality prediction in elderly pa</w:t>
      </w:r>
      <w:r>
        <w:rPr>
          <w:sz w:val="24"/>
          <w:szCs w:val="24"/>
          <w:lang w:val="en-IE"/>
        </w:rPr>
        <w:t>tients with suspected pneumonia</w:t>
      </w:r>
      <w:r w:rsidRPr="0008730F">
        <w:rPr>
          <w:sz w:val="24"/>
          <w:szCs w:val="24"/>
          <w:lang w:val="en-IE"/>
        </w:rPr>
        <w:t>: the usefulness of a holistic approa</w:t>
      </w:r>
      <w:r>
        <w:rPr>
          <w:sz w:val="24"/>
          <w:szCs w:val="24"/>
          <w:lang w:val="en-IE"/>
        </w:rPr>
        <w:t>ch</w:t>
      </w:r>
    </w:p>
    <w:p w:rsidR="003A5B2B" w:rsidRPr="0008730F" w:rsidRDefault="003A5B2B" w:rsidP="003A5B2B">
      <w:pPr>
        <w:spacing w:line="480" w:lineRule="auto"/>
        <w:rPr>
          <w:sz w:val="24"/>
          <w:szCs w:val="24"/>
          <w:lang w:val="en-IE"/>
        </w:rPr>
      </w:pPr>
    </w:p>
    <w:p w:rsidR="003A5B2B" w:rsidRPr="0008730F" w:rsidRDefault="003A5B2B" w:rsidP="003A5B2B">
      <w:pPr>
        <w:spacing w:line="480" w:lineRule="auto"/>
        <w:rPr>
          <w:sz w:val="24"/>
          <w:szCs w:val="24"/>
          <w:lang w:val="en-IE"/>
        </w:rPr>
      </w:pPr>
      <w:r w:rsidRPr="0008730F">
        <w:rPr>
          <w:sz w:val="24"/>
          <w:szCs w:val="24"/>
          <w:lang w:val="en-IE"/>
        </w:rPr>
        <w:t>Alberto Nascè</w:t>
      </w:r>
      <w:r w:rsidRPr="0008730F">
        <w:rPr>
          <w:sz w:val="24"/>
          <w:szCs w:val="24"/>
          <w:vertAlign w:val="superscript"/>
          <w:lang w:val="en-IE"/>
        </w:rPr>
        <w:t>§</w:t>
      </w:r>
      <w:r w:rsidRPr="0008730F">
        <w:rPr>
          <w:sz w:val="24"/>
          <w:szCs w:val="24"/>
          <w:lang w:val="en-IE"/>
        </w:rPr>
        <w:t xml:space="preserve"> MD</w:t>
      </w:r>
      <w:r w:rsidRPr="0008730F">
        <w:rPr>
          <w:sz w:val="24"/>
          <w:szCs w:val="24"/>
          <w:vertAlign w:val="superscript"/>
          <w:lang w:val="en-IE"/>
        </w:rPr>
        <w:t>1</w:t>
      </w:r>
      <w:r w:rsidRPr="0008730F">
        <w:rPr>
          <w:sz w:val="24"/>
          <w:szCs w:val="24"/>
          <w:lang w:val="en-IE"/>
        </w:rPr>
        <w:t>, Astrid Malézieux-Picard</w:t>
      </w:r>
      <w:r w:rsidRPr="0008730F">
        <w:rPr>
          <w:sz w:val="24"/>
          <w:szCs w:val="24"/>
          <w:vertAlign w:val="superscript"/>
          <w:lang w:val="en-IE"/>
        </w:rPr>
        <w:t>§</w:t>
      </w:r>
      <w:r w:rsidRPr="0008730F">
        <w:rPr>
          <w:sz w:val="24"/>
          <w:szCs w:val="24"/>
          <w:lang w:val="en-IE"/>
        </w:rPr>
        <w:t xml:space="preserve"> MD</w:t>
      </w:r>
      <w:r w:rsidRPr="0008730F">
        <w:rPr>
          <w:sz w:val="24"/>
          <w:szCs w:val="24"/>
          <w:vertAlign w:val="superscript"/>
          <w:lang w:val="en-IE"/>
        </w:rPr>
        <w:t>1</w:t>
      </w:r>
      <w:r w:rsidRPr="0008730F">
        <w:rPr>
          <w:sz w:val="24"/>
          <w:szCs w:val="24"/>
          <w:lang w:val="en-IE"/>
        </w:rPr>
        <w:t>, Landry Hakiza MD</w:t>
      </w:r>
      <w:r w:rsidRPr="0008730F">
        <w:rPr>
          <w:sz w:val="24"/>
          <w:szCs w:val="24"/>
          <w:vertAlign w:val="superscript"/>
          <w:lang w:val="en-IE"/>
        </w:rPr>
        <w:t>1</w:t>
      </w:r>
      <w:r w:rsidRPr="0008730F">
        <w:rPr>
          <w:sz w:val="24"/>
          <w:szCs w:val="24"/>
          <w:lang w:val="en-IE"/>
        </w:rPr>
        <w:t>, Thomas Fassier MD, PhD</w:t>
      </w:r>
      <w:r w:rsidRPr="0008730F">
        <w:rPr>
          <w:sz w:val="24"/>
          <w:szCs w:val="24"/>
          <w:vertAlign w:val="superscript"/>
          <w:lang w:val="en-IE"/>
        </w:rPr>
        <w:t>1</w:t>
      </w:r>
      <w:r w:rsidRPr="0008730F">
        <w:rPr>
          <w:sz w:val="24"/>
          <w:szCs w:val="24"/>
          <w:lang w:val="en-IE"/>
        </w:rPr>
        <w:t>, Dina Zekry MD, PhD</w:t>
      </w:r>
      <w:r w:rsidRPr="0008730F">
        <w:rPr>
          <w:sz w:val="24"/>
          <w:szCs w:val="24"/>
          <w:vertAlign w:val="superscript"/>
          <w:lang w:val="en-IE"/>
        </w:rPr>
        <w:t>1</w:t>
      </w:r>
      <w:r w:rsidRPr="0008730F">
        <w:rPr>
          <w:sz w:val="24"/>
          <w:szCs w:val="24"/>
          <w:lang w:val="en-IE"/>
        </w:rPr>
        <w:t>, Nicolas Garin MD</w:t>
      </w:r>
      <w:r w:rsidRPr="0008730F">
        <w:rPr>
          <w:sz w:val="24"/>
          <w:szCs w:val="24"/>
          <w:vertAlign w:val="superscript"/>
          <w:lang w:val="en-IE"/>
        </w:rPr>
        <w:t>2,3</w:t>
      </w:r>
      <w:r w:rsidRPr="0008730F">
        <w:rPr>
          <w:sz w:val="24"/>
          <w:szCs w:val="24"/>
          <w:lang w:val="en-IE"/>
        </w:rPr>
        <w:t>, Jérôme Stirnemann MD PhD</w:t>
      </w:r>
      <w:r w:rsidRPr="0008730F">
        <w:rPr>
          <w:sz w:val="24"/>
          <w:szCs w:val="24"/>
          <w:vertAlign w:val="superscript"/>
          <w:lang w:val="en-IE"/>
        </w:rPr>
        <w:t>3</w:t>
      </w:r>
      <w:r w:rsidRPr="0008730F">
        <w:rPr>
          <w:sz w:val="24"/>
          <w:szCs w:val="24"/>
          <w:lang w:val="en-IE"/>
        </w:rPr>
        <w:t>, Virginie Prendki* MD</w:t>
      </w:r>
      <w:r w:rsidRPr="0008730F">
        <w:rPr>
          <w:sz w:val="24"/>
          <w:szCs w:val="24"/>
          <w:vertAlign w:val="superscript"/>
          <w:lang w:val="en-IE"/>
        </w:rPr>
        <w:t>1,4</w:t>
      </w:r>
      <w:r w:rsidRPr="0008730F">
        <w:rPr>
          <w:sz w:val="24"/>
          <w:szCs w:val="24"/>
          <w:lang w:val="en-IE"/>
        </w:rPr>
        <w:t>, Xavier Roux* MD</w:t>
      </w:r>
      <w:r w:rsidRPr="0008730F">
        <w:rPr>
          <w:sz w:val="24"/>
          <w:szCs w:val="24"/>
          <w:vertAlign w:val="superscript"/>
          <w:lang w:val="en-IE"/>
        </w:rPr>
        <w:t xml:space="preserve">1,5 </w:t>
      </w:r>
    </w:p>
    <w:p w:rsidR="003A5B2B" w:rsidRPr="0008730F" w:rsidRDefault="003A5B2B" w:rsidP="003A5B2B">
      <w:pPr>
        <w:spacing w:line="480" w:lineRule="auto"/>
        <w:rPr>
          <w:sz w:val="24"/>
          <w:szCs w:val="24"/>
          <w:lang w:val="en-IE"/>
        </w:rPr>
      </w:pPr>
    </w:p>
    <w:p w:rsidR="003A5B2B" w:rsidRPr="0008730F" w:rsidRDefault="003A5B2B" w:rsidP="003A5B2B">
      <w:pPr>
        <w:pStyle w:val="Paragraphedeliste"/>
        <w:numPr>
          <w:ilvl w:val="0"/>
          <w:numId w:val="1"/>
        </w:numPr>
        <w:spacing w:after="160" w:line="480" w:lineRule="auto"/>
        <w:jc w:val="both"/>
        <w:rPr>
          <w:sz w:val="24"/>
          <w:szCs w:val="24"/>
          <w:lang w:val="en-IE"/>
        </w:rPr>
      </w:pPr>
      <w:r w:rsidRPr="0008730F">
        <w:rPr>
          <w:sz w:val="24"/>
          <w:szCs w:val="24"/>
          <w:lang w:val="en-IE"/>
        </w:rPr>
        <w:t xml:space="preserve">Division of Internal Medicine for the Aged, Department of Rehabilitation and Geriatrics, Geneva University Hospitals, </w:t>
      </w:r>
      <w:r w:rsidRPr="0008730F">
        <w:rPr>
          <w:rStyle w:val="lrzxr"/>
          <w:sz w:val="24"/>
          <w:szCs w:val="24"/>
          <w:lang w:val="en-IE"/>
        </w:rPr>
        <w:t xml:space="preserve">Chemin du Pont-Bochet 3, 1226 Thônex, </w:t>
      </w:r>
      <w:r w:rsidRPr="0008730F">
        <w:rPr>
          <w:sz w:val="24"/>
          <w:szCs w:val="24"/>
          <w:lang w:val="en-IE"/>
        </w:rPr>
        <w:t>Switzerland</w:t>
      </w:r>
    </w:p>
    <w:p w:rsidR="003A5B2B" w:rsidRPr="0008730F" w:rsidRDefault="003A5B2B" w:rsidP="003A5B2B">
      <w:pPr>
        <w:pStyle w:val="Paragraphedeliste"/>
        <w:numPr>
          <w:ilvl w:val="0"/>
          <w:numId w:val="1"/>
        </w:numPr>
        <w:spacing w:after="160" w:line="480" w:lineRule="auto"/>
        <w:jc w:val="both"/>
        <w:rPr>
          <w:rStyle w:val="lrzxr"/>
          <w:sz w:val="24"/>
          <w:szCs w:val="24"/>
          <w:lang w:val="en-IE"/>
        </w:rPr>
      </w:pPr>
      <w:r w:rsidRPr="0008730F">
        <w:rPr>
          <w:sz w:val="24"/>
          <w:szCs w:val="24"/>
          <w:lang w:val="en-IE"/>
        </w:rPr>
        <w:t>Department of General Internal Medicine, Riviera Chablais Hospitals, Route du Vieux-Séquoïa 20, 1847 Rennaz, Switzerland</w:t>
      </w:r>
    </w:p>
    <w:p w:rsidR="003A5B2B" w:rsidRPr="0008730F" w:rsidRDefault="003A5B2B" w:rsidP="003A5B2B">
      <w:pPr>
        <w:pStyle w:val="Paragraphedeliste"/>
        <w:numPr>
          <w:ilvl w:val="0"/>
          <w:numId w:val="1"/>
        </w:numPr>
        <w:spacing w:line="480" w:lineRule="auto"/>
        <w:rPr>
          <w:sz w:val="24"/>
          <w:szCs w:val="24"/>
          <w:lang w:val="en-IE"/>
        </w:rPr>
      </w:pPr>
      <w:r w:rsidRPr="0008730F">
        <w:rPr>
          <w:sz w:val="24"/>
          <w:szCs w:val="24"/>
          <w:lang w:val="en-IE"/>
        </w:rPr>
        <w:t>Division of General Internal Medicine, Department of Internal Medicine, Rehabilitation and Geriatrics, Geneva University Hospitals, Rue Gabrielle-Perret-Gentil 4, 1205 Genève, Switzerland</w:t>
      </w:r>
    </w:p>
    <w:p w:rsidR="003A5B2B" w:rsidRPr="0008730F" w:rsidRDefault="003A5B2B" w:rsidP="003A5B2B">
      <w:pPr>
        <w:pStyle w:val="Paragraphedeliste"/>
        <w:numPr>
          <w:ilvl w:val="0"/>
          <w:numId w:val="1"/>
        </w:numPr>
        <w:spacing w:line="480" w:lineRule="auto"/>
        <w:rPr>
          <w:sz w:val="24"/>
          <w:szCs w:val="24"/>
          <w:lang w:val="en-IE"/>
        </w:rPr>
      </w:pPr>
      <w:r w:rsidRPr="0008730F">
        <w:rPr>
          <w:sz w:val="24"/>
          <w:szCs w:val="24"/>
          <w:lang w:val="en-IE"/>
        </w:rPr>
        <w:t>Division of Infectious Diseases, University Hospitals of Geneva, Switzerland</w:t>
      </w:r>
    </w:p>
    <w:p w:rsidR="003A5B2B" w:rsidRPr="0008730F" w:rsidRDefault="003A5B2B" w:rsidP="003A5B2B">
      <w:pPr>
        <w:pStyle w:val="Paragraphedeliste"/>
        <w:numPr>
          <w:ilvl w:val="0"/>
          <w:numId w:val="1"/>
        </w:numPr>
        <w:spacing w:after="160" w:line="480" w:lineRule="auto"/>
        <w:jc w:val="both"/>
        <w:rPr>
          <w:sz w:val="24"/>
          <w:szCs w:val="24"/>
          <w:lang w:val="en-IE"/>
        </w:rPr>
      </w:pPr>
      <w:r w:rsidRPr="0008730F">
        <w:rPr>
          <w:sz w:val="24"/>
          <w:szCs w:val="24"/>
          <w:lang w:val="en-IE"/>
        </w:rPr>
        <w:t>Division of Intensive Care Unit, University Hospitals of Geneva, Switzerland</w:t>
      </w:r>
    </w:p>
    <w:p w:rsidR="003A5B2B" w:rsidRPr="0008730F" w:rsidRDefault="003A5B2B" w:rsidP="003A5B2B">
      <w:pPr>
        <w:spacing w:after="160" w:line="480" w:lineRule="auto"/>
        <w:jc w:val="both"/>
        <w:rPr>
          <w:sz w:val="24"/>
          <w:szCs w:val="24"/>
          <w:lang w:val="en-IE"/>
        </w:rPr>
      </w:pPr>
      <w:r w:rsidRPr="0008730F">
        <w:rPr>
          <w:sz w:val="24"/>
          <w:szCs w:val="24"/>
          <w:vertAlign w:val="superscript"/>
          <w:lang w:val="en-IE"/>
        </w:rPr>
        <w:t xml:space="preserve">§ </w:t>
      </w:r>
      <w:r w:rsidRPr="0008730F">
        <w:rPr>
          <w:sz w:val="24"/>
          <w:szCs w:val="24"/>
          <w:lang w:val="en-IE"/>
        </w:rPr>
        <w:t>Alberto Nascè and Astrid Malézieux-Picard contributed equally to this work.</w:t>
      </w:r>
    </w:p>
    <w:p w:rsidR="003A5B2B" w:rsidRPr="0008730F" w:rsidRDefault="003A5B2B" w:rsidP="003A5B2B">
      <w:pPr>
        <w:spacing w:after="160" w:line="480" w:lineRule="auto"/>
        <w:jc w:val="both"/>
        <w:rPr>
          <w:sz w:val="24"/>
          <w:szCs w:val="24"/>
          <w:lang w:val="en-IE"/>
        </w:rPr>
      </w:pPr>
      <w:r w:rsidRPr="0008730F">
        <w:rPr>
          <w:sz w:val="24"/>
          <w:szCs w:val="24"/>
          <w:lang w:val="en-IE"/>
        </w:rPr>
        <w:t>* Virginie Prendki and Xavier Roux contributed equally to this work</w:t>
      </w:r>
      <w:r>
        <w:rPr>
          <w:sz w:val="24"/>
          <w:szCs w:val="24"/>
          <w:lang w:val="en-IE"/>
        </w:rPr>
        <w:t>. On behalf of PneumOldCT group</w:t>
      </w:r>
    </w:p>
    <w:p w:rsidR="003A5B2B" w:rsidRPr="0008730F" w:rsidRDefault="003A5B2B" w:rsidP="003A5B2B">
      <w:pPr>
        <w:spacing w:line="480" w:lineRule="auto"/>
        <w:rPr>
          <w:sz w:val="24"/>
          <w:szCs w:val="24"/>
          <w:lang w:val="en-IE"/>
        </w:rPr>
      </w:pPr>
      <w:r w:rsidRPr="0008730F">
        <w:rPr>
          <w:sz w:val="24"/>
          <w:szCs w:val="24"/>
          <w:lang w:val="en-IE"/>
        </w:rPr>
        <w:br w:type="page"/>
      </w:r>
    </w:p>
    <w:p w:rsidR="003A5B2B" w:rsidRPr="000843CC" w:rsidRDefault="003A5B2B" w:rsidP="003A5B2B">
      <w:pPr>
        <w:spacing w:line="480" w:lineRule="auto"/>
        <w:rPr>
          <w:b/>
          <w:sz w:val="24"/>
          <w:szCs w:val="24"/>
          <w:lang w:val="en-IE"/>
        </w:rPr>
      </w:pPr>
      <w:r w:rsidRPr="000843CC">
        <w:rPr>
          <w:b/>
          <w:sz w:val="24"/>
          <w:szCs w:val="24"/>
          <w:lang w:val="en-IE"/>
        </w:rPr>
        <w:lastRenderedPageBreak/>
        <w:t xml:space="preserve">Corresponding author: </w:t>
      </w:r>
    </w:p>
    <w:p w:rsidR="003A5B2B" w:rsidRPr="0008730F" w:rsidRDefault="003A5B2B" w:rsidP="003A5B2B">
      <w:pPr>
        <w:spacing w:line="480" w:lineRule="auto"/>
        <w:rPr>
          <w:sz w:val="24"/>
          <w:szCs w:val="24"/>
          <w:lang w:val="en-IE"/>
        </w:rPr>
      </w:pPr>
      <w:r>
        <w:rPr>
          <w:sz w:val="24"/>
          <w:szCs w:val="24"/>
          <w:lang w:val="en-IE"/>
        </w:rPr>
        <w:t>Xavier Roux</w:t>
      </w:r>
      <w:r w:rsidRPr="0008730F">
        <w:rPr>
          <w:sz w:val="24"/>
          <w:szCs w:val="24"/>
          <w:lang w:val="en-IE"/>
        </w:rPr>
        <w:t xml:space="preserve"> (</w:t>
      </w:r>
      <w:hyperlink r:id="rId7" w:history="1">
        <w:r w:rsidRPr="00F15757">
          <w:rPr>
            <w:rStyle w:val="Lienhypertexte"/>
            <w:sz w:val="24"/>
            <w:szCs w:val="24"/>
            <w:lang w:val="en-IE"/>
          </w:rPr>
          <w:t>xavier.roux@hcuge.ch</w:t>
        </w:r>
      </w:hyperlink>
      <w:r>
        <w:rPr>
          <w:rStyle w:val="Lienhypertexte"/>
          <w:sz w:val="24"/>
          <w:szCs w:val="24"/>
          <w:lang w:val="en-IE"/>
        </w:rPr>
        <w:t>)</w:t>
      </w:r>
      <w:r w:rsidRPr="0008730F">
        <w:rPr>
          <w:sz w:val="24"/>
          <w:szCs w:val="24"/>
          <w:lang w:val="en-IE"/>
        </w:rPr>
        <w:t>; +41</w:t>
      </w:r>
      <w:r>
        <w:rPr>
          <w:sz w:val="24"/>
          <w:szCs w:val="24"/>
          <w:lang w:val="en-IE"/>
        </w:rPr>
        <w:t xml:space="preserve"> </w:t>
      </w:r>
      <w:r w:rsidRPr="0008730F">
        <w:rPr>
          <w:sz w:val="24"/>
          <w:szCs w:val="24"/>
          <w:lang w:val="en-IE"/>
        </w:rPr>
        <w:t>79</w:t>
      </w:r>
      <w:r>
        <w:rPr>
          <w:sz w:val="24"/>
          <w:szCs w:val="24"/>
          <w:lang w:val="en-IE"/>
        </w:rPr>
        <w:t xml:space="preserve"> </w:t>
      </w:r>
      <w:r w:rsidRPr="0008730F">
        <w:rPr>
          <w:sz w:val="24"/>
          <w:szCs w:val="24"/>
          <w:lang w:val="en-IE"/>
        </w:rPr>
        <w:t>55</w:t>
      </w:r>
      <w:r>
        <w:rPr>
          <w:sz w:val="24"/>
          <w:szCs w:val="24"/>
          <w:lang w:val="en-IE"/>
        </w:rPr>
        <w:t xml:space="preserve"> 30741</w:t>
      </w:r>
      <w:r w:rsidRPr="0008730F">
        <w:rPr>
          <w:sz w:val="24"/>
          <w:szCs w:val="24"/>
          <w:lang w:val="en-IE"/>
        </w:rPr>
        <w:t xml:space="preserve">; Division of Internal Medicine for the Aged, Department of Rehabilitation and Geriatrics, Geneva University Hospitals, </w:t>
      </w:r>
      <w:r w:rsidRPr="0008730F">
        <w:rPr>
          <w:rStyle w:val="lrzxr"/>
          <w:sz w:val="24"/>
          <w:szCs w:val="24"/>
          <w:lang w:val="en-IE"/>
        </w:rPr>
        <w:t xml:space="preserve">Chemin du Pont-Bochet 3, 1226 Thônex, </w:t>
      </w:r>
      <w:r w:rsidRPr="0008730F">
        <w:rPr>
          <w:sz w:val="24"/>
          <w:szCs w:val="24"/>
          <w:lang w:val="en-IE"/>
        </w:rPr>
        <w:t>Switzerland).</w:t>
      </w:r>
    </w:p>
    <w:p w:rsidR="003A5B2B" w:rsidRPr="0008730F" w:rsidRDefault="003A5B2B" w:rsidP="003A5B2B">
      <w:pPr>
        <w:spacing w:line="480" w:lineRule="auto"/>
        <w:rPr>
          <w:sz w:val="24"/>
          <w:szCs w:val="24"/>
          <w:lang w:val="en-IE"/>
        </w:rPr>
      </w:pPr>
    </w:p>
    <w:p w:rsidR="003A5B2B" w:rsidRPr="0008730F" w:rsidRDefault="003A5B2B" w:rsidP="003A5B2B">
      <w:pPr>
        <w:spacing w:line="480" w:lineRule="auto"/>
        <w:rPr>
          <w:sz w:val="24"/>
          <w:szCs w:val="24"/>
          <w:lang w:val="en-IE"/>
        </w:rPr>
      </w:pPr>
    </w:p>
    <w:p w:rsidR="003A5B2B" w:rsidRDefault="003A5B2B">
      <w:pPr>
        <w:spacing w:after="160" w:line="259" w:lineRule="auto"/>
        <w:rPr>
          <w:sz w:val="24"/>
          <w:szCs w:val="24"/>
          <w:lang w:val="en-IE"/>
        </w:rPr>
      </w:pPr>
      <w:r>
        <w:rPr>
          <w:sz w:val="24"/>
          <w:szCs w:val="24"/>
          <w:lang w:val="en-IE"/>
        </w:rPr>
        <w:br w:type="page"/>
      </w:r>
    </w:p>
    <w:p w:rsidR="00FB5828" w:rsidRPr="00F42D44" w:rsidRDefault="00FB5828" w:rsidP="00FB5828">
      <w:pPr>
        <w:spacing w:line="480" w:lineRule="auto"/>
        <w:rPr>
          <w:b/>
          <w:sz w:val="24"/>
          <w:szCs w:val="24"/>
          <w:lang w:val="en-IE"/>
        </w:rPr>
      </w:pPr>
      <w:bookmarkStart w:id="0" w:name="_GoBack"/>
      <w:bookmarkEnd w:id="0"/>
      <w:r w:rsidRPr="00F42D44">
        <w:rPr>
          <w:b/>
          <w:sz w:val="24"/>
          <w:szCs w:val="24"/>
          <w:lang w:val="en-IE"/>
        </w:rPr>
        <w:lastRenderedPageBreak/>
        <w:t>Appendix</w:t>
      </w:r>
    </w:p>
    <w:p w:rsidR="00FB5828" w:rsidRPr="001A0560" w:rsidRDefault="00FB5828" w:rsidP="00FB5828">
      <w:pPr>
        <w:spacing w:line="480" w:lineRule="auto"/>
        <w:jc w:val="center"/>
        <w:rPr>
          <w:color w:val="FF0000"/>
          <w:sz w:val="24"/>
          <w:szCs w:val="24"/>
          <w:lang w:val="en-IE"/>
        </w:rPr>
      </w:pPr>
    </w:p>
    <w:p w:rsidR="00FB5828" w:rsidRPr="001A0560" w:rsidRDefault="00FB5828" w:rsidP="00FB5828">
      <w:pPr>
        <w:spacing w:line="480" w:lineRule="auto"/>
        <w:jc w:val="both"/>
        <w:rPr>
          <w:i/>
          <w:sz w:val="24"/>
          <w:szCs w:val="24"/>
          <w:lang w:val="en-IE"/>
        </w:rPr>
      </w:pPr>
      <w:r w:rsidRPr="001A0560">
        <w:rPr>
          <w:i/>
          <w:sz w:val="24"/>
          <w:szCs w:val="24"/>
          <w:lang w:val="en-IE"/>
        </w:rPr>
        <w:t>SCORES DESCRIPTION</w:t>
      </w:r>
    </w:p>
    <w:p w:rsidR="00FB5828" w:rsidRPr="001A0560" w:rsidRDefault="00FB5828" w:rsidP="00FB5828">
      <w:pPr>
        <w:spacing w:line="480" w:lineRule="auto"/>
        <w:jc w:val="both"/>
        <w:rPr>
          <w:b/>
          <w:i/>
          <w:sz w:val="24"/>
          <w:szCs w:val="24"/>
          <w:lang w:val="en-IE"/>
        </w:rPr>
      </w:pPr>
    </w:p>
    <w:p w:rsidR="00FB5828" w:rsidRPr="001A0560" w:rsidRDefault="00FB5828" w:rsidP="00FB5828">
      <w:pPr>
        <w:spacing w:line="480" w:lineRule="auto"/>
        <w:jc w:val="both"/>
        <w:rPr>
          <w:sz w:val="24"/>
          <w:szCs w:val="24"/>
          <w:lang w:val="en-IE"/>
        </w:rPr>
      </w:pPr>
      <w:r w:rsidRPr="001A0560">
        <w:rPr>
          <w:sz w:val="24"/>
          <w:szCs w:val="24"/>
          <w:lang w:val="en-IE"/>
        </w:rPr>
        <w:t>Cumulative Illness Rating Scale-Geriatric (CIRS-G, range: 0-56) measures the cumulative comorbidity burden in 14 organ systems each rated from 0 (no impairment) to 5 (extremely severe life threatening impairment)</w:t>
      </w:r>
      <w:r w:rsidRPr="001A0560">
        <w:rPr>
          <w:sz w:val="24"/>
          <w:szCs w:val="24"/>
          <w:lang w:val="en-IE"/>
        </w:rPr>
        <w:fldChar w:fldCharType="begin"/>
      </w:r>
      <w:r w:rsidRPr="001A0560">
        <w:rPr>
          <w:sz w:val="24"/>
          <w:szCs w:val="24"/>
          <w:lang w:val="en-IE"/>
        </w:rPr>
        <w:instrText xml:space="preserve"> ADDIN ZOTERO_ITEM CSL_CITATION {"citationID":"7KHuHeH5","properties":{"formattedCitation":"(17)","plainCitation":"(17)","noteIndex":0},"citationItems":[{"id":821,"uris":["http://zotero.org/users/local/KUycEZJ6/items/SA4VMERE"],"uri":["http://zotero.org/users/local/KUycEZJ6/items/SA4VMERE"],"itemData":{"id":821,"type":"article-journal","title":"A Manual of Guidelines to Score the Modified Cumulative Illness Rating Scale and Its Validation in Acute Hospitalized Elderly Patients","container-title":"Journal of the American Geriatrics Society","page":"1926-1931","volume":"56","issue":"10","source":"Wiley Online Library","abstract":"OBJECTIVES: To update previous guidelines to score the Cumulative Illness Rating Scale (CIRS) and test their usefulness in hospitalized elderly patients. DESIGN: The CIRS was scored retrospectively in a cohort of elderly patients followed for 18 months. SETTING: An acute internal medicine ward in an academic tertiary care hospital. PARTICIPANTS: Three hundred eighty-seven patients aged 65 and older. MEASUREMENTS: The CIRS was retrospectively scored for the enrolled patients. Intrarater and interrater reliability were calculated. Two illness severity indices (total score (TSC) and severity (SV)) and one comorbidity index (CM) were obtained. Clinical features and comprehensive geriatric assessment (CGA) variables were also used. All patients underwent an 18-month follow-up for mortality and rehospitalization. RESULTS: Intrarater and interrater reliability of the CIRS scored following the guidelines was good (intraclass correlation coefficients of 0.83 and 0.81, respectively). The TSC, SV, and CM correlated with clinical features (laboratory values, medication usage, and length of in-hospital stay) and CGA variables (cognitive impairment, depression and disability). All three indices were able to predict 18-month mortality and rehospitalization rates. CONCLUSION: This study confirmed the validity of the CIRS as an indicator of health status and demonstrated its ability to predict 18-month mortality and rehospitalization in hospitalized elderly patients. The availability of detailed guidelines for scoring the CIRS can improve its usefulness and facilitate more-widespread use for research and clinical aims.","DOI":"10.1111/j.1532-5415.2008.01935.x","ISSN":"1532-5415","language":"en","author":[{"family":"Salvi","given":"Fabio"},{"family":"Miller","given":"Mark D."},{"family":"Grilli","given":"Annalisa"},{"family":"Giorgi","given":"Raffaella"},{"family":"Towers","given":"Adele L."},{"family":"Morichi","given":"Valeria"},{"family":"Spazzafumo","given":"Liana"},{"family":"Mancinelli","given":"Lucia"},{"family":"Espinosa","given":"Emma"},{"family":"Rappelli","given":"Alessandro"},{"family":"Dessì</w:instrText>
      </w:r>
      <w:r w:rsidRPr="001A0560">
        <w:rPr>
          <w:rFonts w:ascii="Cambria Math" w:hAnsi="Cambria Math" w:cs="Cambria Math"/>
          <w:sz w:val="24"/>
          <w:szCs w:val="24"/>
          <w:lang w:val="en-IE"/>
        </w:rPr>
        <w:instrText>‐</w:instrText>
      </w:r>
      <w:r w:rsidRPr="001A0560">
        <w:rPr>
          <w:sz w:val="24"/>
          <w:szCs w:val="24"/>
          <w:lang w:val="en-IE"/>
        </w:rPr>
        <w:instrText xml:space="preserve">Fulgheri","given":"Paolo"}],"issued":{"date-parts":[["2008"]]}}}],"schema":"https://github.com/citation-style-language/schema/raw/master/csl-citation.json"} </w:instrText>
      </w:r>
      <w:r w:rsidRPr="001A0560">
        <w:rPr>
          <w:sz w:val="24"/>
          <w:szCs w:val="24"/>
          <w:lang w:val="en-IE"/>
        </w:rPr>
        <w:fldChar w:fldCharType="end"/>
      </w:r>
      <w:r w:rsidRPr="001A0560">
        <w:rPr>
          <w:sz w:val="24"/>
          <w:szCs w:val="24"/>
          <w:lang w:val="en-IE"/>
        </w:rPr>
        <w:t>. This scale, designed for the elderly, evaluates the severity of illnesses as a function of the effect of disability.</w:t>
      </w:r>
    </w:p>
    <w:p w:rsidR="00FB5828" w:rsidRPr="001A0560" w:rsidRDefault="00FB5828" w:rsidP="00FB5828">
      <w:pPr>
        <w:spacing w:line="480" w:lineRule="auto"/>
        <w:jc w:val="both"/>
        <w:rPr>
          <w:sz w:val="24"/>
          <w:szCs w:val="24"/>
          <w:lang w:val="en-IE"/>
        </w:rPr>
      </w:pPr>
    </w:p>
    <w:p w:rsidR="00FB5828" w:rsidRPr="001A0560" w:rsidRDefault="00FB5828" w:rsidP="00FB5828">
      <w:pPr>
        <w:spacing w:line="480" w:lineRule="auto"/>
        <w:jc w:val="both"/>
        <w:rPr>
          <w:sz w:val="24"/>
          <w:szCs w:val="24"/>
          <w:lang w:val="en-IE"/>
        </w:rPr>
      </w:pPr>
      <w:r w:rsidRPr="001A0560">
        <w:rPr>
          <w:sz w:val="24"/>
          <w:szCs w:val="24"/>
          <w:lang w:val="en-IE"/>
        </w:rPr>
        <w:t xml:space="preserve">Mini Nutritional Assessment (MNA Long Form, range: 0-30; MNA Short Form, range: 0-14) is able to identify geriatric patients aged 65 and above who are malnourished or at risk of malnutrition. </w:t>
      </w:r>
      <w:r w:rsidRPr="001A0560">
        <w:rPr>
          <w:color w:val="212121"/>
          <w:sz w:val="24"/>
          <w:szCs w:val="24"/>
          <w:lang w:val="en-IE"/>
        </w:rPr>
        <w:t>It is composed of simple measurements and brief questions that can be completed in about 10 minutes.</w:t>
      </w:r>
      <w:r w:rsidRPr="001A0560">
        <w:rPr>
          <w:sz w:val="24"/>
          <w:szCs w:val="24"/>
          <w:lang w:val="en-IE"/>
        </w:rPr>
        <w:t xml:space="preserve"> The lower the score, the more severe the patient’s malnutrition.</w:t>
      </w:r>
    </w:p>
    <w:p w:rsidR="00FB5828" w:rsidRPr="001A0560" w:rsidRDefault="00FB5828" w:rsidP="00FB5828">
      <w:pPr>
        <w:spacing w:line="480" w:lineRule="auto"/>
        <w:jc w:val="both"/>
        <w:rPr>
          <w:sz w:val="24"/>
          <w:szCs w:val="24"/>
          <w:lang w:val="en-IE"/>
        </w:rPr>
      </w:pPr>
    </w:p>
    <w:p w:rsidR="00FB5828" w:rsidRPr="001A0560" w:rsidRDefault="00FB5828" w:rsidP="00FB5828">
      <w:pPr>
        <w:spacing w:line="480" w:lineRule="auto"/>
        <w:jc w:val="both"/>
        <w:rPr>
          <w:sz w:val="24"/>
          <w:szCs w:val="24"/>
          <w:lang w:val="en-IE"/>
        </w:rPr>
      </w:pPr>
      <w:r w:rsidRPr="001A0560">
        <w:rPr>
          <w:sz w:val="24"/>
          <w:szCs w:val="24"/>
          <w:lang w:val="en-IE"/>
        </w:rPr>
        <w:t>Charlson Comorbidity Index (CCI, range: 0-37) originally developed to predict 1-year mortality amongst comorbid patients, it features 19 conditions with assigned weights from 1 to 6, and a total score is obtained by adding up the weights of all present comorbidity illnesses. The diseases are selected on the basis of the degree of their association with mortality.</w:t>
      </w:r>
    </w:p>
    <w:p w:rsidR="00FB5828" w:rsidRPr="001A0560" w:rsidRDefault="00FB5828" w:rsidP="00FB5828">
      <w:pPr>
        <w:spacing w:line="480" w:lineRule="auto"/>
        <w:jc w:val="both"/>
        <w:rPr>
          <w:sz w:val="24"/>
          <w:szCs w:val="24"/>
          <w:lang w:val="en-IE"/>
        </w:rPr>
      </w:pPr>
    </w:p>
    <w:p w:rsidR="00FB5828" w:rsidRPr="001A0560" w:rsidRDefault="00FB5828" w:rsidP="00FB5828">
      <w:pPr>
        <w:spacing w:line="480" w:lineRule="auto"/>
        <w:jc w:val="both"/>
        <w:rPr>
          <w:sz w:val="24"/>
          <w:szCs w:val="24"/>
          <w:lang w:val="en-IE"/>
        </w:rPr>
      </w:pPr>
      <w:r w:rsidRPr="001A0560">
        <w:rPr>
          <w:sz w:val="24"/>
          <w:szCs w:val="24"/>
          <w:lang w:val="en-IE"/>
        </w:rPr>
        <w:t xml:space="preserve">Functional Independence Measure (FIM, range: 18-126) is an 18 items tool that explores an individual’s physical, psychological and social function. It is used to assess the level of disability of a patient as well as the changes in his or her condition following </w:t>
      </w:r>
      <w:r w:rsidRPr="001A0560">
        <w:rPr>
          <w:sz w:val="24"/>
          <w:szCs w:val="24"/>
          <w:lang w:val="en-IE"/>
        </w:rPr>
        <w:lastRenderedPageBreak/>
        <w:t xml:space="preserve">rehabilitation or medical intervention. The higher the score, the greater the patient’s functional abilities. </w:t>
      </w:r>
    </w:p>
    <w:p w:rsidR="00FB5828" w:rsidRPr="001A0560" w:rsidRDefault="00FB5828" w:rsidP="00FB5828">
      <w:pPr>
        <w:spacing w:line="480" w:lineRule="auto"/>
        <w:jc w:val="both"/>
        <w:rPr>
          <w:sz w:val="24"/>
          <w:szCs w:val="24"/>
          <w:lang w:val="en-IE"/>
        </w:rPr>
      </w:pPr>
    </w:p>
    <w:p w:rsidR="00FB5828" w:rsidRPr="001A0560" w:rsidRDefault="00FB5828" w:rsidP="00FB5828">
      <w:pPr>
        <w:spacing w:line="480" w:lineRule="auto"/>
        <w:jc w:val="both"/>
        <w:rPr>
          <w:sz w:val="24"/>
          <w:szCs w:val="24"/>
          <w:lang w:val="en-IE"/>
        </w:rPr>
      </w:pPr>
      <w:r w:rsidRPr="001A0560">
        <w:rPr>
          <w:sz w:val="24"/>
          <w:szCs w:val="24"/>
          <w:lang w:val="en-IE"/>
        </w:rPr>
        <w:t>Mini Mental State Examination (MMSE, range: 0-30) is a questionnaire that is used extensively in clinical and research settings to measure cognitive impairment. Any score of 24 or more (out of 30) indicates normal cognition. Below this, scores can indicate severe (≤ 9 points), moderate (10–18 points) or mild (19–23 points) cognitive impairment.</w:t>
      </w:r>
    </w:p>
    <w:p w:rsidR="00FB5828" w:rsidRPr="001A0560" w:rsidRDefault="00FB5828" w:rsidP="00FB5828">
      <w:pPr>
        <w:spacing w:line="480" w:lineRule="auto"/>
        <w:jc w:val="both"/>
        <w:rPr>
          <w:sz w:val="24"/>
          <w:szCs w:val="24"/>
          <w:lang w:val="en-IE"/>
        </w:rPr>
      </w:pPr>
    </w:p>
    <w:p w:rsidR="00FB5828" w:rsidRPr="001A0560" w:rsidRDefault="00FB5828" w:rsidP="00FB5828">
      <w:pPr>
        <w:spacing w:line="480" w:lineRule="auto"/>
        <w:jc w:val="both"/>
        <w:rPr>
          <w:sz w:val="24"/>
          <w:szCs w:val="24"/>
          <w:lang w:val="en-IE"/>
        </w:rPr>
      </w:pPr>
      <w:r w:rsidRPr="001A0560">
        <w:rPr>
          <w:sz w:val="24"/>
          <w:szCs w:val="24"/>
          <w:lang w:val="en-IE"/>
        </w:rPr>
        <w:t>Pneumonia Severity Index (PSI, range: 51-395) is a clinical prediction scale that physicians can use to calculate the likelihood of morbidity and mortality in patients with community-acquired pneumonia. This score is also frequently used to predict the need for hospitalization in people with pneumonia.</w:t>
      </w:r>
    </w:p>
    <w:p w:rsidR="00FB5828" w:rsidRPr="001A0560" w:rsidRDefault="00FB5828" w:rsidP="00FB5828">
      <w:pPr>
        <w:spacing w:line="480" w:lineRule="auto"/>
        <w:jc w:val="both"/>
        <w:rPr>
          <w:sz w:val="24"/>
          <w:szCs w:val="24"/>
          <w:lang w:val="en-IE"/>
        </w:rPr>
      </w:pPr>
    </w:p>
    <w:p w:rsidR="00FB5828" w:rsidRPr="001A0560" w:rsidRDefault="00FB5828" w:rsidP="00FB5828">
      <w:pPr>
        <w:spacing w:line="480" w:lineRule="auto"/>
        <w:jc w:val="both"/>
        <w:rPr>
          <w:sz w:val="24"/>
          <w:szCs w:val="24"/>
          <w:lang w:val="en-IE"/>
        </w:rPr>
      </w:pPr>
      <w:r w:rsidRPr="001A0560">
        <w:rPr>
          <w:sz w:val="24"/>
          <w:szCs w:val="24"/>
          <w:lang w:val="en-IE"/>
        </w:rPr>
        <w:t>Confusion, Urea, Respiratory Rate, Blood Pressure, 65-year old Score (CURB-65, range:0-5) determines the severity of a pneumopathy, and thus decides whether the patient should be referred to an outpatient or an inpatient clinic</w:t>
      </w:r>
      <w:r w:rsidRPr="001A0560">
        <w:rPr>
          <w:sz w:val="24"/>
          <w:szCs w:val="24"/>
          <w:lang w:val="en-IE"/>
        </w:rPr>
        <w:fldChar w:fldCharType="begin"/>
      </w:r>
      <w:r w:rsidRPr="001A0560">
        <w:rPr>
          <w:sz w:val="24"/>
          <w:szCs w:val="24"/>
          <w:lang w:val="en-IE"/>
        </w:rPr>
        <w:instrText xml:space="preserve"> ADDIN ZOTERO_ITEM CSL_CITATION {"citationID":"z9B2qVjn","properties":{"formattedCitation":"(22)","plainCitation":"(22)","noteIndex":0},"citationItems":[{"id":828,"uris":["http://zotero.org/users/local/KUycEZJ6/items/7HGSUUL3"],"uri":["http://zotero.org/users/local/KUycEZJ6/items/7HGSUUL3"],"itemData":{"id":828,"type":"article-journal","title":"Defining community acquired pneumonia severity on presentation to hospital: an international derivation and validation study","container-title":"Thorax","page":"377-382","volume":"58","issue":"5","source":"PubMed Central","abstract":"Background: In the assessment of severity in community acquired pneumonia (CAP), the modified British Thoracic Society (mBTS) rule identifies patients with severe pneumonia but not patients who might be suitable for home management. A multicentre study was conducted to derive and validate a practical severity assessment model for stratifying adults hospitalised with CAP into different management groups. , Methods: Data from three prospective studies of CAP conducted in the UK, New Zealand, and the Netherlands were combined. A derivation cohort comprising 80% of the data was used to develop the model. Prognostic variables were identified using multiple logistic regression with 30 day mortality as the outcome measure. The final model was tested against the validation cohort. , Results: 1068 patients were studied (mean age 64 years, 51.5% male, 30 day mortality 9%). Age </w:instrText>
      </w:r>
      <w:r w:rsidRPr="001A0560">
        <w:rPr>
          <w:rFonts w:ascii="Cambria Math" w:hAnsi="Cambria Math" w:cs="Cambria Math"/>
          <w:sz w:val="24"/>
          <w:szCs w:val="24"/>
          <w:lang w:val="en-IE"/>
        </w:rPr>
        <w:instrText>⩾</w:instrText>
      </w:r>
      <w:r w:rsidRPr="001A0560">
        <w:rPr>
          <w:sz w:val="24"/>
          <w:szCs w:val="24"/>
          <w:lang w:val="en-IE"/>
        </w:rPr>
        <w:instrText xml:space="preserve">65 years (OR 3.5, 95% CI 1.6 to 8.0) and albumin &lt;30 g/dl (OR 4.7, 95% CI 2.5 to 8.7) were independently associated with mortality over and above the mBTS rule (OR 5.2, 95% CI 2.7 to 10). A six point score, one point for each of Confusion, Urea &gt;7 mmol/l, Respiratory rate </w:instrText>
      </w:r>
      <w:r w:rsidRPr="001A0560">
        <w:rPr>
          <w:rFonts w:ascii="Cambria Math" w:hAnsi="Cambria Math" w:cs="Cambria Math"/>
          <w:sz w:val="24"/>
          <w:szCs w:val="24"/>
          <w:lang w:val="en-IE"/>
        </w:rPr>
        <w:instrText>⩾</w:instrText>
      </w:r>
      <w:r w:rsidRPr="001A0560">
        <w:rPr>
          <w:sz w:val="24"/>
          <w:szCs w:val="24"/>
          <w:lang w:val="en-IE"/>
        </w:rPr>
        <w:instrText>30/min, low systolic(&lt;90 mm Hg) or diastolic (</w:instrText>
      </w:r>
      <w:r w:rsidRPr="001A0560">
        <w:rPr>
          <w:rFonts w:ascii="Cambria Math" w:hAnsi="Cambria Math" w:cs="Cambria Math"/>
          <w:sz w:val="24"/>
          <w:szCs w:val="24"/>
          <w:lang w:val="en-IE"/>
        </w:rPr>
        <w:instrText>⩽</w:instrText>
      </w:r>
      <w:r w:rsidRPr="001A0560">
        <w:rPr>
          <w:sz w:val="24"/>
          <w:szCs w:val="24"/>
          <w:lang w:val="en-IE"/>
        </w:rPr>
        <w:instrText xml:space="preserve">60 mm Hg) Blood pressure), age </w:instrText>
      </w:r>
      <w:r w:rsidRPr="001A0560">
        <w:rPr>
          <w:rFonts w:ascii="Cambria Math" w:hAnsi="Cambria Math" w:cs="Cambria Math"/>
          <w:sz w:val="24"/>
          <w:szCs w:val="24"/>
          <w:lang w:val="en-IE"/>
        </w:rPr>
        <w:instrText>⩾</w:instrText>
      </w:r>
      <w:r w:rsidRPr="001A0560">
        <w:rPr>
          <w:sz w:val="24"/>
          <w:szCs w:val="24"/>
          <w:lang w:val="en-IE"/>
        </w:rPr>
        <w:instrText xml:space="preserve">65 years (CURB-65 score) based on information available at initial hospital assessment, enabled patients to be stratified according to increasing risk of mortality: score 0, 0.7%; score 1, 3.2%; score 2, 3%; score 3, 17%; score 4, 41.5% and score 5, 57%. The validation cohort confirmed a similar pattern. , Conclusions: A simple six point score based on confusion, urea, respiratory rate, blood pressure, and age can be used to stratify patients with CAP into different management groups.","DOI":"10.1136/thorax.58.5.377","ISSN":"0040-6376","note":"PMID: 12728155\nPMCID: PMC1746657","title-short":"Defining community acquired pneumonia severity on presentation to hospital","journalAbbreviation":"Thorax","author":[{"family":"Lim","given":"W"},{"family":"Eerden","given":"M M","non-dropping-particle":"van der"},{"family":"Laing","given":"R"},{"family":"Boersma","given":"W"},{"family":"Karalus","given":"N"},{"family":"Town","given":"G"},{"family":"Lewis","given":"S"},{"family":"Macfarlane","given":"J"}],"issued":{"date-parts":[["2003",5]]}}}],"schema":"https://github.com/citation-style-language/schema/raw/master/csl-citation.json"} </w:instrText>
      </w:r>
      <w:r w:rsidRPr="001A0560">
        <w:rPr>
          <w:sz w:val="24"/>
          <w:szCs w:val="24"/>
          <w:lang w:val="en-IE"/>
        </w:rPr>
        <w:fldChar w:fldCharType="end"/>
      </w:r>
      <w:r w:rsidRPr="001A0560">
        <w:rPr>
          <w:sz w:val="24"/>
          <w:szCs w:val="24"/>
          <w:lang w:val="en-IE"/>
        </w:rPr>
        <w:t>.</w:t>
      </w:r>
    </w:p>
    <w:p w:rsidR="00FB5828" w:rsidRPr="001A0560" w:rsidRDefault="00FB5828" w:rsidP="00FB5828">
      <w:pPr>
        <w:spacing w:line="480" w:lineRule="auto"/>
        <w:jc w:val="both"/>
        <w:rPr>
          <w:sz w:val="24"/>
          <w:szCs w:val="24"/>
          <w:lang w:val="en-IE"/>
        </w:rPr>
      </w:pPr>
    </w:p>
    <w:p w:rsidR="00FB5828" w:rsidRPr="001A0560" w:rsidRDefault="00FB5828" w:rsidP="00FB5828">
      <w:pPr>
        <w:spacing w:line="480" w:lineRule="auto"/>
        <w:jc w:val="both"/>
        <w:rPr>
          <w:sz w:val="24"/>
          <w:szCs w:val="24"/>
          <w:lang w:val="en-IE"/>
        </w:rPr>
      </w:pPr>
      <w:r w:rsidRPr="001A0560">
        <w:rPr>
          <w:sz w:val="24"/>
          <w:szCs w:val="24"/>
          <w:lang w:val="en-IE"/>
        </w:rPr>
        <w:t>Sepsis-related Organ Failure Assessment (SOFA, range: 0-24; quick version: 0-3) is used to determine and follow a patient suffering from a single or multi-organ failure. It consists of 6 subscores investigating different biological systems: respiratory, neurologic, cardiovascular, hepatic, renal and coagulation.</w:t>
      </w:r>
    </w:p>
    <w:p w:rsidR="00FB5828" w:rsidRPr="001A0560" w:rsidRDefault="00FB5828" w:rsidP="00FB5828">
      <w:pPr>
        <w:spacing w:line="480" w:lineRule="auto"/>
        <w:jc w:val="both"/>
        <w:rPr>
          <w:sz w:val="24"/>
          <w:szCs w:val="24"/>
          <w:lang w:val="en-IE"/>
        </w:rPr>
      </w:pPr>
    </w:p>
    <w:p w:rsidR="00FB5828" w:rsidRPr="001A0560" w:rsidRDefault="00FB5828" w:rsidP="00FB5828">
      <w:pPr>
        <w:spacing w:line="480" w:lineRule="auto"/>
        <w:jc w:val="both"/>
        <w:rPr>
          <w:sz w:val="24"/>
          <w:szCs w:val="24"/>
          <w:lang w:val="en-IE"/>
        </w:rPr>
      </w:pPr>
    </w:p>
    <w:p w:rsidR="00FB5828" w:rsidRPr="001A0560" w:rsidRDefault="00FB5828" w:rsidP="00FB5828">
      <w:pPr>
        <w:jc w:val="both"/>
        <w:rPr>
          <w:lang w:val="en-IE"/>
        </w:rPr>
      </w:pPr>
    </w:p>
    <w:p w:rsidR="00FB5828" w:rsidRPr="00F42D44" w:rsidRDefault="00FB5828" w:rsidP="00FB5828">
      <w:pPr>
        <w:spacing w:line="480" w:lineRule="auto"/>
        <w:rPr>
          <w:b/>
          <w:sz w:val="24"/>
          <w:szCs w:val="24"/>
          <w:lang w:val="en-IE"/>
        </w:rPr>
      </w:pPr>
    </w:p>
    <w:p w:rsidR="00FB5828" w:rsidRDefault="00FB5828" w:rsidP="00FB5828">
      <w:pPr>
        <w:spacing w:line="480" w:lineRule="auto"/>
        <w:rPr>
          <w:b/>
          <w:sz w:val="24"/>
          <w:szCs w:val="24"/>
        </w:rPr>
      </w:pPr>
    </w:p>
    <w:p w:rsidR="00FB5828" w:rsidRPr="00860565" w:rsidRDefault="00FB5828" w:rsidP="00FB5828">
      <w:pPr>
        <w:spacing w:line="480" w:lineRule="auto"/>
        <w:rPr>
          <w:b/>
          <w:sz w:val="24"/>
          <w:szCs w:val="24"/>
        </w:rPr>
      </w:pPr>
    </w:p>
    <w:p w:rsidR="009D30CE" w:rsidRDefault="003A5B2B"/>
    <w:sectPr w:rsidR="009D30CE" w:rsidSect="008F43C6">
      <w:headerReference w:type="default" r:id="rId8"/>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5B2B">
      <w:pPr>
        <w:spacing w:line="240" w:lineRule="auto"/>
      </w:pPr>
      <w:r>
        <w:separator/>
      </w:r>
    </w:p>
  </w:endnote>
  <w:endnote w:type="continuationSeparator" w:id="0">
    <w:p w:rsidR="00000000" w:rsidRDefault="003A5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5B2B">
      <w:pPr>
        <w:spacing w:line="240" w:lineRule="auto"/>
      </w:pPr>
      <w:r>
        <w:separator/>
      </w:r>
    </w:p>
  </w:footnote>
  <w:footnote w:type="continuationSeparator" w:id="0">
    <w:p w:rsidR="00000000" w:rsidRDefault="003A5B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534322"/>
      <w:docPartObj>
        <w:docPartGallery w:val="Page Numbers (Top of Page)"/>
        <w:docPartUnique/>
      </w:docPartObj>
    </w:sdtPr>
    <w:sdtEndPr/>
    <w:sdtContent>
      <w:p w:rsidR="00916428" w:rsidRDefault="00FB5828">
        <w:pPr>
          <w:pStyle w:val="En-tte"/>
          <w:jc w:val="right"/>
        </w:pPr>
        <w:r>
          <w:fldChar w:fldCharType="begin"/>
        </w:r>
        <w:r>
          <w:instrText>PAGE   \* MERGEFORMAT</w:instrText>
        </w:r>
        <w:r>
          <w:fldChar w:fldCharType="separate"/>
        </w:r>
        <w:r w:rsidR="003A5B2B" w:rsidRPr="003A5B2B">
          <w:rPr>
            <w:noProof/>
            <w:lang w:val="fr-FR"/>
          </w:rPr>
          <w:t>3</w:t>
        </w:r>
        <w:r>
          <w:fldChar w:fldCharType="end"/>
        </w:r>
      </w:p>
    </w:sdtContent>
  </w:sdt>
  <w:p w:rsidR="00916428" w:rsidRDefault="003A5B2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B1F86"/>
    <w:multiLevelType w:val="hybridMultilevel"/>
    <w:tmpl w:val="EF8C5C2A"/>
    <w:lvl w:ilvl="0" w:tplc="347E2DC8">
      <w:start w:val="1"/>
      <w:numFmt w:val="decimal"/>
      <w:lvlText w:val="%1"/>
      <w:lvlJc w:val="left"/>
      <w:pPr>
        <w:ind w:left="360" w:hanging="360"/>
      </w:pPr>
      <w:rPr>
        <w:rFonts w:ascii="Arial" w:eastAsiaTheme="minorHAnsi" w:hAnsi="Arial"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28"/>
    <w:rsid w:val="003A5B2B"/>
    <w:rsid w:val="004E3A20"/>
    <w:rsid w:val="00A3081E"/>
    <w:rsid w:val="00FB582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35EA2-7F8D-4408-9A4C-EEC1CBEC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5828"/>
    <w:pPr>
      <w:spacing w:after="0" w:line="276" w:lineRule="auto"/>
    </w:pPr>
    <w:rPr>
      <w:rFonts w:ascii="Arial" w:eastAsia="Arial" w:hAnsi="Arial" w:cs="Arial"/>
      <w:lang w:val="it"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5828"/>
    <w:pPr>
      <w:tabs>
        <w:tab w:val="center" w:pos="4536"/>
        <w:tab w:val="right" w:pos="9072"/>
      </w:tabs>
      <w:spacing w:line="240" w:lineRule="auto"/>
    </w:pPr>
  </w:style>
  <w:style w:type="character" w:customStyle="1" w:styleId="En-tteCar">
    <w:name w:val="En-tête Car"/>
    <w:basedOn w:val="Policepardfaut"/>
    <w:link w:val="En-tte"/>
    <w:uiPriority w:val="99"/>
    <w:rsid w:val="00FB5828"/>
    <w:rPr>
      <w:rFonts w:ascii="Arial" w:eastAsia="Arial" w:hAnsi="Arial" w:cs="Arial"/>
      <w:lang w:val="it" w:eastAsia="fr-CH"/>
    </w:rPr>
  </w:style>
  <w:style w:type="character" w:styleId="Numrodeligne">
    <w:name w:val="line number"/>
    <w:basedOn w:val="Policepardfaut"/>
    <w:uiPriority w:val="99"/>
    <w:semiHidden/>
    <w:unhideWhenUsed/>
    <w:rsid w:val="00FB5828"/>
  </w:style>
  <w:style w:type="character" w:styleId="Lienhypertexte">
    <w:name w:val="Hyperlink"/>
    <w:basedOn w:val="Policepardfaut"/>
    <w:uiPriority w:val="99"/>
    <w:unhideWhenUsed/>
    <w:rsid w:val="003A5B2B"/>
    <w:rPr>
      <w:b/>
      <w:bCs/>
      <w:strike w:val="0"/>
      <w:dstrike w:val="0"/>
      <w:color w:val="2869A4"/>
      <w:u w:val="none"/>
      <w:effect w:val="none"/>
    </w:rPr>
  </w:style>
  <w:style w:type="paragraph" w:styleId="Paragraphedeliste">
    <w:name w:val="List Paragraph"/>
    <w:basedOn w:val="Normal"/>
    <w:uiPriority w:val="34"/>
    <w:qFormat/>
    <w:rsid w:val="003A5B2B"/>
    <w:pPr>
      <w:ind w:left="720"/>
      <w:contextualSpacing/>
    </w:pPr>
  </w:style>
  <w:style w:type="character" w:customStyle="1" w:styleId="lrzxr">
    <w:name w:val="lrzxr"/>
    <w:basedOn w:val="Policepardfaut"/>
    <w:rsid w:val="003A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avier.roux@hcug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8448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Hôpitaux Universitaires de Genève</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ROUX Xavier</dc:creator>
  <cp:keywords/>
  <dc:description/>
  <cp:lastModifiedBy>ROUX Xavier</cp:lastModifiedBy>
  <cp:revision>2</cp:revision>
  <dcterms:created xsi:type="dcterms:W3CDTF">2021-07-11T21:32:00Z</dcterms:created>
  <dcterms:modified xsi:type="dcterms:W3CDTF">2021-07-11T21:32:00Z</dcterms:modified>
</cp:coreProperties>
</file>