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2F3B6" w14:textId="77777777" w:rsidR="004B735E" w:rsidRDefault="003E44A4">
      <w:pPr>
        <w:pStyle w:val="Heading2"/>
        <w:spacing w:before="160" w:after="80" w:line="27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Extended Data for</w:t>
      </w:r>
    </w:p>
    <w:p w14:paraId="0902F3B7" w14:textId="77777777" w:rsidR="004B735E" w:rsidRDefault="004B735E">
      <w:pPr>
        <w:spacing w:after="160"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4D828" w14:textId="77777777" w:rsidR="003E44A4" w:rsidRDefault="003E44A4" w:rsidP="003E44A4">
      <w:pPr>
        <w:pStyle w:val="Title"/>
        <w:spacing w:before="120" w:after="20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z3pb58suoou" w:colFirst="0" w:colLast="0"/>
      <w:bookmarkStart w:id="1" w:name="_heading=h.jfge5gm5bd9r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36"/>
          <w:szCs w:val="36"/>
        </w:rPr>
        <w:t>Random Saturation Mutagenesis to Generate Highly Diverse Libraries for Directed Evolution</w:t>
      </w:r>
    </w:p>
    <w:p w14:paraId="628552B1" w14:textId="77777777" w:rsidR="003E44A4" w:rsidRPr="002408CD" w:rsidRDefault="003E44A4" w:rsidP="003E44A4">
      <w:pPr>
        <w:spacing w:line="360" w:lineRule="auto"/>
        <w:rPr>
          <w:vertAlign w:val="superscript"/>
        </w:rPr>
      </w:pPr>
      <w:r w:rsidRPr="002408CD">
        <w:t>Xinge Diana Zhang</w:t>
      </w:r>
      <w:r w:rsidRPr="002408CD">
        <w:rPr>
          <w:vertAlign w:val="superscript"/>
        </w:rPr>
        <w:t>1</w:t>
      </w:r>
      <w:r w:rsidRPr="00544968">
        <w:rPr>
          <w:vertAlign w:val="superscript"/>
        </w:rPr>
        <w:t>†</w:t>
      </w:r>
      <w:r w:rsidRPr="00544968">
        <w:t>, Anqi Chen</w:t>
      </w:r>
      <w:r w:rsidRPr="00544968">
        <w:rPr>
          <w:vertAlign w:val="superscript"/>
        </w:rPr>
        <w:t>1†</w:t>
      </w:r>
      <w:r w:rsidRPr="00544968">
        <w:t>,</w:t>
      </w:r>
      <w:r w:rsidRPr="002408CD">
        <w:t xml:space="preserve"> Liyin Chen</w:t>
      </w:r>
      <w:r>
        <w:rPr>
          <w:vertAlign w:val="superscript"/>
        </w:rPr>
        <w:t>1</w:t>
      </w:r>
      <w:r w:rsidRPr="002408CD">
        <w:t>, Rohan Thakur</w:t>
      </w:r>
      <w:r>
        <w:rPr>
          <w:vertAlign w:val="superscript"/>
        </w:rPr>
        <w:t>1,2</w:t>
      </w:r>
      <w:r w:rsidRPr="002408CD">
        <w:t>, Perry Ellis</w:t>
      </w:r>
      <w:r>
        <w:rPr>
          <w:vertAlign w:val="superscript"/>
        </w:rPr>
        <w:t>1</w:t>
      </w:r>
      <w:r w:rsidRPr="002408CD">
        <w:t>, Yi Xiao</w:t>
      </w:r>
      <w:r>
        <w:rPr>
          <w:vertAlign w:val="superscript"/>
        </w:rPr>
        <w:t>1</w:t>
      </w:r>
      <w:r w:rsidRPr="002408CD">
        <w:t>, Milos Milcic</w:t>
      </w:r>
      <w:r>
        <w:rPr>
          <w:vertAlign w:val="superscript"/>
        </w:rPr>
        <w:t>3</w:t>
      </w:r>
      <w:r w:rsidRPr="002408CD">
        <w:t>, David A. Weitz</w:t>
      </w:r>
      <w:r>
        <w:rPr>
          <w:vertAlign w:val="superscript"/>
        </w:rPr>
        <w:t>1,4,5*</w:t>
      </w:r>
      <w:r w:rsidRPr="002408CD">
        <w:t>, Karla Milcic</w:t>
      </w:r>
      <w:r>
        <w:rPr>
          <w:vertAlign w:val="superscript"/>
        </w:rPr>
        <w:t>1,4,6*</w:t>
      </w:r>
    </w:p>
    <w:p w14:paraId="2FC23A2D" w14:textId="77777777" w:rsidR="003E44A4" w:rsidRDefault="003E44A4" w:rsidP="003E44A4">
      <w:pPr>
        <w:spacing w:line="360" w:lineRule="auto"/>
      </w:pPr>
    </w:p>
    <w:p w14:paraId="493E9D13" w14:textId="77777777" w:rsidR="003E44A4" w:rsidRDefault="003E44A4" w:rsidP="003E44A4">
      <w:pPr>
        <w:spacing w:line="360" w:lineRule="auto"/>
      </w:pPr>
      <w:r w:rsidRPr="002E7D85">
        <w:rPr>
          <w:vertAlign w:val="superscript"/>
        </w:rPr>
        <w:t>1</w:t>
      </w:r>
      <w:r w:rsidRPr="002E7D85">
        <w:t xml:space="preserve">John A. Paulson School of Engineering and Applied Sciences, Harvard University, Cambridge, MA 02138, USA </w:t>
      </w:r>
    </w:p>
    <w:p w14:paraId="021CBBBF" w14:textId="77777777" w:rsidR="003E44A4" w:rsidRPr="002E7D85" w:rsidRDefault="003E44A4" w:rsidP="003E44A4">
      <w:pPr>
        <w:spacing w:line="360" w:lineRule="auto"/>
      </w:pPr>
      <w:r>
        <w:rPr>
          <w:vertAlign w:val="superscript"/>
        </w:rPr>
        <w:t>2</w:t>
      </w:r>
      <w:r w:rsidRPr="00B269DD">
        <w:t>Harvard-Massachusetts Institute of Technology Division of Health Sciences and Technology, Massachusetts Institute of Technology, Cambridge, Massachusetts 02139, USA</w:t>
      </w:r>
    </w:p>
    <w:p w14:paraId="235B39B3" w14:textId="77777777" w:rsidR="003E44A4" w:rsidRDefault="003E44A4" w:rsidP="003E44A4">
      <w:pPr>
        <w:spacing w:line="360" w:lineRule="auto"/>
      </w:pPr>
      <w:r>
        <w:rPr>
          <w:vertAlign w:val="superscript"/>
        </w:rPr>
        <w:t>3</w:t>
      </w:r>
      <w:r w:rsidRPr="002E7D85">
        <w:t>University of Belgrade-Faculty of Chemistry, Studentski trg 12–16, 11000 Belgrade, Serbia</w:t>
      </w:r>
    </w:p>
    <w:p w14:paraId="7DC13B0D" w14:textId="77777777" w:rsidR="003E44A4" w:rsidRPr="002E7D85" w:rsidRDefault="003E44A4" w:rsidP="003E44A4">
      <w:pPr>
        <w:spacing w:line="360" w:lineRule="auto"/>
      </w:pPr>
      <w:r>
        <w:rPr>
          <w:vertAlign w:val="superscript"/>
        </w:rPr>
        <w:t>4</w:t>
      </w:r>
      <w:r w:rsidRPr="002E7D85">
        <w:t xml:space="preserve">Wyss Institute for Biologically Inspired Engineering, Harvard University, 3 </w:t>
      </w:r>
      <w:proofErr w:type="spellStart"/>
      <w:r w:rsidRPr="002E7D85">
        <w:t>Blackfan</w:t>
      </w:r>
      <w:proofErr w:type="spellEnd"/>
      <w:r w:rsidRPr="002E7D85">
        <w:t xml:space="preserve"> Circle, Boston, MA 02115, USA</w:t>
      </w:r>
    </w:p>
    <w:p w14:paraId="79036D50" w14:textId="77777777" w:rsidR="003E44A4" w:rsidRDefault="003E44A4" w:rsidP="003E44A4">
      <w:pPr>
        <w:spacing w:line="360" w:lineRule="auto"/>
      </w:pPr>
      <w:r>
        <w:rPr>
          <w:vertAlign w:val="superscript"/>
        </w:rPr>
        <w:t>5</w:t>
      </w:r>
      <w:r w:rsidRPr="002E7D85">
        <w:t>Department of Physics, Harvard University, Cambridge, MA 02138 (USA)</w:t>
      </w:r>
    </w:p>
    <w:p w14:paraId="13857F31" w14:textId="77777777" w:rsidR="003E44A4" w:rsidRPr="009249A6" w:rsidRDefault="003E44A4" w:rsidP="003E44A4">
      <w:pPr>
        <w:spacing w:line="360" w:lineRule="auto"/>
      </w:pPr>
      <w:r>
        <w:rPr>
          <w:vertAlign w:val="superscript"/>
        </w:rPr>
        <w:t>6</w:t>
      </w:r>
      <w:r w:rsidRPr="009E6A50">
        <w:t xml:space="preserve">BioSense Institute, University of Novi Sad, Dr Zorana </w:t>
      </w:r>
      <w:proofErr w:type="spellStart"/>
      <w:r w:rsidRPr="009E6A50">
        <w:t>Djindjica</w:t>
      </w:r>
      <w:proofErr w:type="spellEnd"/>
      <w:r w:rsidRPr="009E6A50">
        <w:t xml:space="preserve"> 1, Novi Sad 21000, Serbia</w:t>
      </w:r>
    </w:p>
    <w:p w14:paraId="036D2849" w14:textId="77777777" w:rsidR="003E44A4" w:rsidRDefault="003E44A4" w:rsidP="003E44A4">
      <w:pPr>
        <w:spacing w:line="360" w:lineRule="auto"/>
      </w:pPr>
    </w:p>
    <w:p w14:paraId="0DAF35D0" w14:textId="77777777" w:rsidR="003E44A4" w:rsidRPr="00544968" w:rsidRDefault="003E44A4" w:rsidP="003E44A4">
      <w:pPr>
        <w:spacing w:line="360" w:lineRule="auto"/>
      </w:pPr>
      <w:r w:rsidRPr="00544968">
        <w:rPr>
          <w:vertAlign w:val="superscript"/>
        </w:rPr>
        <w:t>†</w:t>
      </w:r>
      <w:r w:rsidRPr="00544968">
        <w:t>These authors contributed equally to this work</w:t>
      </w:r>
    </w:p>
    <w:p w14:paraId="15B0365F" w14:textId="77777777" w:rsidR="003E44A4" w:rsidRPr="006D7867" w:rsidRDefault="003E44A4" w:rsidP="003E44A4">
      <w:pPr>
        <w:spacing w:line="360" w:lineRule="auto"/>
      </w:pPr>
    </w:p>
    <w:p w14:paraId="24228AC4" w14:textId="77777777" w:rsidR="003E44A4" w:rsidRPr="003121BE" w:rsidRDefault="003E44A4" w:rsidP="003E44A4">
      <w:pPr>
        <w:spacing w:line="360" w:lineRule="auto"/>
      </w:pPr>
      <w:r w:rsidRPr="003121BE">
        <w:t>Corresponding authors:</w:t>
      </w:r>
    </w:p>
    <w:p w14:paraId="5C325A24" w14:textId="77777777" w:rsidR="003E44A4" w:rsidRDefault="003E44A4" w:rsidP="003E44A4">
      <w:pPr>
        <w:spacing w:line="360" w:lineRule="auto"/>
      </w:pPr>
      <w:r>
        <w:t xml:space="preserve">Dr </w:t>
      </w:r>
      <w:r w:rsidRPr="003121BE">
        <w:t>David A. Weitz</w:t>
      </w:r>
      <w:r>
        <w:t xml:space="preserve"> </w:t>
      </w:r>
    </w:p>
    <w:p w14:paraId="12B90839" w14:textId="77777777" w:rsidR="003E44A4" w:rsidRDefault="003E44A4" w:rsidP="003E44A4">
      <w:pPr>
        <w:spacing w:line="360" w:lineRule="auto"/>
      </w:pPr>
      <w:r>
        <w:t xml:space="preserve">E-mail: </w:t>
      </w:r>
      <w:hyperlink r:id="rId4" w:history="1">
        <w:r w:rsidRPr="00DD5A4F">
          <w:rPr>
            <w:rStyle w:val="Hyperlink"/>
          </w:rPr>
          <w:t>weitz@seas.harvard.edu</w:t>
        </w:r>
      </w:hyperlink>
    </w:p>
    <w:p w14:paraId="5F7D30D2" w14:textId="77777777" w:rsidR="003E44A4" w:rsidRDefault="003E44A4" w:rsidP="003E44A4">
      <w:pPr>
        <w:spacing w:line="360" w:lineRule="auto"/>
      </w:pPr>
      <w:r>
        <w:t>Dr Karla Milcic</w:t>
      </w:r>
    </w:p>
    <w:p w14:paraId="60C6D861" w14:textId="77777777" w:rsidR="003E44A4" w:rsidRDefault="003E44A4" w:rsidP="003E44A4">
      <w:pPr>
        <w:spacing w:line="360" w:lineRule="auto"/>
      </w:pPr>
      <w:r>
        <w:t xml:space="preserve">E-mail: </w:t>
      </w:r>
      <w:hyperlink r:id="rId5" w:history="1">
        <w:r w:rsidRPr="00DD5A4F">
          <w:rPr>
            <w:rStyle w:val="Hyperlink"/>
          </w:rPr>
          <w:t>kilicdurdic@seas.harvard.edu</w:t>
        </w:r>
      </w:hyperlink>
    </w:p>
    <w:p w14:paraId="0902F3B8" w14:textId="3E0268A4" w:rsidR="004B735E" w:rsidRPr="003E44A4" w:rsidRDefault="003E44A4" w:rsidP="003E44A4">
      <w:pPr>
        <w:spacing w:line="360" w:lineRule="auto"/>
      </w:pPr>
      <w:r>
        <w:br w:type="page"/>
      </w:r>
    </w:p>
    <w:p w14:paraId="0902F3B9" w14:textId="77777777" w:rsidR="004B735E" w:rsidRDefault="003E44A4">
      <w:pPr>
        <w:spacing w:after="160" w:line="27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902F3FF" wp14:editId="0902F400">
            <wp:extent cx="5371390" cy="4756429"/>
            <wp:effectExtent l="0" t="0" r="0" b="0"/>
            <wp:docPr id="2" name="image1.png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computer&#10;&#10;Description automatically generated"/>
                    <pic:cNvPicPr preferRelativeResize="0"/>
                  </pic:nvPicPr>
                  <pic:blipFill>
                    <a:blip r:embed="rId6"/>
                    <a:srcRect l="3563" t="1357" r="3585" b="40845"/>
                    <a:stretch>
                      <a:fillRect/>
                    </a:stretch>
                  </pic:blipFill>
                  <pic:spPr>
                    <a:xfrm>
                      <a:off x="0" y="0"/>
                      <a:ext cx="5371390" cy="475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2F3BA" w14:textId="77777777" w:rsidR="004B735E" w:rsidRDefault="003E44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Extended Data Figure 1. Workflow for constructing a single site-saturation mutagenesis library. </w:t>
      </w:r>
      <w:r>
        <w:rPr>
          <w:rFonts w:ascii="Times New Roman" w:eastAsia="Times New Roman" w:hAnsi="Times New Roman" w:cs="Times New Roman"/>
          <w:sz w:val="24"/>
          <w:szCs w:val="24"/>
        </w:rPr>
        <w:t>The process involves four main steps: Step 1, design of gene-specific mutagenic oligo pools using computational tools; Step 2, preparation of oligo pools for different reactions; Step 3, thermal cycling to introduce site-directed mutations across multiple reactions; and Step 4, purification of the plasmid library, yielding 3,420 unique mutants. Following DpnI digestion to remove wild-type templates, the mutated plasmids are transformed into a bacterial host for plasmid extraction.</w:t>
      </w:r>
      <w:r>
        <w:br w:type="page"/>
      </w:r>
    </w:p>
    <w:p w14:paraId="0902F3BB" w14:textId="77777777" w:rsidR="004B735E" w:rsidRDefault="003E44A4">
      <w:pPr>
        <w:spacing w:after="16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0902F401" wp14:editId="0902F402">
            <wp:extent cx="5391150" cy="279297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792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2F3BC" w14:textId="77777777" w:rsidR="004B735E" w:rsidRDefault="003E44A4">
      <w:pPr>
        <w:spacing w:after="16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Extended Data Figure 2. Gini coefficient analysis of amino acid substitution abundance in two libraries.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cumulative distribution of chemically unique amino acid (AA) substitutions in the 9x2 (blue)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EPhigh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(orange) libraries is compared to a uniform distribution (red dashed line). The area between each curve and the uniform distribution reflects the inequality in substitution abundance. The lower Gini coefficient for the 9x2 library indicates a more even distribution of substitutions compared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EPhigh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library.</w:t>
      </w:r>
    </w:p>
    <w:p w14:paraId="0902F3BD" w14:textId="77777777" w:rsidR="004B735E" w:rsidRDefault="003E44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902F3BE" w14:textId="77777777" w:rsidR="004B735E" w:rsidRDefault="003E44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Extended Data Table 1. Reported BsLipA variants exhibiting resistance to thermal aggregation. </w:t>
      </w:r>
      <w:r>
        <w:rPr>
          <w:rFonts w:ascii="Times New Roman" w:eastAsia="Times New Roman" w:hAnsi="Times New Roman" w:cs="Times New Roman"/>
          <w:sz w:val="24"/>
          <w:szCs w:val="24"/>
        </w:rPr>
        <w:t>M134 and M137 substitutions are labeled in red. None of these substitutions can be achieved by only one nucleotide change in the methionine codon.</w:t>
      </w:r>
    </w:p>
    <w:p w14:paraId="0902F3BF" w14:textId="77777777" w:rsidR="004B735E" w:rsidRDefault="004B73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3405"/>
        <w:gridCol w:w="3090"/>
        <w:gridCol w:w="795"/>
        <w:gridCol w:w="855"/>
      </w:tblGrid>
      <w:tr w:rsidR="004B735E" w14:paraId="0902F3C5" w14:textId="77777777">
        <w:trPr>
          <w:trHeight w:val="415"/>
        </w:trPr>
        <w:tc>
          <w:tcPr>
            <w:tcW w:w="120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0" w14:textId="77777777" w:rsidR="004B735E" w:rsidRDefault="003E44A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Variant name</w:t>
            </w:r>
          </w:p>
        </w:tc>
        <w:tc>
          <w:tcPr>
            <w:tcW w:w="34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1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AA substitutions</w:t>
            </w:r>
          </w:p>
        </w:tc>
        <w:tc>
          <w:tcPr>
            <w:tcW w:w="309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2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Mutagenesis trajectory</w:t>
            </w:r>
          </w:p>
        </w:tc>
        <w:tc>
          <w:tcPr>
            <w:tcW w:w="79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3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T50 (°C)</w:t>
            </w:r>
          </w:p>
        </w:tc>
        <w:tc>
          <w:tcPr>
            <w:tcW w:w="85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4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Publication</w:t>
            </w:r>
          </w:p>
        </w:tc>
      </w:tr>
      <w:tr w:rsidR="004B735E" w14:paraId="0902F3CC" w14:textId="77777777">
        <w:trPr>
          <w:trHeight w:val="5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6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5-A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7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A15S, F17S, A20E, N89Y, G111D, L114P, A132D, </w:t>
            </w:r>
            <w:r>
              <w:rPr>
                <w:color w:val="FF0000"/>
                <w:sz w:val="14"/>
                <w:szCs w:val="14"/>
              </w:rPr>
              <w:t>M134E</w:t>
            </w:r>
            <w:r>
              <w:rPr>
                <w:sz w:val="14"/>
                <w:szCs w:val="14"/>
              </w:rPr>
              <w:t>, I157M, N166Y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8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epPCRx2, recombinationx1, epPCRx1,</w:t>
            </w:r>
          </w:p>
          <w:p w14:paraId="0902F3C9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recombinationx1, epPCRx1, recombinationx1, site saturation mutagenesis x1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A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B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Ahmad, 2009</w:t>
            </w:r>
          </w:p>
        </w:tc>
      </w:tr>
      <w:tr w:rsidR="004B735E" w14:paraId="0902F3D3" w14:textId="77777777">
        <w:trPr>
          <w:trHeight w:val="5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D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5-B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E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A15S, F17S, A20E, N89Y, G111D, L114P, A132D, </w:t>
            </w:r>
            <w:r>
              <w:rPr>
                <w:color w:val="FF0000"/>
                <w:sz w:val="14"/>
                <w:szCs w:val="14"/>
              </w:rPr>
              <w:t>M137P</w:t>
            </w:r>
            <w:r>
              <w:rPr>
                <w:sz w:val="14"/>
                <w:szCs w:val="14"/>
              </w:rPr>
              <w:t>, I157M, N166Y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CF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epPCRx2, recombinationx1, epPCRx1,</w:t>
            </w:r>
          </w:p>
          <w:p w14:paraId="0902F3D0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recombinationx1, epPCRx1, recombinationx1, site saturation mutagenesis x1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1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2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Ahmad, 2009</w:t>
            </w:r>
          </w:p>
        </w:tc>
      </w:tr>
      <w:tr w:rsidR="004B735E" w14:paraId="0902F3DB" w14:textId="77777777">
        <w:trPr>
          <w:trHeight w:val="77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4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6-B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5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A15S, F17S, A20E, N89Y, G111D, L114P, A132D, </w:t>
            </w:r>
            <w:r>
              <w:rPr>
                <w:color w:val="FF0000"/>
                <w:sz w:val="14"/>
                <w:szCs w:val="14"/>
              </w:rPr>
              <w:t>M134E</w:t>
            </w:r>
            <w:r>
              <w:rPr>
                <w:sz w:val="14"/>
                <w:szCs w:val="14"/>
              </w:rPr>
              <w:t>, M137P, I157M, S163P, N166Y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6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epPCRx2, recombinationx1, epPCRx1,</w:t>
            </w:r>
          </w:p>
          <w:p w14:paraId="0902F3D7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recombinationx1, epPCRx1, recombinationx1, site saturation mutagenesis x1,</w:t>
            </w:r>
          </w:p>
          <w:p w14:paraId="0902F3D8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recombinationx1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9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A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Zahid Kamal, 2011</w:t>
            </w:r>
          </w:p>
        </w:tc>
      </w:tr>
      <w:tr w:rsidR="004B735E" w14:paraId="0902F3E2" w14:textId="77777777">
        <w:trPr>
          <w:trHeight w:val="5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C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Variant IX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D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K112D, </w:t>
            </w:r>
            <w:r>
              <w:rPr>
                <w:color w:val="FF0000"/>
                <w:sz w:val="14"/>
                <w:szCs w:val="14"/>
              </w:rPr>
              <w:t>M134D</w:t>
            </w:r>
            <w:r>
              <w:rPr>
                <w:sz w:val="14"/>
                <w:szCs w:val="14"/>
              </w:rPr>
              <w:t>, Y139C, I157M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DE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Structural-based position prediction (B-FIT),</w:t>
            </w:r>
          </w:p>
          <w:p w14:paraId="0902F3DF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iterative saturation mutagenesisx4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0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62.8 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1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Reetz, </w:t>
            </w:r>
            <w:proofErr w:type="spellStart"/>
            <w:r>
              <w:rPr>
                <w:sz w:val="14"/>
                <w:szCs w:val="14"/>
              </w:rPr>
              <w:t>Angewandte</w:t>
            </w:r>
            <w:proofErr w:type="spellEnd"/>
            <w:r>
              <w:rPr>
                <w:sz w:val="14"/>
                <w:szCs w:val="14"/>
              </w:rPr>
              <w:t>, 2006</w:t>
            </w:r>
          </w:p>
        </w:tc>
      </w:tr>
      <w:tr w:rsidR="004B735E" w14:paraId="0902F3E9" w14:textId="77777777">
        <w:trPr>
          <w:trHeight w:val="10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3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Variant X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4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R33</w:t>
            </w:r>
            <w:proofErr w:type="gramStart"/>
            <w:r>
              <w:rPr>
                <w:sz w:val="14"/>
                <w:szCs w:val="14"/>
              </w:rPr>
              <w:t>Q,D</w:t>
            </w:r>
            <w:proofErr w:type="gramEnd"/>
            <w:r>
              <w:rPr>
                <w:sz w:val="14"/>
                <w:szCs w:val="14"/>
              </w:rPr>
              <w:t>34N, K35D, K112D</w:t>
            </w:r>
            <w:r>
              <w:rPr>
                <w:color w:val="FF0000"/>
                <w:sz w:val="14"/>
                <w:szCs w:val="14"/>
              </w:rPr>
              <w:t>, M134D</w:t>
            </w:r>
            <w:r>
              <w:rPr>
                <w:sz w:val="14"/>
                <w:szCs w:val="14"/>
              </w:rPr>
              <w:t>, Y139C, I157M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5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Structural-based position prediction (B-FIT),</w:t>
            </w:r>
          </w:p>
          <w:p w14:paraId="0902F3E6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iterative saturation mutagenesisx5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7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8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Reetz, </w:t>
            </w:r>
            <w:proofErr w:type="spellStart"/>
            <w:r>
              <w:rPr>
                <w:sz w:val="14"/>
                <w:szCs w:val="14"/>
              </w:rPr>
              <w:t>Angewandte</w:t>
            </w:r>
            <w:proofErr w:type="spellEnd"/>
            <w:r>
              <w:rPr>
                <w:sz w:val="14"/>
                <w:szCs w:val="14"/>
              </w:rPr>
              <w:t>, 2006; Nature protocol, 2007</w:t>
            </w:r>
          </w:p>
        </w:tc>
      </w:tr>
      <w:tr w:rsidR="004B735E" w14:paraId="0902F3F0" w14:textId="77777777">
        <w:trPr>
          <w:trHeight w:val="10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A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Variant XI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B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R33G, K112D, </w:t>
            </w:r>
            <w:r>
              <w:rPr>
                <w:color w:val="FF0000"/>
                <w:sz w:val="14"/>
                <w:szCs w:val="14"/>
              </w:rPr>
              <w:t>M134D</w:t>
            </w:r>
            <w:r>
              <w:rPr>
                <w:sz w:val="14"/>
                <w:szCs w:val="14"/>
              </w:rPr>
              <w:t>, Y139C, I157M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C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Structural-based position prediction (B-FIT),</w:t>
            </w:r>
          </w:p>
          <w:p w14:paraId="0902F3ED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iterative saturation mutagenesisx5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E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EF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Reetz, </w:t>
            </w:r>
            <w:proofErr w:type="spellStart"/>
            <w:r>
              <w:rPr>
                <w:sz w:val="14"/>
                <w:szCs w:val="14"/>
              </w:rPr>
              <w:t>Angewandte</w:t>
            </w:r>
            <w:proofErr w:type="spellEnd"/>
            <w:r>
              <w:rPr>
                <w:sz w:val="14"/>
                <w:szCs w:val="14"/>
              </w:rPr>
              <w:t>, 2006; Nature protocol, 2007</w:t>
            </w:r>
          </w:p>
        </w:tc>
      </w:tr>
      <w:tr w:rsidR="004B735E" w14:paraId="0902F3F6" w14:textId="77777777">
        <w:trPr>
          <w:trHeight w:val="4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1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MT5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2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F17T, </w:t>
            </w:r>
            <w:r>
              <w:rPr>
                <w:color w:val="FF0000"/>
                <w:sz w:val="14"/>
                <w:szCs w:val="14"/>
              </w:rPr>
              <w:t>M134E</w:t>
            </w:r>
            <w:r>
              <w:rPr>
                <w:sz w:val="14"/>
                <w:szCs w:val="14"/>
              </w:rPr>
              <w:t xml:space="preserve">, I135E, </w:t>
            </w:r>
            <w:r>
              <w:rPr>
                <w:color w:val="FF0000"/>
                <w:sz w:val="14"/>
                <w:szCs w:val="14"/>
              </w:rPr>
              <w:t>M137D</w:t>
            </w:r>
            <w:r>
              <w:rPr>
                <w:sz w:val="14"/>
                <w:szCs w:val="14"/>
              </w:rPr>
              <w:t>, Y139D, G158D, N174S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3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RSMx1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4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&gt;95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5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This work</w:t>
            </w:r>
          </w:p>
        </w:tc>
      </w:tr>
      <w:tr w:rsidR="004B735E" w14:paraId="0902F3FC" w14:textId="77777777">
        <w:trPr>
          <w:trHeight w:val="445"/>
        </w:trPr>
        <w:tc>
          <w:tcPr>
            <w:tcW w:w="1200" w:type="dxa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7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MT20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8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F17G, </w:t>
            </w:r>
            <w:r>
              <w:rPr>
                <w:color w:val="FF0000"/>
                <w:sz w:val="14"/>
                <w:szCs w:val="14"/>
              </w:rPr>
              <w:t>M134P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M137A</w:t>
            </w:r>
            <w:r>
              <w:rPr>
                <w:sz w:val="14"/>
                <w:szCs w:val="14"/>
              </w:rPr>
              <w:t>, Y139S, R142M, S163P, N174S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9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RSMx1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A" w14:textId="77777777" w:rsidR="004B735E" w:rsidRDefault="003E44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&gt;95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02F3FB" w14:textId="77777777" w:rsidR="004B735E" w:rsidRDefault="003E4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4"/>
                <w:szCs w:val="14"/>
              </w:rPr>
              <w:t>This work</w:t>
            </w:r>
          </w:p>
        </w:tc>
      </w:tr>
    </w:tbl>
    <w:p w14:paraId="0902F3FE" w14:textId="2D74771E" w:rsidR="004B735E" w:rsidRDefault="004B73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B73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E"/>
    <w:rsid w:val="003E44A4"/>
    <w:rsid w:val="004B735E"/>
    <w:rsid w:val="00F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F3B6"/>
  <w15:docId w15:val="{8D60EC03-D22A-44CB-9572-27EA81E0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3E44A4"/>
    <w:rPr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E4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ilicdurdic@seas.harvard.edu" TargetMode="External"/><Relationship Id="rId4" Type="http://schemas.openxmlformats.org/officeDocument/2006/relationships/hyperlink" Target="mailto:weitz@seas.harvard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Ilic Durdic</cp:lastModifiedBy>
  <cp:revision>2</cp:revision>
  <dcterms:created xsi:type="dcterms:W3CDTF">2024-11-21T01:41:00Z</dcterms:created>
  <dcterms:modified xsi:type="dcterms:W3CDTF">2024-11-21T01:41:00Z</dcterms:modified>
</cp:coreProperties>
</file>