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470BEB" w14:textId="77777777" w:rsidR="00A025E3" w:rsidRDefault="00E521F0">
      <w:pPr>
        <w:pStyle w:val="Heading2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Supplementary Materials for</w:t>
      </w:r>
    </w:p>
    <w:p w14:paraId="6F470BEC" w14:textId="77777777" w:rsidR="00A025E3" w:rsidRDefault="00A025E3">
      <w:pPr>
        <w:rPr>
          <w:rFonts w:ascii="Times New Roman" w:eastAsia="Times New Roman" w:hAnsi="Times New Roman" w:cs="Times New Roman"/>
        </w:rPr>
      </w:pPr>
    </w:p>
    <w:p w14:paraId="63D1D126" w14:textId="77777777" w:rsidR="00E521F0" w:rsidRPr="00E521F0" w:rsidRDefault="00E521F0" w:rsidP="00E521F0">
      <w:pPr>
        <w:spacing w:before="120" w:after="200" w:line="360" w:lineRule="auto"/>
        <w:contextualSpacing/>
        <w:jc w:val="both"/>
        <w:rPr>
          <w:rFonts w:ascii="Times New Roman" w:eastAsia="Times New Roman" w:hAnsi="Times New Roman" w:cs="Times New Roman"/>
          <w:b/>
          <w:spacing w:val="-10"/>
          <w:kern w:val="28"/>
          <w:sz w:val="36"/>
          <w:szCs w:val="36"/>
          <w:lang w:eastAsia="zh-CN"/>
        </w:rPr>
      </w:pPr>
      <w:bookmarkStart w:id="0" w:name="_heading=h.f122yvy6k95r" w:colFirst="0" w:colLast="0"/>
      <w:bookmarkStart w:id="1" w:name="_heading=h.jfge5gm5bd9r" w:colFirst="0" w:colLast="0"/>
      <w:bookmarkEnd w:id="0"/>
      <w:bookmarkEnd w:id="1"/>
      <w:r w:rsidRPr="00E521F0">
        <w:rPr>
          <w:rFonts w:ascii="Times New Roman" w:eastAsia="Times New Roman" w:hAnsi="Times New Roman" w:cs="Times New Roman"/>
          <w:b/>
          <w:spacing w:val="-10"/>
          <w:kern w:val="28"/>
          <w:sz w:val="36"/>
          <w:szCs w:val="36"/>
          <w:lang w:eastAsia="zh-CN"/>
        </w:rPr>
        <w:t>Random Saturation Mutagenesis to Generate Highly Diverse Libraries for Directed Evolution</w:t>
      </w:r>
    </w:p>
    <w:p w14:paraId="03517BB8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Xinge Diana Zhang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1†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Anqi Chen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1†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Liyin Chen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Rohan Thakur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1,2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Perry Ellis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Yi Xiao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Milos Milcic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3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David A. Weitz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1,4,5*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, Karla Milcic</w:t>
      </w: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1,4,6*</w:t>
      </w:r>
    </w:p>
    <w:p w14:paraId="6803FE4F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lang w:eastAsia="zh-CN"/>
        </w:rPr>
      </w:pPr>
    </w:p>
    <w:p w14:paraId="7C400CF1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1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John A. Paulson School of Engineering and Applied Sciences, Harvard University, Cambridge, MA 02138, USA </w:t>
      </w:r>
    </w:p>
    <w:p w14:paraId="403D6E24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2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Harvard-Massachusetts Institute of Technology Division of Health Sciences and Technology, Massachusetts Institute of Technology, Cambridge, Massachusetts 02139, USA</w:t>
      </w:r>
    </w:p>
    <w:p w14:paraId="0FB726D5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3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University of Belgrade-Faculty of Chemistry, Studentski trg 12–16, 11000 Belgrade, Serbia</w:t>
      </w:r>
    </w:p>
    <w:p w14:paraId="0059855C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4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Wyss Institute for Biologically Inspired Engineering, Harvard University, 3 </w:t>
      </w:r>
      <w:proofErr w:type="spellStart"/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Blackfan</w:t>
      </w:r>
      <w:proofErr w:type="spellEnd"/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 Circle, Boston, MA 02115, USA</w:t>
      </w:r>
    </w:p>
    <w:p w14:paraId="055DD4F2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5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Department of Physics, Harvard University, Cambridge, MA 02138 (USA)</w:t>
      </w:r>
    </w:p>
    <w:p w14:paraId="7BBEF611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6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BioSense Institute, University of Novi Sad, Dr Zorana </w:t>
      </w:r>
      <w:proofErr w:type="spellStart"/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Djindjica</w:t>
      </w:r>
      <w:proofErr w:type="spellEnd"/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 1, Novi Sad 21000, Serbia</w:t>
      </w:r>
    </w:p>
    <w:p w14:paraId="67F2F48D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</w:p>
    <w:p w14:paraId="6E9CC160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vertAlign w:val="superscript"/>
          <w:lang w:eastAsia="zh-CN"/>
        </w:rPr>
        <w:t>†</w:t>
      </w: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These authors contributed equally to this work</w:t>
      </w:r>
    </w:p>
    <w:p w14:paraId="0EB37F42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</w:p>
    <w:p w14:paraId="1725B25D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Corresponding authors:</w:t>
      </w:r>
    </w:p>
    <w:p w14:paraId="1C3853C8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Dr David A. Weitz </w:t>
      </w:r>
    </w:p>
    <w:p w14:paraId="37F2E9C3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E-mail: </w:t>
      </w:r>
      <w:hyperlink r:id="rId5" w:history="1">
        <w:r w:rsidRPr="00E521F0">
          <w:rPr>
            <w:rFonts w:ascii="Times New Roman" w:eastAsia="Times New Roman" w:hAnsi="Times New Roman" w:cs="Times New Roman"/>
            <w:color w:val="467886" w:themeColor="hyperlink"/>
            <w:sz w:val="22"/>
            <w:szCs w:val="22"/>
            <w:u w:val="single"/>
            <w:lang w:eastAsia="zh-CN"/>
          </w:rPr>
          <w:t>weitz@seas.harvard.edu</w:t>
        </w:r>
      </w:hyperlink>
    </w:p>
    <w:p w14:paraId="7CFEA9F7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>Dr Karla Milcic</w:t>
      </w:r>
    </w:p>
    <w:p w14:paraId="50CB578C" w14:textId="77777777" w:rsidR="00E521F0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 w:rsidRPr="00E521F0">
        <w:rPr>
          <w:rFonts w:ascii="Times New Roman" w:eastAsia="Times New Roman" w:hAnsi="Times New Roman" w:cs="Times New Roman"/>
          <w:sz w:val="22"/>
          <w:szCs w:val="22"/>
          <w:lang w:eastAsia="zh-CN"/>
        </w:rPr>
        <w:t xml:space="preserve">E-mail: </w:t>
      </w:r>
      <w:hyperlink r:id="rId6" w:history="1">
        <w:r w:rsidRPr="00E521F0">
          <w:rPr>
            <w:rFonts w:ascii="Times New Roman" w:eastAsia="Times New Roman" w:hAnsi="Times New Roman" w:cs="Times New Roman"/>
            <w:color w:val="467886" w:themeColor="hyperlink"/>
            <w:sz w:val="22"/>
            <w:szCs w:val="22"/>
            <w:u w:val="single"/>
            <w:lang w:eastAsia="zh-CN"/>
          </w:rPr>
          <w:t>kilicdurdic@seas.harvard.edu</w:t>
        </w:r>
      </w:hyperlink>
    </w:p>
    <w:p w14:paraId="6F470BEE" w14:textId="7624B349" w:rsidR="00A025E3" w:rsidRPr="00E521F0" w:rsidRDefault="00E521F0" w:rsidP="00E521F0">
      <w:pPr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eastAsia="zh-CN"/>
        </w:rPr>
      </w:pPr>
      <w:r>
        <w:br w:type="page"/>
      </w:r>
    </w:p>
    <w:p w14:paraId="6F470BEF" w14:textId="77777777" w:rsidR="00A025E3" w:rsidRDefault="00E521F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6F470C96" wp14:editId="6F470C97">
            <wp:extent cx="5943600" cy="4686300"/>
            <wp:effectExtent l="0" t="0" r="0" b="0"/>
            <wp:docPr id="185825898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8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BF0" w14:textId="77777777" w:rsidR="00A025E3" w:rsidRDefault="00E521F0">
      <w:pPr>
        <w:spacing w:before="120"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Fig. S1. Analysis of Positional Distribution. </w:t>
      </w:r>
      <w:r>
        <w:rPr>
          <w:rFonts w:ascii="Times New Roman" w:eastAsia="Times New Roman" w:hAnsi="Times New Roman" w:cs="Times New Roman"/>
        </w:rPr>
        <w:t xml:space="preserve">(a) Positional distribution of mutations in the </w:t>
      </w:r>
      <w:proofErr w:type="spellStart"/>
      <w:r>
        <w:rPr>
          <w:rFonts w:ascii="Times New Roman" w:eastAsia="Times New Roman" w:hAnsi="Times New Roman" w:cs="Times New Roman"/>
        </w:rPr>
        <w:t>EPhigh</w:t>
      </w:r>
      <w:proofErr w:type="spellEnd"/>
      <w:r>
        <w:rPr>
          <w:rFonts w:ascii="Times New Roman" w:eastAsia="Times New Roman" w:hAnsi="Times New Roman" w:cs="Times New Roman"/>
        </w:rPr>
        <w:t xml:space="preserve"> library. (b) Positional distribution of mutations in the 9x2 library after </w:t>
      </w:r>
      <w:proofErr w:type="spellStart"/>
      <w:r>
        <w:rPr>
          <w:rFonts w:ascii="Times New Roman" w:eastAsia="Times New Roman" w:hAnsi="Times New Roman" w:cs="Times New Roman"/>
        </w:rPr>
        <w:t>StEP</w:t>
      </w:r>
      <w:proofErr w:type="spellEnd"/>
      <w:r>
        <w:rPr>
          <w:rFonts w:ascii="Times New Roman" w:eastAsia="Times New Roman" w:hAnsi="Times New Roman" w:cs="Times New Roman"/>
        </w:rPr>
        <w:t xml:space="preserve">. (c) Positional distribution of mutations in the 9x2 library before </w:t>
      </w:r>
      <w:proofErr w:type="spellStart"/>
      <w:r>
        <w:rPr>
          <w:rFonts w:ascii="Times New Roman" w:eastAsia="Times New Roman" w:hAnsi="Times New Roman" w:cs="Times New Roman"/>
        </w:rPr>
        <w:t>StEP</w:t>
      </w:r>
      <w:proofErr w:type="spellEnd"/>
      <w:r>
        <w:rPr>
          <w:rFonts w:ascii="Times New Roman" w:eastAsia="Times New Roman" w:hAnsi="Times New Roman" w:cs="Times New Roman"/>
        </w:rPr>
        <w:t>. Mutation by position for 9X2 RSSM library showing similar chemical diversity by position.</w:t>
      </w:r>
      <w:r>
        <w:br w:type="page"/>
      </w:r>
    </w:p>
    <w:p w14:paraId="6F470BF1" w14:textId="77777777" w:rsidR="00A025E3" w:rsidRDefault="00E521F0">
      <w:pPr>
        <w:spacing w:before="120"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6F470C98" wp14:editId="6F470C99">
            <wp:extent cx="5943600" cy="2590800"/>
            <wp:effectExtent l="0" t="0" r="0" b="0"/>
            <wp:docPr id="185825898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BF2" w14:textId="77777777" w:rsidR="00A025E3" w:rsidRDefault="00E521F0">
      <w:pPr>
        <w:spacing w:before="120"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Fig. S2. To decrease the positional correlation and to increase diversity of the final RSSM library, the products from the two reactions are then mixed in equimolar ratio as the templates for </w:t>
      </w:r>
      <w:proofErr w:type="spellStart"/>
      <w:r>
        <w:rPr>
          <w:rFonts w:ascii="Times New Roman" w:eastAsia="Times New Roman" w:hAnsi="Times New Roman" w:cs="Times New Roman"/>
          <w:b/>
        </w:rPr>
        <w:t>StEP</w:t>
      </w:r>
      <w:proofErr w:type="spellEnd"/>
      <w:r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</w:rPr>
        <w:t xml:space="preserve"> (a) Joint probability heatmap of mutation positions before </w:t>
      </w:r>
      <w:proofErr w:type="spellStart"/>
      <w:r>
        <w:rPr>
          <w:rFonts w:ascii="Times New Roman" w:eastAsia="Times New Roman" w:hAnsi="Times New Roman" w:cs="Times New Roman"/>
        </w:rPr>
        <w:t>StEP</w:t>
      </w:r>
      <w:proofErr w:type="spellEnd"/>
      <w:r>
        <w:rPr>
          <w:rFonts w:ascii="Times New Roman" w:eastAsia="Times New Roman" w:hAnsi="Times New Roman" w:cs="Times New Roman"/>
        </w:rPr>
        <w:t xml:space="preserve"> in the 9x2 library. (b) Joint probability heatmap of mutation positions after </w:t>
      </w:r>
      <w:proofErr w:type="spellStart"/>
      <w:r>
        <w:rPr>
          <w:rFonts w:ascii="Times New Roman" w:eastAsia="Times New Roman" w:hAnsi="Times New Roman" w:cs="Times New Roman"/>
        </w:rPr>
        <w:t>StEP</w:t>
      </w:r>
      <w:proofErr w:type="spellEnd"/>
      <w:r>
        <w:rPr>
          <w:rFonts w:ascii="Times New Roman" w:eastAsia="Times New Roman" w:hAnsi="Times New Roman" w:cs="Times New Roman"/>
        </w:rPr>
        <w:t xml:space="preserve"> in the 9x2 library, demonstrating disruption of positional correlations.</w:t>
      </w:r>
      <w:r>
        <w:br w:type="page"/>
      </w:r>
    </w:p>
    <w:p w14:paraId="6F470BF3" w14:textId="77777777" w:rsidR="00A025E3" w:rsidRDefault="00E521F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6F470C9A" wp14:editId="6F470C9B">
            <wp:extent cx="5943600" cy="2743200"/>
            <wp:effectExtent l="0" t="0" r="0" b="0"/>
            <wp:docPr id="185825898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BF4" w14:textId="77777777" w:rsidR="00A025E3" w:rsidRDefault="00E521F0">
      <w:p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 xml:space="preserve">Fig. S3. </w:t>
      </w:r>
      <w:r>
        <w:rPr>
          <w:rFonts w:ascii="Times New Roman" w:eastAsia="Times New Roman" w:hAnsi="Times New Roman" w:cs="Times New Roman"/>
        </w:rPr>
        <w:t xml:space="preserve">(a) Heatmap of amino acid substitutions in the 9x2 RSSM library before </w:t>
      </w:r>
      <w:proofErr w:type="spellStart"/>
      <w:r>
        <w:rPr>
          <w:rFonts w:ascii="Times New Roman" w:eastAsia="Times New Roman" w:hAnsi="Times New Roman" w:cs="Times New Roman"/>
        </w:rPr>
        <w:t>StEP</w:t>
      </w:r>
      <w:proofErr w:type="spellEnd"/>
      <w:r>
        <w:rPr>
          <w:rFonts w:ascii="Times New Roman" w:eastAsia="Times New Roman" w:hAnsi="Times New Roman" w:cs="Times New Roman"/>
        </w:rPr>
        <w:t xml:space="preserve">. White borders highlight substitutions enabled by single nucleotide changes. (d) Heatmap of amino acid substitutions in the 9x2 library after </w:t>
      </w:r>
      <w:proofErr w:type="spellStart"/>
      <w:r>
        <w:rPr>
          <w:rFonts w:ascii="Times New Roman" w:eastAsia="Times New Roman" w:hAnsi="Times New Roman" w:cs="Times New Roman"/>
        </w:rPr>
        <w:t>StEP</w:t>
      </w:r>
      <w:proofErr w:type="spellEnd"/>
      <w:r>
        <w:rPr>
          <w:rFonts w:ascii="Times New Roman" w:eastAsia="Times New Roman" w:hAnsi="Times New Roman" w:cs="Times New Roman"/>
        </w:rPr>
        <w:t>, showing similar chemical diversity in the amino acid substitution enabled.</w:t>
      </w:r>
      <w:r>
        <w:br w:type="page"/>
      </w:r>
    </w:p>
    <w:p w14:paraId="6F470BF5" w14:textId="77777777" w:rsidR="00A025E3" w:rsidRDefault="00A025E3">
      <w:pPr>
        <w:rPr>
          <w:rFonts w:ascii="Times New Roman" w:eastAsia="Times New Roman" w:hAnsi="Times New Roman" w:cs="Times New Roman"/>
          <w:b/>
          <w:color w:val="000000"/>
        </w:rPr>
      </w:pPr>
    </w:p>
    <w:p w14:paraId="6F470BF6" w14:textId="77777777" w:rsidR="00A025E3" w:rsidRDefault="00E521F0">
      <w:pPr>
        <w:spacing w:before="240" w:after="24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6F470C9C" wp14:editId="6F470C9D">
            <wp:extent cx="5943600" cy="2286000"/>
            <wp:effectExtent l="0" t="0" r="0" b="0"/>
            <wp:docPr id="185825898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BF7" w14:textId="77777777" w:rsidR="00A025E3" w:rsidRDefault="00E521F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Fig. S4.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Distribution of the occurrence of each mutation for the 361 chemically distinct substitutions.</w:t>
      </w:r>
      <w:r>
        <w:rPr>
          <w:rFonts w:ascii="Times New Roman" w:eastAsia="Times New Roman" w:hAnsi="Times New Roman" w:cs="Times New Roman"/>
        </w:rPr>
        <w:t xml:space="preserve"> The bin width for the histogram is set to 5. 71,674 mutations sampled for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EPhigh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and 71,673 mutations sampled for 9x2 RSSM library.</w:t>
      </w:r>
      <w:r>
        <w:br w:type="page"/>
      </w:r>
    </w:p>
    <w:p w14:paraId="6F470BF8" w14:textId="77777777" w:rsidR="00A025E3" w:rsidRDefault="00A025E3">
      <w:pPr>
        <w:rPr>
          <w:rFonts w:ascii="Times New Roman" w:eastAsia="Times New Roman" w:hAnsi="Times New Roman" w:cs="Times New Roman"/>
        </w:rPr>
      </w:pPr>
    </w:p>
    <w:p w14:paraId="6F470BF9" w14:textId="77777777" w:rsidR="00A025E3" w:rsidRDefault="00E521F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6F470C9E" wp14:editId="6F470C9F">
            <wp:extent cx="5943600" cy="3048000"/>
            <wp:effectExtent l="0" t="0" r="0" b="0"/>
            <wp:docPr id="1858258979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BFA" w14:textId="77777777" w:rsidR="00A025E3" w:rsidRDefault="00E521F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Fig. S5. Histogram of single AA T50 improvement</w:t>
      </w:r>
      <w:r>
        <w:br w:type="page"/>
      </w:r>
    </w:p>
    <w:p w14:paraId="6F470BFB" w14:textId="77777777" w:rsidR="00A025E3" w:rsidRDefault="00E521F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114300" distB="114300" distL="114300" distR="114300" wp14:anchorId="6F470CA0" wp14:editId="6F470CA1">
            <wp:extent cx="5186363" cy="3667030"/>
            <wp:effectExtent l="0" t="0" r="0" b="0"/>
            <wp:docPr id="185825898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9611"/>
                    <a:stretch>
                      <a:fillRect/>
                    </a:stretch>
                  </pic:blipFill>
                  <pic:spPr>
                    <a:xfrm>
                      <a:off x="0" y="0"/>
                      <a:ext cx="5186363" cy="36670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BFC" w14:textId="77777777" w:rsidR="00A025E3" w:rsidRDefault="00E521F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Fig. S6. </w:t>
      </w:r>
      <w:r>
        <w:rPr>
          <w:rFonts w:ascii="Times New Roman" w:eastAsia="Times New Roman" w:hAnsi="Times New Roman" w:cs="Times New Roman"/>
        </w:rPr>
        <w:t>Residual activity of sorted single variants after heat exposure. To assess the thermotolerance of the variants, cells were lysed, and the lysates were incubated at 80°C for one hour. Residual activity was measured at 25°C using a fluorescence-based assay on a plate reader.</w:t>
      </w:r>
      <w:r>
        <w:br w:type="page"/>
      </w:r>
    </w:p>
    <w:p w14:paraId="6F470BFD" w14:textId="77777777" w:rsidR="00A025E3" w:rsidRDefault="00E521F0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6F470CA2" wp14:editId="6F470CA3">
            <wp:extent cx="5943600" cy="4953000"/>
            <wp:effectExtent l="0" t="0" r="0" b="0"/>
            <wp:docPr id="185825898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5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BFE" w14:textId="77777777" w:rsidR="00A025E3" w:rsidRDefault="00E521F0">
      <w:pPr>
        <w:spacing w:after="24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Fig. S</w:t>
      </w:r>
      <w:r>
        <w:rPr>
          <w:rFonts w:ascii="Times New Roman" w:eastAsia="Times New Roman" w:hAnsi="Times New Roman" w:cs="Times New Roman"/>
          <w:b/>
        </w:rPr>
        <w:t>7</w:t>
      </w:r>
      <w:r>
        <w:rPr>
          <w:rFonts w:ascii="Times New Roman" w:eastAsia="Times New Roman" w:hAnsi="Times New Roman" w:cs="Times New Roman"/>
          <w:b/>
          <w:color w:val="000000"/>
        </w:rPr>
        <w:t>. T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50</w:t>
      </w:r>
      <w:r>
        <w:rPr>
          <w:rFonts w:ascii="Times New Roman" w:eastAsia="Times New Roman" w:hAnsi="Times New Roman" w:cs="Times New Roman"/>
          <w:b/>
          <w:color w:val="000000"/>
        </w:rPr>
        <w:t xml:space="preserve"> measurement</w:t>
      </w:r>
      <w:r>
        <w:rPr>
          <w:rFonts w:ascii="Times New Roman" w:eastAsia="Times New Roman" w:hAnsi="Times New Roman" w:cs="Times New Roman"/>
          <w:b/>
        </w:rPr>
        <w:t xml:space="preserve"> raw measurement.</w:t>
      </w:r>
      <w:r>
        <w:br w:type="page"/>
      </w:r>
    </w:p>
    <w:p w14:paraId="6F470BFF" w14:textId="77777777" w:rsidR="00A025E3" w:rsidRDefault="00E521F0">
      <w:pPr>
        <w:spacing w:after="24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lastRenderedPageBreak/>
        <w:t>      </w:t>
      </w: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6F470CA4" wp14:editId="6F470CA5">
            <wp:extent cx="5943600" cy="3569643"/>
            <wp:effectExtent l="0" t="0" r="0" b="0"/>
            <wp:docPr id="1858258983" name="image2.png" descr="A diagram of a mach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diagram of a machine&#10;&#10;Description automatically generated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96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470C00" w14:textId="77777777" w:rsidR="00A025E3" w:rsidRDefault="00E521F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Fig. S8. Designs of microfluidic devices for the droplet screening platform. </w:t>
      </w:r>
      <w:r>
        <w:rPr>
          <w:rFonts w:ascii="Times New Roman" w:eastAsia="Times New Roman" w:hAnsi="Times New Roman" w:cs="Times New Roman"/>
        </w:rPr>
        <w:t xml:space="preserve">(a) Design of the device to encapsulate the linear DNA mutant genes and the </w:t>
      </w:r>
      <w:r>
        <w:rPr>
          <w:rFonts w:ascii="Times New Roman" w:eastAsia="Times New Roman" w:hAnsi="Times New Roman" w:cs="Times New Roman"/>
          <w:i/>
        </w:rPr>
        <w:t>In Vitro</w:t>
      </w:r>
      <w:r>
        <w:rPr>
          <w:rFonts w:ascii="Times New Roman" w:eastAsia="Times New Roman" w:hAnsi="Times New Roman" w:cs="Times New Roman"/>
        </w:rPr>
        <w:t xml:space="preserve"> Protein Synthesis reagents. Labels 1 to 3 are the oil inlet, aqueous inlet, and collection outlet, respectively. (b) Design of the device to screen the droplets based on fluorescent intensities. Labels 1 to 4 are the spacing oil inlet, droplet reinjection inlet, sorted droplet collection outlet, and waste outlet, respectively.</w:t>
      </w:r>
      <w:r>
        <w:br w:type="page"/>
      </w:r>
    </w:p>
    <w:p w14:paraId="6F470C01" w14:textId="77777777" w:rsidR="00A025E3" w:rsidRDefault="00E521F0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Sup. Table.1. Distance between catalytic triad residues</w:t>
      </w:r>
    </w:p>
    <w:p w14:paraId="6F470C02" w14:textId="77777777" w:rsidR="00A025E3" w:rsidRDefault="00A025E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"/>
        <w:tblpPr w:leftFromText="180" w:rightFromText="180" w:topFromText="180" w:bottomFromText="180" w:vertAnchor="text" w:tblpX="1020"/>
        <w:tblW w:w="73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15"/>
        <w:gridCol w:w="1215"/>
        <w:gridCol w:w="1215"/>
        <w:gridCol w:w="1230"/>
        <w:gridCol w:w="1215"/>
        <w:gridCol w:w="1215"/>
      </w:tblGrid>
      <w:tr w:rsidR="00A025E3" w14:paraId="6F470C04" w14:textId="77777777">
        <w:trPr>
          <w:trHeight w:val="415"/>
        </w:trPr>
        <w:tc>
          <w:tcPr>
            <w:tcW w:w="7305" w:type="dxa"/>
            <w:gridSpan w:val="6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0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Distance between residues (Å)</w:t>
            </w:r>
          </w:p>
        </w:tc>
      </w:tr>
      <w:tr w:rsidR="00A025E3" w14:paraId="6F470C08" w14:textId="77777777">
        <w:trPr>
          <w:trHeight w:val="415"/>
        </w:trPr>
        <w:tc>
          <w:tcPr>
            <w:tcW w:w="2430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0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S77-D133</w:t>
            </w:r>
          </w:p>
        </w:tc>
        <w:tc>
          <w:tcPr>
            <w:tcW w:w="2445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6" w14:textId="77777777" w:rsidR="00A025E3" w:rsidRDefault="00E521F0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D133-H156</w:t>
            </w:r>
          </w:p>
        </w:tc>
        <w:tc>
          <w:tcPr>
            <w:tcW w:w="2430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S77-D133</w:t>
            </w:r>
          </w:p>
        </w:tc>
      </w:tr>
      <w:tr w:rsidR="00A025E3" w14:paraId="6F470C0F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Before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After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Before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After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D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Before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0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After</w:t>
            </w:r>
          </w:p>
        </w:tc>
      </w:tr>
      <w:tr w:rsidR="00A025E3" w14:paraId="6F470C16" w14:textId="77777777">
        <w:trPr>
          <w:trHeight w:val="315"/>
        </w:trPr>
        <w:tc>
          <w:tcPr>
            <w:tcW w:w="1215" w:type="dxa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5.81</w:t>
            </w:r>
          </w:p>
        </w:tc>
        <w:tc>
          <w:tcPr>
            <w:tcW w:w="1215" w:type="dxa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19.73</w:t>
            </w:r>
          </w:p>
        </w:tc>
        <w:tc>
          <w:tcPr>
            <w:tcW w:w="1215" w:type="dxa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2.99</w:t>
            </w:r>
          </w:p>
        </w:tc>
        <w:tc>
          <w:tcPr>
            <w:tcW w:w="1230" w:type="dxa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12.06</w:t>
            </w:r>
          </w:p>
        </w:tc>
        <w:tc>
          <w:tcPr>
            <w:tcW w:w="1215" w:type="dxa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4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2.88</w:t>
            </w:r>
          </w:p>
        </w:tc>
        <w:tc>
          <w:tcPr>
            <w:tcW w:w="1215" w:type="dxa"/>
            <w:tcBorders>
              <w:top w:val="single" w:sz="3" w:space="0" w:color="000000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8.89</w:t>
            </w:r>
          </w:p>
        </w:tc>
      </w:tr>
      <w:tr w:rsidR="00A025E3" w14:paraId="6F470C1D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8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16.69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12.35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9.14</w:t>
            </w:r>
          </w:p>
        </w:tc>
      </w:tr>
      <w:tr w:rsidR="00A025E3" w14:paraId="6F470C24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7.64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1F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16.63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2.60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12.98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9.69</w:t>
            </w:r>
          </w:p>
        </w:tc>
      </w:tr>
      <w:tr w:rsidR="00A025E3" w14:paraId="6F470C2B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6.80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6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8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15.97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8.40</w:t>
            </w:r>
          </w:p>
        </w:tc>
      </w:tr>
      <w:tr w:rsidR="00A025E3" w14:paraId="6F470C32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7.63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D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15.62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2F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16.01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9.54</w:t>
            </w:r>
          </w:p>
        </w:tc>
      </w:tr>
      <w:tr w:rsidR="00A025E3" w14:paraId="6F470C39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4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14.26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2.66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6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11.16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8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10.76</w:t>
            </w:r>
          </w:p>
        </w:tc>
      </w:tr>
      <w:tr w:rsidR="00A025E3" w14:paraId="6F470C40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6.80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23.68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2.98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D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3F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11.13</w:t>
            </w:r>
          </w:p>
        </w:tc>
      </w:tr>
      <w:tr w:rsidR="00A025E3" w14:paraId="6F470C47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17.56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2.61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4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11.96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6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7.68</w:t>
            </w:r>
          </w:p>
        </w:tc>
      </w:tr>
      <w:tr w:rsidR="00A025E3" w14:paraId="6F470C4E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8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6.42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20.60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12.39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D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9.81</w:t>
            </w:r>
          </w:p>
        </w:tc>
      </w:tr>
      <w:tr w:rsidR="00A025E3" w14:paraId="6F470C55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4F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6.49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19.79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2.66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11.30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4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14.26</w:t>
            </w:r>
          </w:p>
        </w:tc>
      </w:tr>
      <w:tr w:rsidR="00A025E3" w14:paraId="6F470C5C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6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13.60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8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12.61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10.62</w:t>
            </w:r>
          </w:p>
        </w:tc>
      </w:tr>
      <w:tr w:rsidR="00A025E3" w14:paraId="6F470C63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D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6.93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5F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10.48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6.57</w:t>
            </w:r>
          </w:p>
        </w:tc>
      </w:tr>
      <w:tr w:rsidR="00A025E3" w14:paraId="6F470C6A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4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6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13.96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8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9.76</w:t>
            </w:r>
          </w:p>
        </w:tc>
      </w:tr>
      <w:tr w:rsidR="00A025E3" w14:paraId="6F470C71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7.03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11.21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D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3.32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15.05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6F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8.69</w:t>
            </w:r>
          </w:p>
        </w:tc>
      </w:tr>
      <w:tr w:rsidR="00A025E3" w14:paraId="6F470C78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4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3.70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18.73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6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3.00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9.94</w:t>
            </w:r>
          </w:p>
        </w:tc>
      </w:tr>
      <w:tr w:rsidR="00A025E3" w14:paraId="6F470C7F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16.15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18.47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D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2.90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7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8.85</w:t>
            </w:r>
          </w:p>
        </w:tc>
      </w:tr>
      <w:tr w:rsidR="00A025E3" w14:paraId="6F470C86" w14:textId="77777777">
        <w:trPr>
          <w:trHeight w:val="31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8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8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13.10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8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2.93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8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84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6F470C85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11.84</w:t>
            </w:r>
          </w:p>
        </w:tc>
      </w:tr>
      <w:tr w:rsidR="00A025E3" w14:paraId="6F470C8D" w14:textId="77777777">
        <w:trPr>
          <w:trHeight w:val="390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7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6.69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8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19.78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9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2.91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A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18.54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B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3.11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C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10.42</w:t>
            </w:r>
          </w:p>
        </w:tc>
      </w:tr>
      <w:tr w:rsidR="00A025E3" w14:paraId="6F470C94" w14:textId="77777777">
        <w:trPr>
          <w:trHeight w:val="145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E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6.139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8F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15.814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90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2.563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91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126.595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92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2.74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14:paraId="6F470C93" w14:textId="77777777" w:rsidR="00A025E3" w:rsidRDefault="00E5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87.995</w:t>
            </w:r>
          </w:p>
        </w:tc>
      </w:tr>
    </w:tbl>
    <w:p w14:paraId="6F470C95" w14:textId="77777777" w:rsidR="00A025E3" w:rsidRDefault="00A025E3">
      <w:pPr>
        <w:spacing w:after="0" w:line="240" w:lineRule="auto"/>
        <w:rPr>
          <w:rFonts w:ascii="Times New Roman" w:eastAsia="Times New Roman" w:hAnsi="Times New Roman" w:cs="Times New Roman"/>
        </w:rPr>
      </w:pPr>
    </w:p>
    <w:sectPr w:rsidR="00A025E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8630B95A-9E89-4A21-92EC-ACFC967EBFF3}"/>
    <w:embedBold r:id="rId2" w:fontKey="{10D8BE8D-6405-4DF0-92B6-A83B3B1E88A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459B63D7-72F2-4BFB-BA26-1B55D4FFE06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9A37C21D-6173-4073-9A4D-539C875FB746}"/>
    <w:embedItalic r:id="rId5" w:fontKey="{B63089C5-0974-4A18-8263-C61CE8E419A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5E3"/>
    <w:rsid w:val="003548E8"/>
    <w:rsid w:val="00A025E3"/>
    <w:rsid w:val="00E521F0"/>
    <w:rsid w:val="00F9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70BEB"/>
  <w15:docId w15:val="{8D60EC03-D22A-44CB-9572-27EA81E09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51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CD51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A13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E521F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21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kilicdurdic@seas.harvard.edu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weitz@seas.harvard.ed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4HB3RxkpOHBcf7tDWzYqUChgPg==">CgMxLjAyDmguZjEyMnl2eTZrOTVyMg5oLjJoM3Y2djNza2RqNDgAciExTzctWVR4NUlQT3JaRi1ackNLWkstMnJyWFNhZDNDSHY=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10</Pages>
  <Words>623</Words>
  <Characters>3554</Characters>
  <Application>Microsoft Office Word</Application>
  <DocSecurity>0</DocSecurity>
  <Lines>29</Lines>
  <Paragraphs>8</Paragraphs>
  <ScaleCrop>false</ScaleCrop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Xinge Zhang</dc:creator>
  <cp:lastModifiedBy>Karla Ilic Durdic</cp:lastModifiedBy>
  <cp:revision>3</cp:revision>
  <dcterms:created xsi:type="dcterms:W3CDTF">2024-06-18T19:34:00Z</dcterms:created>
  <dcterms:modified xsi:type="dcterms:W3CDTF">2024-11-21T01:40:00Z</dcterms:modified>
</cp:coreProperties>
</file>