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A8D537" w14:textId="29AEB9FE" w:rsidR="00500A70" w:rsidRPr="00AB3236" w:rsidRDefault="00E811FA" w:rsidP="00F91665">
      <w:pPr>
        <w:jc w:val="both"/>
        <w:rPr>
          <w:b/>
          <w:bCs/>
          <w:sz w:val="28"/>
          <w:szCs w:val="28"/>
          <w:lang w:val="en-US"/>
        </w:rPr>
      </w:pPr>
      <w:r w:rsidRPr="00AB3236">
        <w:rPr>
          <w:b/>
          <w:bCs/>
          <w:sz w:val="28"/>
          <w:szCs w:val="28"/>
          <w:lang w:val="en-US"/>
        </w:rPr>
        <w:t>Supplementary Figures</w:t>
      </w:r>
    </w:p>
    <w:p w14:paraId="17BF0949" w14:textId="484649EC" w:rsidR="008E720E" w:rsidRDefault="005312CC" w:rsidP="00F91665">
      <w:pPr>
        <w:jc w:val="both"/>
        <w:rPr>
          <w:b/>
          <w:bCs/>
          <w:lang w:val="en-US"/>
        </w:rPr>
      </w:pPr>
      <w:r>
        <w:rPr>
          <w:b/>
          <w:bCs/>
          <w:noProof/>
          <w:lang w:eastAsia="nl-NL"/>
        </w:rPr>
        <w:drawing>
          <wp:inline distT="0" distB="0" distL="0" distR="0" wp14:anchorId="2EB2A4E3" wp14:editId="70EF3BB1">
            <wp:extent cx="5731510" cy="6019165"/>
            <wp:effectExtent l="0" t="0" r="2540" b="635"/>
            <wp:docPr id="688816469" name="Picture 10" descr="A collage of images of different colored circles with Ice hockey rink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816469" name="Picture 10" descr="A collage of images of different colored circles with Ice hockey rink in the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6019165"/>
                    </a:xfrm>
                    <a:prstGeom prst="rect">
                      <a:avLst/>
                    </a:prstGeom>
                  </pic:spPr>
                </pic:pic>
              </a:graphicData>
            </a:graphic>
          </wp:inline>
        </w:drawing>
      </w:r>
      <w:r w:rsidR="00E811FA" w:rsidRPr="00E811FA">
        <w:rPr>
          <w:b/>
          <w:bCs/>
          <w:lang w:val="en-US"/>
        </w:rPr>
        <w:t>Figure S</w:t>
      </w:r>
      <w:r w:rsidR="00E811FA">
        <w:rPr>
          <w:b/>
          <w:bCs/>
          <w:lang w:val="en-US"/>
        </w:rPr>
        <w:t>1</w:t>
      </w:r>
      <w:r w:rsidR="003E3F9C">
        <w:rPr>
          <w:b/>
          <w:bCs/>
          <w:lang w:val="en-US"/>
        </w:rPr>
        <w:t xml:space="preserve"> |</w:t>
      </w:r>
      <w:r w:rsidR="00E811FA" w:rsidRPr="00E811FA">
        <w:rPr>
          <w:b/>
          <w:bCs/>
          <w:lang w:val="en-US"/>
        </w:rPr>
        <w:t xml:space="preserve"> </w:t>
      </w:r>
      <w:r w:rsidR="003E3F9C">
        <w:rPr>
          <w:b/>
          <w:bCs/>
          <w:lang w:val="en-US"/>
        </w:rPr>
        <w:t>Campi</w:t>
      </w:r>
      <w:r w:rsidR="00AB3236">
        <w:rPr>
          <w:b/>
          <w:bCs/>
          <w:lang w:val="en-US"/>
        </w:rPr>
        <w:t>metry</w:t>
      </w:r>
      <w:r w:rsidR="00E811FA" w:rsidRPr="00E811FA">
        <w:rPr>
          <w:b/>
          <w:bCs/>
          <w:lang w:val="en-US"/>
        </w:rPr>
        <w:t>.</w:t>
      </w:r>
      <w:r w:rsidR="00E811FA">
        <w:rPr>
          <w:lang w:val="en-US"/>
        </w:rPr>
        <w:t xml:space="preserve"> </w:t>
      </w:r>
      <w:r w:rsidR="008E720E">
        <w:rPr>
          <w:lang w:val="en-US"/>
        </w:rPr>
        <w:t>P</w:t>
      </w:r>
      <w:r w:rsidR="003B3D05">
        <w:rPr>
          <w:lang w:val="en-US"/>
        </w:rPr>
        <w:t>ost</w:t>
      </w:r>
      <w:r w:rsidR="008E720E">
        <w:rPr>
          <w:lang w:val="en-US"/>
        </w:rPr>
        <w:t xml:space="preserve">-surgical </w:t>
      </w:r>
      <w:r w:rsidR="003B3D05">
        <w:rPr>
          <w:lang w:val="en-US"/>
        </w:rPr>
        <w:t>kinetic perimetry</w:t>
      </w:r>
      <w:r w:rsidR="008E720E">
        <w:rPr>
          <w:lang w:val="en-US"/>
        </w:rPr>
        <w:t xml:space="preserve"> </w:t>
      </w:r>
      <w:r w:rsidR="008E720E" w:rsidRPr="0004345D">
        <w:rPr>
          <w:lang w:val="en-US"/>
        </w:rPr>
        <w:t xml:space="preserve">results from </w:t>
      </w:r>
      <w:r w:rsidR="005E5DB5" w:rsidRPr="0004345D">
        <w:rPr>
          <w:lang w:val="en-US"/>
        </w:rPr>
        <w:t>P</w:t>
      </w:r>
      <w:r w:rsidR="008E720E" w:rsidRPr="0004345D">
        <w:rPr>
          <w:lang w:val="en-US"/>
        </w:rPr>
        <w:t xml:space="preserve">atient </w:t>
      </w:r>
      <w:r w:rsidR="005E5DB5" w:rsidRPr="0004345D">
        <w:rPr>
          <w:lang w:val="en-US"/>
        </w:rPr>
        <w:t>#</w:t>
      </w:r>
      <w:r w:rsidR="008E720E" w:rsidRPr="0004345D">
        <w:rPr>
          <w:lang w:val="en-US"/>
        </w:rPr>
        <w:t xml:space="preserve">1 (top </w:t>
      </w:r>
      <w:r w:rsidR="008E720E">
        <w:rPr>
          <w:lang w:val="en-US"/>
        </w:rPr>
        <w:t xml:space="preserve">row) </w:t>
      </w:r>
      <w:r w:rsidR="008E720E" w:rsidRPr="0004345D">
        <w:rPr>
          <w:lang w:val="en-US"/>
        </w:rPr>
        <w:t xml:space="preserve">and </w:t>
      </w:r>
      <w:r w:rsidR="005E5DB5" w:rsidRPr="0004345D">
        <w:rPr>
          <w:lang w:val="en-US"/>
        </w:rPr>
        <w:t>P</w:t>
      </w:r>
      <w:r w:rsidR="008E720E" w:rsidRPr="0004345D">
        <w:rPr>
          <w:lang w:val="en-US"/>
        </w:rPr>
        <w:t xml:space="preserve">atient </w:t>
      </w:r>
      <w:r w:rsidR="005E5DB5" w:rsidRPr="0004345D">
        <w:rPr>
          <w:lang w:val="en-US"/>
        </w:rPr>
        <w:t>#</w:t>
      </w:r>
      <w:r w:rsidR="008E720E" w:rsidRPr="0004345D">
        <w:rPr>
          <w:lang w:val="en-US"/>
        </w:rPr>
        <w:t xml:space="preserve">2 (bottom row). </w:t>
      </w:r>
      <w:r w:rsidR="003B3D05" w:rsidRPr="0004345D">
        <w:rPr>
          <w:lang w:val="en-US"/>
        </w:rPr>
        <w:t>Perimetry</w:t>
      </w:r>
      <w:r w:rsidR="003E3F9C" w:rsidRPr="0004345D">
        <w:rPr>
          <w:lang w:val="en-US"/>
        </w:rPr>
        <w:t xml:space="preserve"> </w:t>
      </w:r>
      <w:r w:rsidR="008E720E" w:rsidRPr="0004345D">
        <w:rPr>
          <w:lang w:val="en-US"/>
        </w:rPr>
        <w:t xml:space="preserve">was performed </w:t>
      </w:r>
      <w:r w:rsidR="00ED00ED">
        <w:rPr>
          <w:lang w:val="en-US"/>
        </w:rPr>
        <w:t>with</w:t>
      </w:r>
      <w:r w:rsidR="00ED00ED" w:rsidRPr="0004345D">
        <w:rPr>
          <w:lang w:val="en-US"/>
        </w:rPr>
        <w:t xml:space="preserve"> </w:t>
      </w:r>
      <w:r w:rsidR="003B3D05" w:rsidRPr="0004345D">
        <w:rPr>
          <w:lang w:val="en-US"/>
        </w:rPr>
        <w:t>an Octopus 900 system (Haag-Streit)</w:t>
      </w:r>
      <w:r w:rsidR="00423C6A">
        <w:rPr>
          <w:lang w:val="en-US"/>
        </w:rPr>
        <w:t xml:space="preserve"> with a stimulus moving at 5°/s</w:t>
      </w:r>
      <w:r w:rsidR="008E720E" w:rsidRPr="0004345D">
        <w:rPr>
          <w:lang w:val="en-US"/>
        </w:rPr>
        <w:t>.</w:t>
      </w:r>
      <w:r w:rsidR="008E720E">
        <w:rPr>
          <w:lang w:val="en-US"/>
        </w:rPr>
        <w:t xml:space="preserve"> The different colors indicated the visual field sensitivity at </w:t>
      </w:r>
      <w:r w:rsidR="0003105F">
        <w:rPr>
          <w:lang w:val="en-US"/>
        </w:rPr>
        <w:t>different</w:t>
      </w:r>
      <w:r w:rsidR="008E720E">
        <w:rPr>
          <w:lang w:val="en-US"/>
        </w:rPr>
        <w:t xml:space="preserve"> luminance </w:t>
      </w:r>
      <w:r w:rsidR="0003105F">
        <w:rPr>
          <w:lang w:val="en-US"/>
        </w:rPr>
        <w:t xml:space="preserve">and size </w:t>
      </w:r>
      <w:r w:rsidR="008E720E">
        <w:rPr>
          <w:lang w:val="en-US"/>
        </w:rPr>
        <w:t>values</w:t>
      </w:r>
      <w:r w:rsidR="0003105F">
        <w:rPr>
          <w:lang w:val="en-US"/>
        </w:rPr>
        <w:t xml:space="preserve"> (Size V: 64mm</w:t>
      </w:r>
      <w:r w:rsidR="0003105F" w:rsidRPr="0003105F">
        <w:rPr>
          <w:vertAlign w:val="superscript"/>
          <w:lang w:val="en-US"/>
        </w:rPr>
        <w:t>2</w:t>
      </w:r>
      <w:r w:rsidR="0003105F">
        <w:rPr>
          <w:lang w:val="en-US"/>
        </w:rPr>
        <w:t>, Size I: 0.25mm</w:t>
      </w:r>
      <w:r w:rsidR="0003105F" w:rsidRPr="0003105F">
        <w:rPr>
          <w:vertAlign w:val="superscript"/>
          <w:lang w:val="en-US"/>
        </w:rPr>
        <w:t>2</w:t>
      </w:r>
      <w:r w:rsidR="0003105F">
        <w:rPr>
          <w:lang w:val="en-US"/>
        </w:rPr>
        <w:t>. Luminance 2</w:t>
      </w:r>
      <w:r w:rsidR="00423C6A">
        <w:rPr>
          <w:lang w:val="en-US"/>
        </w:rPr>
        <w:t>-4</w:t>
      </w:r>
      <w:r w:rsidR="0003105F">
        <w:rPr>
          <w:lang w:val="en-US"/>
        </w:rPr>
        <w:t>: 100</w:t>
      </w:r>
      <w:r w:rsidR="00423C6A">
        <w:rPr>
          <w:lang w:val="en-US"/>
        </w:rPr>
        <w:t>-</w:t>
      </w:r>
      <w:r w:rsidR="0003105F">
        <w:rPr>
          <w:lang w:val="en-US"/>
        </w:rPr>
        <w:t xml:space="preserve">1000 </w:t>
      </w:r>
      <w:proofErr w:type="spellStart"/>
      <w:r w:rsidR="0003105F">
        <w:rPr>
          <w:lang w:val="en-US"/>
        </w:rPr>
        <w:t>apostilibs</w:t>
      </w:r>
      <w:proofErr w:type="spellEnd"/>
      <w:r w:rsidR="0003105F">
        <w:rPr>
          <w:lang w:val="en-US"/>
        </w:rPr>
        <w:t xml:space="preserve"> (1 </w:t>
      </w:r>
      <w:proofErr w:type="spellStart"/>
      <w:r w:rsidR="0003105F">
        <w:rPr>
          <w:lang w:val="en-US"/>
        </w:rPr>
        <w:t>apostilib</w:t>
      </w:r>
      <w:proofErr w:type="spellEnd"/>
      <w:r w:rsidR="0003105F">
        <w:rPr>
          <w:lang w:val="en-US"/>
        </w:rPr>
        <w:t xml:space="preserve"> = 1/π cd.m</w:t>
      </w:r>
      <w:r w:rsidR="0003105F" w:rsidRPr="0003105F">
        <w:rPr>
          <w:vertAlign w:val="superscript"/>
          <w:lang w:val="en-US"/>
        </w:rPr>
        <w:t>-2</w:t>
      </w:r>
      <w:r w:rsidR="0003105F">
        <w:rPr>
          <w:lang w:val="en-US"/>
        </w:rPr>
        <w:t>)</w:t>
      </w:r>
      <w:r w:rsidR="00423C6A">
        <w:rPr>
          <w:lang w:val="en-US"/>
        </w:rPr>
        <w:t>)</w:t>
      </w:r>
      <w:r w:rsidR="008E720E">
        <w:rPr>
          <w:lang w:val="en-US"/>
        </w:rPr>
        <w:t xml:space="preserve">. The blind-spot is indicated </w:t>
      </w:r>
      <w:r w:rsidR="00ED00ED">
        <w:rPr>
          <w:lang w:val="en-US"/>
        </w:rPr>
        <w:t>in</w:t>
      </w:r>
      <w:r w:rsidR="008E720E">
        <w:rPr>
          <w:lang w:val="en-US"/>
        </w:rPr>
        <w:t xml:space="preserve"> blue.</w:t>
      </w:r>
      <w:r w:rsidR="00423C6A">
        <w:rPr>
          <w:lang w:val="en-US"/>
        </w:rPr>
        <w:t xml:space="preserve"> Normal ranges are indicated by the shaded regions.</w:t>
      </w:r>
      <w:r w:rsidR="008E720E">
        <w:rPr>
          <w:b/>
          <w:bCs/>
          <w:lang w:val="en-US"/>
        </w:rPr>
        <w:br w:type="page"/>
      </w:r>
    </w:p>
    <w:p w14:paraId="3624B56D" w14:textId="1873E92C" w:rsidR="008E720E" w:rsidRPr="00EF7389" w:rsidRDefault="00260ABE" w:rsidP="00F91665">
      <w:pPr>
        <w:jc w:val="both"/>
        <w:rPr>
          <w:lang w:val="en-US"/>
        </w:rPr>
      </w:pPr>
      <w:r>
        <w:rPr>
          <w:b/>
          <w:bCs/>
          <w:noProof/>
          <w:lang w:val="en-US"/>
        </w:rPr>
        <w:lastRenderedPageBreak/>
        <w:drawing>
          <wp:inline distT="0" distB="0" distL="0" distR="0" wp14:anchorId="4796DD1D" wp14:editId="27FCDCA6">
            <wp:extent cx="5731510" cy="2919730"/>
            <wp:effectExtent l="0" t="0" r="2540" b="0"/>
            <wp:docPr id="1741690980" name="Picture 1" descr="A diagram of different types of graph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690980" name="Picture 1" descr="A diagram of different types of graph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919730"/>
                    </a:xfrm>
                    <a:prstGeom prst="rect">
                      <a:avLst/>
                    </a:prstGeom>
                  </pic:spPr>
                </pic:pic>
              </a:graphicData>
            </a:graphic>
          </wp:inline>
        </w:drawing>
      </w:r>
      <w:r w:rsidR="00E811FA" w:rsidRPr="00E811FA">
        <w:rPr>
          <w:b/>
          <w:bCs/>
          <w:lang w:val="en-US"/>
        </w:rPr>
        <w:t>Figure S</w:t>
      </w:r>
      <w:r w:rsidR="00E811FA">
        <w:rPr>
          <w:b/>
          <w:bCs/>
          <w:lang w:val="en-US"/>
        </w:rPr>
        <w:t>2</w:t>
      </w:r>
      <w:r w:rsidR="003E3F9C">
        <w:rPr>
          <w:b/>
          <w:bCs/>
          <w:lang w:val="en-US"/>
        </w:rPr>
        <w:t xml:space="preserve"> |</w:t>
      </w:r>
      <w:r w:rsidR="00E811FA" w:rsidRPr="00E811FA">
        <w:rPr>
          <w:b/>
          <w:bCs/>
          <w:lang w:val="en-US"/>
        </w:rPr>
        <w:t xml:space="preserve"> </w:t>
      </w:r>
      <w:r w:rsidR="00AB3236">
        <w:rPr>
          <w:b/>
          <w:bCs/>
          <w:lang w:val="en-US"/>
        </w:rPr>
        <w:t>Bursting responses in Patient 1</w:t>
      </w:r>
      <w:r w:rsidR="0015742E">
        <w:rPr>
          <w:b/>
          <w:bCs/>
          <w:lang w:val="en-US"/>
        </w:rPr>
        <w:t xml:space="preserve"> and </w:t>
      </w:r>
      <w:r w:rsidR="00E27E89">
        <w:rPr>
          <w:b/>
          <w:bCs/>
          <w:lang w:val="en-US"/>
        </w:rPr>
        <w:t xml:space="preserve">gamma </w:t>
      </w:r>
      <w:r w:rsidR="0015742E">
        <w:rPr>
          <w:b/>
          <w:bCs/>
          <w:lang w:val="en-US"/>
        </w:rPr>
        <w:t>oscillations in Patients 1 and 2</w:t>
      </w:r>
      <w:r w:rsidR="00E811FA" w:rsidRPr="00E811FA">
        <w:rPr>
          <w:b/>
          <w:bCs/>
          <w:lang w:val="en-US"/>
        </w:rPr>
        <w:t>.</w:t>
      </w:r>
      <w:r w:rsidR="00E811FA">
        <w:rPr>
          <w:lang w:val="en-US"/>
        </w:rPr>
        <w:t xml:space="preserve"> </w:t>
      </w:r>
      <w:r w:rsidR="0015742E" w:rsidRPr="0015742E">
        <w:rPr>
          <w:b/>
          <w:bCs/>
          <w:lang w:val="en-US"/>
        </w:rPr>
        <w:t>A.</w:t>
      </w:r>
      <w:r w:rsidR="0015742E">
        <w:rPr>
          <w:lang w:val="en-US"/>
        </w:rPr>
        <w:t xml:space="preserve"> </w:t>
      </w:r>
      <w:r w:rsidR="008E720E">
        <w:rPr>
          <w:lang w:val="en-US"/>
        </w:rPr>
        <w:t xml:space="preserve">Power </w:t>
      </w:r>
      <w:r w:rsidR="008E720E" w:rsidRPr="0004345D">
        <w:rPr>
          <w:lang w:val="en-US"/>
        </w:rPr>
        <w:t>spectral density function of spiking responses from three single</w:t>
      </w:r>
      <w:r w:rsidR="00964974" w:rsidRPr="0004345D">
        <w:rPr>
          <w:lang w:val="en-US"/>
        </w:rPr>
        <w:t xml:space="preserve"> </w:t>
      </w:r>
      <w:r w:rsidR="008E720E" w:rsidRPr="0004345D">
        <w:rPr>
          <w:lang w:val="en-US"/>
        </w:rPr>
        <w:t xml:space="preserve">units in </w:t>
      </w:r>
      <w:r w:rsidR="005E5DB5" w:rsidRPr="0004345D">
        <w:rPr>
          <w:lang w:val="en-US"/>
        </w:rPr>
        <w:t>P</w:t>
      </w:r>
      <w:r w:rsidR="008E720E" w:rsidRPr="0004345D">
        <w:rPr>
          <w:lang w:val="en-US"/>
        </w:rPr>
        <w:t xml:space="preserve">atient </w:t>
      </w:r>
      <w:r w:rsidR="005E5DB5" w:rsidRPr="0004345D">
        <w:rPr>
          <w:lang w:val="en-US"/>
        </w:rPr>
        <w:t>#</w:t>
      </w:r>
      <w:r w:rsidR="008E720E" w:rsidRPr="0004345D">
        <w:rPr>
          <w:lang w:val="en-US"/>
        </w:rPr>
        <w:t>1 in response to 8Hz flickering stimuli</w:t>
      </w:r>
      <w:r w:rsidR="00C05169" w:rsidRPr="0004345D">
        <w:rPr>
          <w:lang w:val="en-US"/>
        </w:rPr>
        <w:t xml:space="preserve">. </w:t>
      </w:r>
      <w:r w:rsidR="008E720E" w:rsidRPr="0004345D">
        <w:rPr>
          <w:lang w:val="en-US"/>
        </w:rPr>
        <w:t>High-frequency bursting responses are indicated by the arrows</w:t>
      </w:r>
      <w:r w:rsidR="008E720E">
        <w:rPr>
          <w:lang w:val="en-US"/>
        </w:rPr>
        <w:t>.</w:t>
      </w:r>
      <w:r w:rsidR="000E227E">
        <w:rPr>
          <w:lang w:val="en-US"/>
        </w:rPr>
        <w:t xml:space="preserve"> </w:t>
      </w:r>
      <w:r w:rsidR="00D54CB2">
        <w:rPr>
          <w:lang w:val="en-US"/>
        </w:rPr>
        <w:t xml:space="preserve">We defined burst-spikes as spikes with inter-spike intervals of less than 6.7ms (i.e. &gt; 150Hz) and found that between 32% and 59% of spikes were fired in bursts during 8Hz flicker stimulation (inter-spike interval </w:t>
      </w:r>
      <w:r w:rsidR="00D54CB2">
        <w:rPr>
          <w:lang w:val="en-US"/>
        </w:rPr>
        <w:t xml:space="preserve">&lt; 6.7ms). </w:t>
      </w:r>
      <w:r w:rsidR="0015742E" w:rsidRPr="0015742E">
        <w:rPr>
          <w:b/>
          <w:bCs/>
          <w:lang w:val="en-US"/>
        </w:rPr>
        <w:t>B</w:t>
      </w:r>
      <w:r w:rsidR="00E54481">
        <w:rPr>
          <w:b/>
          <w:bCs/>
          <w:lang w:val="en-US"/>
        </w:rPr>
        <w:t>-E</w:t>
      </w:r>
      <w:r w:rsidR="0015742E" w:rsidRPr="0015742E">
        <w:rPr>
          <w:b/>
          <w:bCs/>
          <w:lang w:val="en-US"/>
        </w:rPr>
        <w:t>.</w:t>
      </w:r>
      <w:r w:rsidR="0015742E">
        <w:rPr>
          <w:lang w:val="en-US"/>
        </w:rPr>
        <w:t xml:space="preserve"> Measures of oscillatory spiking in both patients</w:t>
      </w:r>
      <w:r w:rsidR="00E54481" w:rsidRPr="00E54481">
        <w:rPr>
          <w:b/>
          <w:bCs/>
          <w:lang w:val="en-US"/>
        </w:rPr>
        <w:t>.</w:t>
      </w:r>
      <w:r w:rsidR="00E54481">
        <w:rPr>
          <w:lang w:val="en-US"/>
        </w:rPr>
        <w:t xml:space="preserve"> </w:t>
      </w:r>
      <w:r w:rsidR="0015742E">
        <w:rPr>
          <w:lang w:val="en-US"/>
        </w:rPr>
        <w:t>We calculated two oscillation scores</w:t>
      </w:r>
      <w:r w:rsidR="00D90060">
        <w:rPr>
          <w:lang w:val="en-US"/>
        </w:rPr>
        <w:t xml:space="preserve"> (</w:t>
      </w:r>
      <w:proofErr w:type="spellStart"/>
      <w:r w:rsidR="00D90060">
        <w:rPr>
          <w:lang w:val="en-US"/>
        </w:rPr>
        <w:t>osc</w:t>
      </w:r>
      <w:proofErr w:type="spellEnd"/>
      <w:r w:rsidR="00D90060">
        <w:rPr>
          <w:lang w:val="en-US"/>
        </w:rPr>
        <w:t>. score)</w:t>
      </w:r>
      <w:r w:rsidR="0015742E">
        <w:rPr>
          <w:lang w:val="en-US"/>
        </w:rPr>
        <w:t xml:space="preserve">. </w:t>
      </w:r>
      <w:r w:rsidR="00E54481" w:rsidRPr="00E54481">
        <w:rPr>
          <w:b/>
          <w:bCs/>
          <w:lang w:val="en-US"/>
        </w:rPr>
        <w:t>B</w:t>
      </w:r>
      <w:r w:rsidR="00E54481">
        <w:rPr>
          <w:lang w:val="en-US"/>
        </w:rPr>
        <w:t xml:space="preserve">. </w:t>
      </w:r>
      <w:r w:rsidR="00E14063">
        <w:rPr>
          <w:lang w:val="en-US"/>
        </w:rPr>
        <w:t xml:space="preserve">8Hz </w:t>
      </w:r>
      <w:proofErr w:type="spellStart"/>
      <w:r w:rsidR="00E14063">
        <w:rPr>
          <w:lang w:val="en-US"/>
        </w:rPr>
        <w:t>Osc</w:t>
      </w:r>
      <w:proofErr w:type="spellEnd"/>
      <w:r w:rsidR="00E14063">
        <w:rPr>
          <w:lang w:val="en-US"/>
        </w:rPr>
        <w:t>. Score in Patient 1. We</w:t>
      </w:r>
      <w:r w:rsidR="0015742E">
        <w:rPr>
          <w:lang w:val="en-US"/>
        </w:rPr>
        <w:t xml:space="preserve"> calculated the ratio of the maximum power spectral density (derived from spiking auto-correlograms) between 7-9Hz </w:t>
      </w:r>
      <w:r w:rsidR="00E14063">
        <w:rPr>
          <w:lang w:val="en-US"/>
        </w:rPr>
        <w:t>and</w:t>
      </w:r>
      <w:r w:rsidR="0015742E">
        <w:rPr>
          <w:lang w:val="en-US"/>
        </w:rPr>
        <w:t xml:space="preserve"> the power between 5Hz and 25Hz during spontaneous activity </w:t>
      </w:r>
      <w:r w:rsidR="00E54481">
        <w:rPr>
          <w:lang w:val="en-US"/>
        </w:rPr>
        <w:t xml:space="preserve">(left panel) </w:t>
      </w:r>
      <w:r w:rsidR="0015742E">
        <w:rPr>
          <w:lang w:val="en-US"/>
        </w:rPr>
        <w:t>and during</w:t>
      </w:r>
      <w:r w:rsidR="00E27E89">
        <w:rPr>
          <w:lang w:val="en-US"/>
        </w:rPr>
        <w:t xml:space="preserve"> an</w:t>
      </w:r>
      <w:r w:rsidR="0015742E">
        <w:rPr>
          <w:lang w:val="en-US"/>
        </w:rPr>
        <w:t xml:space="preserve"> 8Hz flickering light (stimulus driven</w:t>
      </w:r>
      <w:r w:rsidR="00E54481">
        <w:rPr>
          <w:lang w:val="en-US"/>
        </w:rPr>
        <w:t>, right panel</w:t>
      </w:r>
      <w:r w:rsidR="0015742E">
        <w:rPr>
          <w:lang w:val="en-US"/>
        </w:rPr>
        <w:t xml:space="preserve">). </w:t>
      </w:r>
      <w:r w:rsidR="001B75AC">
        <w:rPr>
          <w:lang w:val="en-US"/>
        </w:rPr>
        <w:t xml:space="preserve">Red bars come from the central electrode C1, blue bars from the posterior </w:t>
      </w:r>
      <w:r w:rsidR="001B75AC" w:rsidRPr="0004345D">
        <w:rPr>
          <w:lang w:val="en-US"/>
        </w:rPr>
        <w:t xml:space="preserve">electrode P1. Different bars at the same depth come from different units clustered </w:t>
      </w:r>
      <w:r w:rsidR="001B75AC" w:rsidRPr="0004345D">
        <w:rPr>
          <w:lang w:val="en-US"/>
        </w:rPr>
        <w:t>off the same electrode</w:t>
      </w:r>
      <w:r w:rsidR="001B75AC" w:rsidRPr="0004345D">
        <w:rPr>
          <w:lang w:val="en-US"/>
        </w:rPr>
        <w:t xml:space="preserve">. </w:t>
      </w:r>
      <w:r w:rsidR="00E54481" w:rsidRPr="00E54481">
        <w:rPr>
          <w:b/>
          <w:bCs/>
          <w:lang w:val="en-US"/>
        </w:rPr>
        <w:t>C.</w:t>
      </w:r>
      <w:r w:rsidR="00E54481">
        <w:rPr>
          <w:lang w:val="en-US"/>
        </w:rPr>
        <w:t xml:space="preserve"> </w:t>
      </w:r>
      <w:r w:rsidR="00E14063">
        <w:rPr>
          <w:lang w:val="en-US"/>
        </w:rPr>
        <w:t>The</w:t>
      </w:r>
      <w:r w:rsidR="0015742E" w:rsidRPr="0004345D">
        <w:rPr>
          <w:lang w:val="en-US"/>
        </w:rPr>
        <w:t xml:space="preserve"> </w:t>
      </w:r>
      <w:r w:rsidR="002847E9" w:rsidRPr="0004345D">
        <w:rPr>
          <w:lang w:val="en-US"/>
        </w:rPr>
        <w:t>gamma</w:t>
      </w:r>
      <w:r w:rsidR="0015742E" w:rsidRPr="0004345D">
        <w:rPr>
          <w:lang w:val="en-US"/>
        </w:rPr>
        <w:t xml:space="preserve">-frequency oscillation score, which has </w:t>
      </w:r>
      <w:r w:rsidR="00E14063">
        <w:rPr>
          <w:lang w:val="en-US"/>
        </w:rPr>
        <w:t xml:space="preserve">been used </w:t>
      </w:r>
      <w:r w:rsidR="0015742E" w:rsidRPr="0004345D">
        <w:rPr>
          <w:lang w:val="en-US"/>
        </w:rPr>
        <w:t>previously</w:t>
      </w:r>
      <w:r w:rsidR="00EF7389">
        <w:rPr>
          <w:lang w:val="en-US"/>
        </w:rPr>
        <w:fldChar w:fldCharType="begin"/>
      </w:r>
      <w:r w:rsidR="00EF7389">
        <w:rPr>
          <w:lang w:val="en-US"/>
        </w:rPr>
        <w:instrText xml:space="preserve"> ADDIN ZOTERO_ITEM CSL_CITATION {"citationID":"b6JdDISO","properties":{"formattedCitation":"\\super 1\\nosupersub{}","plainCitation":"1","noteIndex":0},"citationItems":[{"id":14183,"uris":["http://zotero.org/users/15178835/items/4GPMXAG4"],"itemData":{"id":14183,"type":"article-journal","abstract":"Fast gamma oscillations, generated within the retina, and transmitted to the cortex via the lateral geniculate nucleus (LGN), are thought to carry information about stimulus size and continuity. This hypothesis relies mainly on studies conducted under anesthesia and the extent to which it holds under more naturalistic conditions remains unclear. Using multielectrode recordings of spiking activity in the retina and the LGN of both male and female cats, we show that visually driven gamma oscillations are absent for awake states and are highly dependent on halothane (or isoflurane). Under ketamine, responses were nonoscillatory, as in the awake condition. Response entrainment to the monitor refresh was commonly observed up to 120 Hz and was superseded by the gamma oscillatory responses induced by halothane. Given that retinal gamma oscillations are contingent on halothane anesthesia and absent in the awake cat, such oscillations should be considered artifactual, thus playing no functional role in vision.SIGNIFICANCE STATEMENT Gamma rhythms have been proposed to be a robust encoding mechanism critical for visual processing. In the retinogeniculate system of the cat, many studies have shown gamma oscillations associated with responses to static stimuli. Here, we extend these observations to dynamic stimuli. An unexpected finding was that retinal gamma responses strongly depend on halothane concentration levels and are absent in the awake cat. These results weaken the notion that gamma in the retina is relevant for vision. Notably, retinal gamma shares many of the properties of cortical gamma. In this respect, oscillations induced by halothane in the retina may serve as a valuable preparation, although artificial, for studying oscillatory dynamics.","container-title":"The Journal of Neuroscience","DOI":"10.1523/JNEUROSCI.1550-22.2023","ISSN":"1529-2401","issue":"28","journalAbbreviation":"J Neurosci","language":"eng","note":"PMID: 37328291\nPMCID: PMC10342227","page":"5204-5220","source":"PubMed","title":"On the Functional Role of Gamma Synchronization in the Retinogeniculate System of the Cat","volume":"43","author":[{"family":"Neuenschwander","given":"Sergio"},{"family":"Rosso","given":"Giovanne"},{"family":"Branco","given":"Natalia"},{"family":"Freitag","given":"Fabio"},{"family":"Tehovnik","given":"Edward J."},{"family":"Schmidt","given":"Kerstin E."},{"family":"Baron","given":"Jerome"}],"issued":{"date-parts":[["2023",7,12]]}}}],"schema":"https://github.com/citation-style-language/schema/raw/master/csl-citation.json"} </w:instrText>
      </w:r>
      <w:r w:rsidR="00EF7389">
        <w:rPr>
          <w:lang w:val="en-US"/>
        </w:rPr>
        <w:fldChar w:fldCharType="separate"/>
      </w:r>
      <w:r w:rsidR="00EF7389" w:rsidRPr="00EF7389">
        <w:rPr>
          <w:rFonts w:ascii="Aptos" w:hAnsi="Aptos" w:cs="Times New Roman"/>
          <w:kern w:val="0"/>
          <w:vertAlign w:val="superscript"/>
          <w:lang w:val="en-US"/>
        </w:rPr>
        <w:t>1</w:t>
      </w:r>
      <w:r w:rsidR="00EF7389">
        <w:rPr>
          <w:lang w:val="en-US"/>
        </w:rPr>
        <w:fldChar w:fldCharType="end"/>
      </w:r>
      <w:r w:rsidR="0015742E">
        <w:rPr>
          <w:lang w:val="en-US"/>
        </w:rPr>
        <w:t>, as the maximum power spectral density between 30-</w:t>
      </w:r>
      <w:r w:rsidR="00D90060">
        <w:rPr>
          <w:lang w:val="en-US"/>
        </w:rPr>
        <w:t xml:space="preserve">90Hz divided by the mean power between 10-120Hz. </w:t>
      </w:r>
      <w:r w:rsidR="004F15D8">
        <w:rPr>
          <w:lang w:val="en-US"/>
        </w:rPr>
        <w:t xml:space="preserve">The values </w:t>
      </w:r>
      <w:r w:rsidR="00EF7389">
        <w:rPr>
          <w:lang w:val="en-US"/>
        </w:rPr>
        <w:t>we</w:t>
      </w:r>
      <w:r w:rsidR="004F15D8">
        <w:rPr>
          <w:lang w:val="en-US"/>
        </w:rPr>
        <w:t>re close to 1, which implies the absence of peaks in the gamma band</w:t>
      </w:r>
      <w:r w:rsidR="00EF7389">
        <w:rPr>
          <w:lang w:val="en-US"/>
        </w:rPr>
        <w:t>, and were considerably lower than values of ~6 observed under halothane anesthesia in cats</w:t>
      </w:r>
      <w:r w:rsidR="00EF7389">
        <w:rPr>
          <w:lang w:val="en-US"/>
        </w:rPr>
        <w:fldChar w:fldCharType="begin"/>
      </w:r>
      <w:r w:rsidR="00EF7389">
        <w:rPr>
          <w:lang w:val="en-US"/>
        </w:rPr>
        <w:instrText xml:space="preserve"> ADDIN ZOTERO_ITEM CSL_CITATION {"citationID":"6YOv3kqP","properties":{"formattedCitation":"\\super 1\\nosupersub{}","plainCitation":"1","noteIndex":0},"citationItems":[{"id":14183,"uris":["http://zotero.org/users/15178835/items/4GPMXAG4"],"itemData":{"id":14183,"type":"article-journal","abstract":"Fast gamma oscillations, generated within the retina, and transmitted to the cortex via the lateral geniculate nucleus (LGN), are thought to carry information about stimulus size and continuity. This hypothesis relies mainly on studies conducted under anesthesia and the extent to which it holds under more naturalistic conditions remains unclear. Using multielectrode recordings of spiking activity in the retina and the LGN of both male and female cats, we show that visually driven gamma oscillations are absent for awake states and are highly dependent on halothane (or isoflurane). Under ketamine, responses were nonoscillatory, as in the awake condition. Response entrainment to the monitor refresh was commonly observed up to 120 Hz and was superseded by the gamma oscillatory responses induced by halothane. Given that retinal gamma oscillations are contingent on halothane anesthesia and absent in the awake cat, such oscillations should be considered artifactual, thus playing no functional role in vision.SIGNIFICANCE STATEMENT Gamma rhythms have been proposed to be a robust encoding mechanism critical for visual processing. In the retinogeniculate system of the cat, many studies have shown gamma oscillations associated with responses to static stimuli. Here, we extend these observations to dynamic stimuli. An unexpected finding was that retinal gamma responses strongly depend on halothane concentration levels and are absent in the awake cat. These results weaken the notion that gamma in the retina is relevant for vision. Notably, retinal gamma shares many of the properties of cortical gamma. In this respect, oscillations induced by halothane in the retina may serve as a valuable preparation, although artificial, for studying oscillatory dynamics.","container-title":"The Journal of Neuroscience","DOI":"10.1523/JNEUROSCI.1550-22.2023","ISSN":"1529-2401","issue":"28","journalAbbreviation":"J Neurosci","language":"eng","note":"PMID: 37328291\nPMCID: PMC10342227","page":"5204-5220","source":"PubMed","title":"On the Functional Role of Gamma Synchronization in the Retinogeniculate System of the Cat","volume":"43","author":[{"family":"Neuenschwander","given":"Sergio"},{"family":"Rosso","given":"Giovanne"},{"family":"Branco","given":"Natalia"},{"family":"Freitag","given":"Fabio"},{"family":"Tehovnik","given":"Edward J."},{"family":"Schmidt","given":"Kerstin E."},{"family":"Baron","given":"Jerome"}],"issued":{"date-parts":[["2023",7,12]]}}}],"schema":"https://github.com/citation-style-language/schema/raw/master/csl-citation.json"} </w:instrText>
      </w:r>
      <w:r w:rsidR="00EF7389">
        <w:rPr>
          <w:lang w:val="en-US"/>
        </w:rPr>
        <w:fldChar w:fldCharType="separate"/>
      </w:r>
      <w:r w:rsidR="00EF7389" w:rsidRPr="00EF7389">
        <w:rPr>
          <w:rFonts w:ascii="Aptos" w:hAnsi="Aptos" w:cs="Times New Roman"/>
          <w:kern w:val="0"/>
          <w:vertAlign w:val="superscript"/>
        </w:rPr>
        <w:t>1</w:t>
      </w:r>
      <w:r w:rsidR="00EF7389">
        <w:rPr>
          <w:lang w:val="en-US"/>
        </w:rPr>
        <w:fldChar w:fldCharType="end"/>
      </w:r>
      <w:r w:rsidR="004F15D8">
        <w:rPr>
          <w:lang w:val="en-US"/>
        </w:rPr>
        <w:t xml:space="preserve">. </w:t>
      </w:r>
      <w:r w:rsidR="00D90060">
        <w:rPr>
          <w:lang w:val="en-US"/>
        </w:rPr>
        <w:t>Asterisks indicate significant oscillatory scores (***: p &lt; 0.001, **: p &lt; 0.01, *: p&lt;0.05</w:t>
      </w:r>
      <w:r w:rsidR="00E27E89">
        <w:rPr>
          <w:lang w:val="en-US"/>
        </w:rPr>
        <w:t>,</w:t>
      </w:r>
      <w:r w:rsidR="00D90060">
        <w:rPr>
          <w:lang w:val="en-US"/>
        </w:rPr>
        <w:t xml:space="preserve"> </w:t>
      </w:r>
      <w:r w:rsidR="00E27E89">
        <w:rPr>
          <w:lang w:val="en-US"/>
        </w:rPr>
        <w:t>n</w:t>
      </w:r>
      <w:r w:rsidR="00D90060">
        <w:rPr>
          <w:lang w:val="en-US"/>
        </w:rPr>
        <w:t>ot corrected for multiple comparisons)</w:t>
      </w:r>
      <w:r w:rsidR="0088746D">
        <w:rPr>
          <w:lang w:val="en-US"/>
        </w:rPr>
        <w:t>. Significance was</w:t>
      </w:r>
      <w:r w:rsidR="00E27E89">
        <w:rPr>
          <w:lang w:val="en-US"/>
        </w:rPr>
        <w:t xml:space="preserve"> based on a comparison to </w:t>
      </w:r>
      <w:r w:rsidR="00D90060">
        <w:rPr>
          <w:lang w:val="en-US"/>
        </w:rPr>
        <w:t>a null distribution</w:t>
      </w:r>
      <w:r w:rsidR="00E27E89">
        <w:rPr>
          <w:lang w:val="en-US"/>
        </w:rPr>
        <w:t>, which was</w:t>
      </w:r>
      <w:r w:rsidR="00D90060">
        <w:rPr>
          <w:lang w:val="en-US"/>
        </w:rPr>
        <w:t xml:space="preserve"> derived by shuffling spike-times. </w:t>
      </w:r>
      <w:r w:rsidR="0088746D">
        <w:rPr>
          <w:lang w:val="en-US"/>
        </w:rPr>
        <w:t>Specifically, the same</w:t>
      </w:r>
      <w:r w:rsidR="00D90060">
        <w:rPr>
          <w:lang w:val="en-US"/>
        </w:rPr>
        <w:t xml:space="preserve"> number of spikes were generated at random time-intervals (uniform distribution) between the time</w:t>
      </w:r>
      <w:r w:rsidR="00E27E89">
        <w:rPr>
          <w:lang w:val="en-US"/>
        </w:rPr>
        <w:t xml:space="preserve">point </w:t>
      </w:r>
      <w:r w:rsidR="00D90060">
        <w:rPr>
          <w:lang w:val="en-US"/>
        </w:rPr>
        <w:t>of the 1</w:t>
      </w:r>
      <w:r w:rsidR="00D90060" w:rsidRPr="00D90060">
        <w:rPr>
          <w:vertAlign w:val="superscript"/>
          <w:lang w:val="en-US"/>
        </w:rPr>
        <w:t>st</w:t>
      </w:r>
      <w:r w:rsidR="00D90060">
        <w:rPr>
          <w:lang w:val="en-US"/>
        </w:rPr>
        <w:t xml:space="preserve"> and last spike of the recording session. The p-value </w:t>
      </w:r>
      <w:r w:rsidR="0088746D">
        <w:rPr>
          <w:lang w:val="en-US"/>
        </w:rPr>
        <w:t>i</w:t>
      </w:r>
      <w:r w:rsidR="00D90060">
        <w:rPr>
          <w:lang w:val="en-US"/>
        </w:rPr>
        <w:t xml:space="preserve">s the proportion of </w:t>
      </w:r>
      <w:proofErr w:type="spellStart"/>
      <w:r w:rsidR="00D90060">
        <w:rPr>
          <w:lang w:val="en-US"/>
        </w:rPr>
        <w:t>osc</w:t>
      </w:r>
      <w:proofErr w:type="spellEnd"/>
      <w:r w:rsidR="00D90060">
        <w:rPr>
          <w:lang w:val="en-US"/>
        </w:rPr>
        <w:t xml:space="preserve">. scores generated from 1000 shuffled spike-trains that were greater than or equal to the calculated </w:t>
      </w:r>
      <w:proofErr w:type="spellStart"/>
      <w:r w:rsidR="00D90060">
        <w:rPr>
          <w:lang w:val="en-US"/>
        </w:rPr>
        <w:t>osc</w:t>
      </w:r>
      <w:proofErr w:type="spellEnd"/>
      <w:r w:rsidR="00D90060">
        <w:rPr>
          <w:lang w:val="en-US"/>
        </w:rPr>
        <w:t>. score.</w:t>
      </w:r>
      <w:r w:rsidR="00936048">
        <w:rPr>
          <w:lang w:val="en-US"/>
        </w:rPr>
        <w:t xml:space="preserve"> </w:t>
      </w:r>
      <w:r w:rsidR="00936048" w:rsidRPr="00F91665">
        <w:rPr>
          <w:b/>
          <w:bCs/>
          <w:lang w:val="en-US"/>
        </w:rPr>
        <w:t>D.</w:t>
      </w:r>
      <w:r w:rsidR="00936048">
        <w:rPr>
          <w:lang w:val="en-US"/>
        </w:rPr>
        <w:t xml:space="preserve"> The 8Hz oscillation score measured </w:t>
      </w:r>
      <w:r w:rsidR="00F91665">
        <w:rPr>
          <w:lang w:val="en-US"/>
        </w:rPr>
        <w:t xml:space="preserve">during presentation of 8Hz drifting gratings in patient 2 (not tested for units 1-4, 6a and 9a). </w:t>
      </w:r>
      <w:r w:rsidR="00F91665" w:rsidRPr="00F91665">
        <w:rPr>
          <w:b/>
          <w:bCs/>
          <w:lang w:val="en-US"/>
        </w:rPr>
        <w:t>E.</w:t>
      </w:r>
      <w:r w:rsidR="00F91665">
        <w:rPr>
          <w:lang w:val="en-US"/>
        </w:rPr>
        <w:t xml:space="preserve"> </w:t>
      </w:r>
      <w:r w:rsidR="00F91665">
        <w:rPr>
          <w:lang w:val="en-US"/>
        </w:rPr>
        <w:t xml:space="preserve">The gamma oscillation score measured during </w:t>
      </w:r>
      <w:r w:rsidR="00531C57">
        <w:rPr>
          <w:lang w:val="en-US"/>
        </w:rPr>
        <w:t xml:space="preserve">the presentation of </w:t>
      </w:r>
      <w:r w:rsidR="00F91665">
        <w:rPr>
          <w:lang w:val="en-US"/>
        </w:rPr>
        <w:t>high-contrast checkerboard presentation (units 1-4, 6a and 9a) or drifting grating</w:t>
      </w:r>
      <w:r w:rsidR="00531C57">
        <w:rPr>
          <w:lang w:val="en-US"/>
        </w:rPr>
        <w:t>s</w:t>
      </w:r>
      <w:r w:rsidR="00F91665">
        <w:rPr>
          <w:lang w:val="en-US"/>
        </w:rPr>
        <w:t xml:space="preserve"> (other units) in patient 2.</w:t>
      </w:r>
    </w:p>
    <w:p w14:paraId="6F6346F1" w14:textId="0A2D3C01" w:rsidR="00E811FA" w:rsidRPr="00E811FA" w:rsidRDefault="006A52A0" w:rsidP="00F91665">
      <w:pPr>
        <w:jc w:val="both"/>
        <w:rPr>
          <w:lang w:val="en-US"/>
        </w:rPr>
      </w:pPr>
      <w:r>
        <w:rPr>
          <w:b/>
          <w:bCs/>
          <w:noProof/>
          <w:lang w:val="en-US"/>
        </w:rPr>
        <w:lastRenderedPageBreak/>
        <w:drawing>
          <wp:inline distT="0" distB="0" distL="0" distR="0" wp14:anchorId="0D3E682E" wp14:editId="70820765">
            <wp:extent cx="5731510" cy="3408045"/>
            <wp:effectExtent l="0" t="0" r="2540" b="1905"/>
            <wp:docPr id="605664229" name="Picture 2"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664229" name="Picture 2" descr="A close-up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408045"/>
                    </a:xfrm>
                    <a:prstGeom prst="rect">
                      <a:avLst/>
                    </a:prstGeom>
                  </pic:spPr>
                </pic:pic>
              </a:graphicData>
            </a:graphic>
          </wp:inline>
        </w:drawing>
      </w:r>
      <w:r w:rsidR="00E811FA" w:rsidRPr="00E811FA">
        <w:rPr>
          <w:b/>
          <w:bCs/>
          <w:lang w:val="en-US"/>
        </w:rPr>
        <w:t>Figure S3</w:t>
      </w:r>
      <w:r w:rsidR="00B11F27">
        <w:rPr>
          <w:b/>
          <w:bCs/>
          <w:lang w:val="en-US"/>
        </w:rPr>
        <w:t xml:space="preserve"> |</w:t>
      </w:r>
      <w:r w:rsidR="00E811FA" w:rsidRPr="00E811FA">
        <w:rPr>
          <w:b/>
          <w:bCs/>
          <w:lang w:val="en-US"/>
        </w:rPr>
        <w:t xml:space="preserve"> Receptive</w:t>
      </w:r>
      <w:r w:rsidR="00FC2F11">
        <w:rPr>
          <w:b/>
          <w:bCs/>
          <w:lang w:val="en-US"/>
        </w:rPr>
        <w:t xml:space="preserve"> </w:t>
      </w:r>
      <w:r w:rsidR="00E811FA" w:rsidRPr="00E811FA">
        <w:rPr>
          <w:b/>
          <w:bCs/>
          <w:lang w:val="en-US"/>
        </w:rPr>
        <w:t xml:space="preserve">field mapping </w:t>
      </w:r>
      <w:r w:rsidR="00FC2F11">
        <w:rPr>
          <w:b/>
          <w:bCs/>
          <w:lang w:val="en-US"/>
        </w:rPr>
        <w:t>Method</w:t>
      </w:r>
      <w:r w:rsidR="00E811FA" w:rsidRPr="00E811FA">
        <w:rPr>
          <w:b/>
          <w:bCs/>
          <w:lang w:val="en-US"/>
        </w:rPr>
        <w:t>.</w:t>
      </w:r>
      <w:r w:rsidR="00E811FA">
        <w:rPr>
          <w:lang w:val="en-US"/>
        </w:rPr>
        <w:t xml:space="preserve"> </w:t>
      </w:r>
      <w:r w:rsidR="00B11F27" w:rsidRPr="00B11F27">
        <w:rPr>
          <w:b/>
          <w:bCs/>
          <w:lang w:val="en-US"/>
        </w:rPr>
        <w:t>a,</w:t>
      </w:r>
      <w:r w:rsidR="00B11F27">
        <w:rPr>
          <w:lang w:val="en-US"/>
        </w:rPr>
        <w:t xml:space="preserve"> </w:t>
      </w:r>
      <w:r w:rsidR="00B11F27">
        <w:rPr>
          <w:lang w:val="en-US"/>
        </w:rPr>
        <w:t>Receptive</w:t>
      </w:r>
      <w:r w:rsidR="00FC2F11">
        <w:rPr>
          <w:lang w:val="en-US"/>
        </w:rPr>
        <w:t xml:space="preserve"> </w:t>
      </w:r>
      <w:r w:rsidR="00B11F27">
        <w:rPr>
          <w:lang w:val="en-US"/>
        </w:rPr>
        <w:t xml:space="preserve">fields were mapped with a </w:t>
      </w:r>
      <w:r w:rsidR="00D6475A">
        <w:rPr>
          <w:lang w:val="en-US"/>
        </w:rPr>
        <w:t xml:space="preserve">moving </w:t>
      </w:r>
      <w:r w:rsidR="00240A9D">
        <w:rPr>
          <w:lang w:val="en-US"/>
        </w:rPr>
        <w:t>(15 deg</w:t>
      </w:r>
      <w:r w:rsidR="00D6475A">
        <w:rPr>
          <w:lang w:val="en-US"/>
        </w:rPr>
        <w:t>./s</w:t>
      </w:r>
      <w:r w:rsidR="00240A9D">
        <w:rPr>
          <w:lang w:val="en-US"/>
        </w:rPr>
        <w:t xml:space="preserve">) </w:t>
      </w:r>
      <w:r w:rsidR="00B11F27">
        <w:rPr>
          <w:lang w:val="en-US"/>
        </w:rPr>
        <w:t>white</w:t>
      </w:r>
      <w:r w:rsidR="00ED58AF">
        <w:rPr>
          <w:lang w:val="en-US"/>
        </w:rPr>
        <w:t xml:space="preserve"> </w:t>
      </w:r>
      <w:r w:rsidR="00B11F27">
        <w:rPr>
          <w:lang w:val="en-US"/>
        </w:rPr>
        <w:t xml:space="preserve">bar on a grey background. </w:t>
      </w:r>
      <w:r w:rsidR="00E811FA">
        <w:rPr>
          <w:lang w:val="en-US"/>
        </w:rPr>
        <w:t xml:space="preserve">The patient was trained on the day prior to the operation to maintain fixation on a central fixation </w:t>
      </w:r>
      <w:r w:rsidR="00B11F27">
        <w:rPr>
          <w:lang w:val="en-US"/>
        </w:rPr>
        <w:t>dot</w:t>
      </w:r>
      <w:r w:rsidR="00E811FA">
        <w:rPr>
          <w:lang w:val="en-US"/>
        </w:rPr>
        <w:t xml:space="preserve"> using an eye-tracker (see Methods) but for technical reasons the patients</w:t>
      </w:r>
      <w:r w:rsidR="00ED58AF">
        <w:rPr>
          <w:lang w:val="en-US"/>
        </w:rPr>
        <w:t>’</w:t>
      </w:r>
      <w:r w:rsidR="00E811FA">
        <w:rPr>
          <w:lang w:val="en-US"/>
        </w:rPr>
        <w:t xml:space="preserve"> eyes could not be tracked during the </w:t>
      </w:r>
      <w:r w:rsidR="00ED58AF">
        <w:rPr>
          <w:lang w:val="en-US"/>
        </w:rPr>
        <w:t>surgery</w:t>
      </w:r>
      <w:r w:rsidR="00E811FA">
        <w:rPr>
          <w:lang w:val="en-US"/>
        </w:rPr>
        <w:t xml:space="preserve">. </w:t>
      </w:r>
      <w:r w:rsidR="00FC2F11" w:rsidRPr="0097658B">
        <w:rPr>
          <w:b/>
          <w:bCs/>
          <w:lang w:val="en-US"/>
        </w:rPr>
        <w:t>b,</w:t>
      </w:r>
      <w:r w:rsidR="00FC2F11">
        <w:rPr>
          <w:lang w:val="en-US"/>
        </w:rPr>
        <w:t xml:space="preserve"> </w:t>
      </w:r>
      <w:r w:rsidR="00ED58AF">
        <w:rPr>
          <w:lang w:val="en-US"/>
        </w:rPr>
        <w:t>T</w:t>
      </w:r>
      <w:r w:rsidR="00FC2F11">
        <w:rPr>
          <w:lang w:val="en-US"/>
        </w:rPr>
        <w:t>he</w:t>
      </w:r>
      <w:r w:rsidR="00E811FA">
        <w:rPr>
          <w:lang w:val="en-US"/>
        </w:rPr>
        <w:t xml:space="preserve"> </w:t>
      </w:r>
      <w:r w:rsidR="00ED58AF">
        <w:rPr>
          <w:lang w:val="en-US"/>
        </w:rPr>
        <w:t xml:space="preserve">neuronal </w:t>
      </w:r>
      <w:r w:rsidR="00E811FA">
        <w:rPr>
          <w:lang w:val="en-US"/>
        </w:rPr>
        <w:t xml:space="preserve">responses to </w:t>
      </w:r>
      <w:r w:rsidR="00D6475A">
        <w:rPr>
          <w:lang w:val="en-US"/>
        </w:rPr>
        <w:t>mov</w:t>
      </w:r>
      <w:r w:rsidR="00E811FA">
        <w:rPr>
          <w:lang w:val="en-US"/>
        </w:rPr>
        <w:t>ing bar</w:t>
      </w:r>
      <w:r w:rsidR="00DE6446">
        <w:rPr>
          <w:lang w:val="en-US"/>
        </w:rPr>
        <w:t>s</w:t>
      </w:r>
      <w:r w:rsidR="00E811FA">
        <w:rPr>
          <w:lang w:val="en-US"/>
        </w:rPr>
        <w:t xml:space="preserve"> were highly consistent </w:t>
      </w:r>
      <w:r w:rsidR="00D6475A">
        <w:rPr>
          <w:lang w:val="en-US"/>
        </w:rPr>
        <w:t>across</w:t>
      </w:r>
      <w:r w:rsidR="00E811FA">
        <w:rPr>
          <w:lang w:val="en-US"/>
        </w:rPr>
        <w:t xml:space="preserve"> trials</w:t>
      </w:r>
      <w:r w:rsidR="00DE6446">
        <w:rPr>
          <w:lang w:val="en-US"/>
        </w:rPr>
        <w:t>, which implies</w:t>
      </w:r>
      <w:r w:rsidR="00E811FA">
        <w:rPr>
          <w:lang w:val="en-US"/>
        </w:rPr>
        <w:t xml:space="preserve"> successful fixation.</w:t>
      </w:r>
      <w:r w:rsidR="003E3F9C">
        <w:rPr>
          <w:lang w:val="en-US"/>
        </w:rPr>
        <w:t xml:space="preserve"> The graphs show </w:t>
      </w:r>
      <w:r w:rsidR="00DE6446">
        <w:rPr>
          <w:lang w:val="en-US"/>
        </w:rPr>
        <w:t>the firing rate of</w:t>
      </w:r>
      <w:r w:rsidR="003E3F9C">
        <w:rPr>
          <w:lang w:val="en-US"/>
        </w:rPr>
        <w:t xml:space="preserve"> Unit #7 </w:t>
      </w:r>
      <w:r w:rsidR="00DE6446">
        <w:rPr>
          <w:lang w:val="en-US"/>
        </w:rPr>
        <w:t xml:space="preserve">in Hz </w:t>
      </w:r>
      <w:r w:rsidR="003E3F9C">
        <w:rPr>
          <w:lang w:val="en-US"/>
        </w:rPr>
        <w:t xml:space="preserve">on ten trials </w:t>
      </w:r>
      <w:r w:rsidR="00DE6446">
        <w:rPr>
          <w:lang w:val="en-US"/>
        </w:rPr>
        <w:t>(black trace</w:t>
      </w:r>
      <w:r w:rsidR="00D6475A">
        <w:rPr>
          <w:lang w:val="en-US"/>
        </w:rPr>
        <w:t>s</w:t>
      </w:r>
      <w:r w:rsidR="00DE6446">
        <w:rPr>
          <w:lang w:val="en-US"/>
        </w:rPr>
        <w:t xml:space="preserve">) </w:t>
      </w:r>
      <w:r w:rsidR="00D6475A">
        <w:rPr>
          <w:lang w:val="en-US"/>
        </w:rPr>
        <w:t>elicited by</w:t>
      </w:r>
      <w:r w:rsidR="003E3F9C">
        <w:rPr>
          <w:lang w:val="en-US"/>
        </w:rPr>
        <w:t xml:space="preserve"> rightwards bar sweep</w:t>
      </w:r>
      <w:r w:rsidR="00DE6446">
        <w:rPr>
          <w:lang w:val="en-US"/>
        </w:rPr>
        <w:t>, after subtraction of the baseline firing rate</w:t>
      </w:r>
      <w:r w:rsidR="003E3F9C">
        <w:rPr>
          <w:lang w:val="en-US"/>
        </w:rPr>
        <w:t xml:space="preserve">. The red </w:t>
      </w:r>
      <w:r w:rsidR="00DE6446">
        <w:rPr>
          <w:lang w:val="en-US"/>
        </w:rPr>
        <w:t>trace shows</w:t>
      </w:r>
      <w:r w:rsidR="003E3F9C">
        <w:rPr>
          <w:lang w:val="en-US"/>
        </w:rPr>
        <w:t xml:space="preserve"> the average </w:t>
      </w:r>
      <w:r w:rsidR="00DE6446">
        <w:rPr>
          <w:lang w:val="en-US"/>
        </w:rPr>
        <w:t xml:space="preserve">response </w:t>
      </w:r>
      <w:r w:rsidR="003E3F9C">
        <w:rPr>
          <w:lang w:val="en-US"/>
        </w:rPr>
        <w:t xml:space="preserve">across ten trials. </w:t>
      </w:r>
      <w:r w:rsidR="003E3F9C" w:rsidRPr="003E3F9C">
        <w:rPr>
          <w:b/>
          <w:bCs/>
          <w:lang w:val="en-US"/>
        </w:rPr>
        <w:t>c,</w:t>
      </w:r>
      <w:r w:rsidR="003E3F9C">
        <w:rPr>
          <w:lang w:val="en-US"/>
        </w:rPr>
        <w:t xml:space="preserve"> To correct for small shifts of the eye </w:t>
      </w:r>
      <w:r w:rsidR="00FC2F11">
        <w:rPr>
          <w:lang w:val="en-US"/>
        </w:rPr>
        <w:t>across</w:t>
      </w:r>
      <w:r w:rsidR="003E3F9C">
        <w:rPr>
          <w:lang w:val="en-US"/>
        </w:rPr>
        <w:t xml:space="preserve"> trials</w:t>
      </w:r>
      <w:r w:rsidR="00FC2F11">
        <w:rPr>
          <w:lang w:val="en-US"/>
        </w:rPr>
        <w:t xml:space="preserve">, we shifted </w:t>
      </w:r>
      <w:r w:rsidR="00D6475A">
        <w:rPr>
          <w:lang w:val="en-US"/>
        </w:rPr>
        <w:t xml:space="preserve">time-axis of </w:t>
      </w:r>
      <w:r w:rsidR="00FC2F11">
        <w:rPr>
          <w:lang w:val="en-US"/>
        </w:rPr>
        <w:t>the</w:t>
      </w:r>
      <w:r w:rsidR="003E3F9C">
        <w:rPr>
          <w:lang w:val="en-US"/>
        </w:rPr>
        <w:t xml:space="preserve"> responses</w:t>
      </w:r>
      <w:r w:rsidR="00DE6446">
        <w:rPr>
          <w:lang w:val="en-US"/>
        </w:rPr>
        <w:t xml:space="preserve"> </w:t>
      </w:r>
      <w:r w:rsidR="00D6475A">
        <w:rPr>
          <w:lang w:val="en-US"/>
        </w:rPr>
        <w:t xml:space="preserve">of single trials </w:t>
      </w:r>
      <w:r w:rsidR="00DE6446">
        <w:rPr>
          <w:lang w:val="en-US"/>
        </w:rPr>
        <w:t>based on</w:t>
      </w:r>
      <w:r w:rsidR="00FC2F11">
        <w:rPr>
          <w:lang w:val="en-US"/>
        </w:rPr>
        <w:t xml:space="preserve"> the</w:t>
      </w:r>
      <w:r w:rsidR="003E3F9C">
        <w:rPr>
          <w:lang w:val="en-US"/>
        </w:rPr>
        <w:t xml:space="preserve"> cross-correlation </w:t>
      </w:r>
      <w:r w:rsidR="00FC2F11">
        <w:rPr>
          <w:lang w:val="en-US"/>
        </w:rPr>
        <w:t xml:space="preserve">between the single trial response and </w:t>
      </w:r>
      <w:r w:rsidR="003E3F9C">
        <w:rPr>
          <w:lang w:val="en-US"/>
        </w:rPr>
        <w:t>the average response. The four graphs show the mean PSTH</w:t>
      </w:r>
      <w:r w:rsidR="00D6475A">
        <w:rPr>
          <w:lang w:val="en-US"/>
        </w:rPr>
        <w:t>s</w:t>
      </w:r>
      <w:r w:rsidR="003E3F9C">
        <w:rPr>
          <w:lang w:val="en-US"/>
        </w:rPr>
        <w:t xml:space="preserve"> to four directions of the bar</w:t>
      </w:r>
      <w:r w:rsidR="00FC2F11">
        <w:rPr>
          <w:lang w:val="en-US"/>
        </w:rPr>
        <w:t xml:space="preserve"> before </w:t>
      </w:r>
      <w:r w:rsidR="00142A47">
        <w:rPr>
          <w:lang w:val="en-US"/>
        </w:rPr>
        <w:t xml:space="preserve">(black </w:t>
      </w:r>
      <w:r w:rsidR="00DE6446">
        <w:rPr>
          <w:lang w:val="en-US"/>
        </w:rPr>
        <w:t>trace</w:t>
      </w:r>
      <w:r w:rsidR="00142A47">
        <w:rPr>
          <w:lang w:val="en-US"/>
        </w:rPr>
        <w:t>)</w:t>
      </w:r>
      <w:r w:rsidR="00DE6446">
        <w:rPr>
          <w:lang w:val="en-US"/>
        </w:rPr>
        <w:t xml:space="preserve"> and</w:t>
      </w:r>
      <w:r w:rsidR="003E3F9C">
        <w:rPr>
          <w:lang w:val="en-US"/>
        </w:rPr>
        <w:t xml:space="preserve"> after </w:t>
      </w:r>
      <w:r w:rsidR="00FC2F11">
        <w:rPr>
          <w:lang w:val="en-US"/>
        </w:rPr>
        <w:t>correction</w:t>
      </w:r>
      <w:r w:rsidR="00DE6446">
        <w:rPr>
          <w:lang w:val="en-US"/>
        </w:rPr>
        <w:t xml:space="preserve"> (</w:t>
      </w:r>
      <w:r>
        <w:rPr>
          <w:lang w:val="en-US"/>
        </w:rPr>
        <w:t>purple</w:t>
      </w:r>
      <w:r w:rsidR="00DE6446">
        <w:rPr>
          <w:lang w:val="en-US"/>
        </w:rPr>
        <w:t xml:space="preserve"> trace)</w:t>
      </w:r>
      <w:r w:rsidR="003E3F9C">
        <w:rPr>
          <w:lang w:val="en-US"/>
        </w:rPr>
        <w:t>.</w:t>
      </w:r>
      <w:r w:rsidR="00142A47">
        <w:rPr>
          <w:lang w:val="en-US"/>
        </w:rPr>
        <w:t xml:space="preserve"> </w:t>
      </w:r>
      <w:r w:rsidR="00142A47" w:rsidRPr="0097658B">
        <w:rPr>
          <w:b/>
          <w:bCs/>
          <w:lang w:val="en-US"/>
        </w:rPr>
        <w:t>d,</w:t>
      </w:r>
      <w:r w:rsidR="00142A47">
        <w:rPr>
          <w:lang w:val="en-US"/>
        </w:rPr>
        <w:t xml:space="preserve"> The difference-of-Gaussians model used to fit the responses to the drifting bar. The model </w:t>
      </w:r>
      <w:r w:rsidR="00ED58AF">
        <w:rPr>
          <w:lang w:val="en-US"/>
        </w:rPr>
        <w:t xml:space="preserve">of the dynamic response </w:t>
      </w:r>
      <w:r w:rsidR="00142A47">
        <w:rPr>
          <w:lang w:val="en-US"/>
        </w:rPr>
        <w:t>consists of an excitatory and inhibitory Gaussian (</w:t>
      </w:r>
      <w:r w:rsidR="00AC5391">
        <w:rPr>
          <w:lang w:val="en-US"/>
        </w:rPr>
        <w:t xml:space="preserve">red and blue in the </w:t>
      </w:r>
      <w:r w:rsidR="00142A47">
        <w:rPr>
          <w:lang w:val="en-US"/>
        </w:rPr>
        <w:t>left panel)</w:t>
      </w:r>
      <w:r w:rsidR="00ED58AF">
        <w:rPr>
          <w:lang w:val="en-US"/>
        </w:rPr>
        <w:t>, which were</w:t>
      </w:r>
      <w:r w:rsidR="00142A47">
        <w:rPr>
          <w:lang w:val="en-US"/>
        </w:rPr>
        <w:t xml:space="preserve"> convolved with the first differential of the luminance profile of the bar stimulus (purple line). </w:t>
      </w:r>
      <w:r w:rsidR="00AC5391">
        <w:rPr>
          <w:lang w:val="en-US"/>
        </w:rPr>
        <w:t xml:space="preserve">We modeled the stationary component with an additional </w:t>
      </w:r>
      <w:r w:rsidR="00142A47">
        <w:rPr>
          <w:lang w:val="en-US"/>
        </w:rPr>
        <w:t>Gaussian</w:t>
      </w:r>
      <w:r w:rsidR="00AC5391">
        <w:rPr>
          <w:lang w:val="en-US"/>
        </w:rPr>
        <w:t xml:space="preserve"> (green)</w:t>
      </w:r>
      <w:r w:rsidR="00142A47">
        <w:rPr>
          <w:lang w:val="en-US"/>
        </w:rPr>
        <w:t xml:space="preserve">. </w:t>
      </w:r>
    </w:p>
    <w:p w14:paraId="0AE4D75C" w14:textId="77777777" w:rsidR="008E720E" w:rsidRDefault="008E720E" w:rsidP="00F91665">
      <w:pPr>
        <w:jc w:val="both"/>
        <w:rPr>
          <w:b/>
          <w:bCs/>
          <w:lang w:val="en-US"/>
        </w:rPr>
      </w:pPr>
      <w:r>
        <w:rPr>
          <w:b/>
          <w:bCs/>
          <w:lang w:val="en-US"/>
        </w:rPr>
        <w:br w:type="page"/>
      </w:r>
    </w:p>
    <w:p w14:paraId="4EA57D37" w14:textId="48948C8C" w:rsidR="00E811FA" w:rsidRPr="00142A47" w:rsidRDefault="00D54CB2" w:rsidP="00F91665">
      <w:pPr>
        <w:jc w:val="both"/>
        <w:rPr>
          <w:lang w:val="en-US"/>
        </w:rPr>
      </w:pPr>
      <w:r>
        <w:rPr>
          <w:b/>
          <w:bCs/>
          <w:noProof/>
          <w:lang w:eastAsia="nl-NL"/>
        </w:rPr>
        <w:lastRenderedPageBreak/>
        <w:drawing>
          <wp:inline distT="0" distB="0" distL="0" distR="0" wp14:anchorId="0CF4D4CD" wp14:editId="429F732E">
            <wp:extent cx="5731510" cy="47466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4 RF fits.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746625"/>
                    </a:xfrm>
                    <a:prstGeom prst="rect">
                      <a:avLst/>
                    </a:prstGeom>
                  </pic:spPr>
                </pic:pic>
              </a:graphicData>
            </a:graphic>
          </wp:inline>
        </w:drawing>
      </w:r>
      <w:r w:rsidR="00E811FA" w:rsidRPr="00E811FA">
        <w:rPr>
          <w:b/>
          <w:bCs/>
          <w:lang w:val="en-US"/>
        </w:rPr>
        <w:t>Figure S</w:t>
      </w:r>
      <w:r w:rsidR="00E811FA">
        <w:rPr>
          <w:b/>
          <w:bCs/>
          <w:lang w:val="en-US"/>
        </w:rPr>
        <w:t>4</w:t>
      </w:r>
      <w:r w:rsidR="00142A47">
        <w:rPr>
          <w:b/>
          <w:bCs/>
          <w:lang w:val="en-US"/>
        </w:rPr>
        <w:t xml:space="preserve"> |</w:t>
      </w:r>
      <w:r w:rsidR="00E811FA" w:rsidRPr="00E811FA">
        <w:rPr>
          <w:b/>
          <w:bCs/>
          <w:lang w:val="en-US"/>
        </w:rPr>
        <w:t xml:space="preserve"> </w:t>
      </w:r>
      <w:r w:rsidR="00AB3236">
        <w:rPr>
          <w:b/>
          <w:bCs/>
          <w:lang w:val="en-US"/>
        </w:rPr>
        <w:t>Receptive field fits</w:t>
      </w:r>
      <w:r w:rsidR="00E811FA" w:rsidRPr="00E811FA">
        <w:rPr>
          <w:b/>
          <w:bCs/>
          <w:lang w:val="en-US"/>
        </w:rPr>
        <w:t>.</w:t>
      </w:r>
      <w:r w:rsidR="00E811FA">
        <w:rPr>
          <w:lang w:val="en-US"/>
        </w:rPr>
        <w:t xml:space="preserve"> </w:t>
      </w:r>
      <w:r w:rsidR="00142A47">
        <w:rPr>
          <w:lang w:val="en-US"/>
        </w:rPr>
        <w:t xml:space="preserve">Fits in the format of Figure 2c for </w:t>
      </w:r>
      <w:r>
        <w:rPr>
          <w:lang w:val="en-US"/>
        </w:rPr>
        <w:t>four</w:t>
      </w:r>
      <w:r w:rsidR="00142A47">
        <w:rPr>
          <w:lang w:val="en-US"/>
        </w:rPr>
        <w:t xml:space="preserve"> units with an r</w:t>
      </w:r>
      <w:r w:rsidR="00142A47">
        <w:rPr>
          <w:vertAlign w:val="superscript"/>
          <w:lang w:val="en-US"/>
        </w:rPr>
        <w:t>2</w:t>
      </w:r>
      <w:r w:rsidR="00142A47">
        <w:rPr>
          <w:lang w:val="en-US"/>
        </w:rPr>
        <w:t xml:space="preserve"> value of greater than 0.5.</w:t>
      </w:r>
    </w:p>
    <w:p w14:paraId="559DC178" w14:textId="77777777" w:rsidR="00142A47" w:rsidRDefault="00142A47" w:rsidP="00F91665">
      <w:pPr>
        <w:jc w:val="both"/>
        <w:rPr>
          <w:b/>
          <w:bCs/>
          <w:lang w:val="en-US"/>
        </w:rPr>
      </w:pPr>
    </w:p>
    <w:p w14:paraId="0736E400" w14:textId="77777777" w:rsidR="00E54A81" w:rsidRDefault="00E54A81" w:rsidP="00F91665">
      <w:pPr>
        <w:jc w:val="both"/>
        <w:rPr>
          <w:b/>
          <w:bCs/>
          <w:lang w:val="en-US"/>
        </w:rPr>
      </w:pPr>
      <w:r>
        <w:rPr>
          <w:b/>
          <w:bCs/>
          <w:noProof/>
          <w:lang w:val="en-US"/>
        </w:rPr>
        <w:lastRenderedPageBreak/>
        <w:drawing>
          <wp:inline distT="0" distB="0" distL="0" distR="0" wp14:anchorId="7B825011" wp14:editId="00A83532">
            <wp:extent cx="5184648" cy="6077712"/>
            <wp:effectExtent l="0" t="0" r="0" b="0"/>
            <wp:docPr id="159441596"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41596" name="Picture 2" descr="A collage of graph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84648" cy="6077712"/>
                    </a:xfrm>
                    <a:prstGeom prst="rect">
                      <a:avLst/>
                    </a:prstGeom>
                  </pic:spPr>
                </pic:pic>
              </a:graphicData>
            </a:graphic>
          </wp:inline>
        </w:drawing>
      </w:r>
    </w:p>
    <w:p w14:paraId="3DC195F3" w14:textId="347D7210" w:rsidR="00E811FA" w:rsidRPr="0004345D" w:rsidRDefault="00E811FA" w:rsidP="00F91665">
      <w:pPr>
        <w:jc w:val="both"/>
        <w:rPr>
          <w:lang w:val="en-US"/>
        </w:rPr>
      </w:pPr>
      <w:r w:rsidRPr="00E811FA">
        <w:rPr>
          <w:b/>
          <w:bCs/>
          <w:lang w:val="en-US"/>
        </w:rPr>
        <w:t>Figure S</w:t>
      </w:r>
      <w:r>
        <w:rPr>
          <w:b/>
          <w:bCs/>
          <w:lang w:val="en-US"/>
        </w:rPr>
        <w:t>5</w:t>
      </w:r>
      <w:r w:rsidR="00142A47">
        <w:rPr>
          <w:b/>
          <w:bCs/>
          <w:lang w:val="en-US"/>
        </w:rPr>
        <w:t xml:space="preserve"> </w:t>
      </w:r>
      <w:r w:rsidR="00142A47" w:rsidRPr="0004345D">
        <w:rPr>
          <w:b/>
          <w:bCs/>
          <w:lang w:val="en-US"/>
        </w:rPr>
        <w:t>|</w:t>
      </w:r>
      <w:r w:rsidRPr="0004345D">
        <w:rPr>
          <w:b/>
          <w:bCs/>
          <w:lang w:val="en-US"/>
        </w:rPr>
        <w:t xml:space="preserve"> </w:t>
      </w:r>
      <w:r w:rsidR="0030108C">
        <w:rPr>
          <w:b/>
          <w:bCs/>
          <w:lang w:val="en-US"/>
        </w:rPr>
        <w:t>Tuning to s</w:t>
      </w:r>
      <w:r w:rsidR="00AB3236" w:rsidRPr="0004345D">
        <w:rPr>
          <w:b/>
          <w:bCs/>
          <w:lang w:val="en-US"/>
        </w:rPr>
        <w:t xml:space="preserve">patial </w:t>
      </w:r>
      <w:r w:rsidR="0030108C">
        <w:rPr>
          <w:b/>
          <w:bCs/>
          <w:lang w:val="en-US"/>
        </w:rPr>
        <w:t>f</w:t>
      </w:r>
      <w:r w:rsidR="00AB3236" w:rsidRPr="0004345D">
        <w:rPr>
          <w:b/>
          <w:bCs/>
          <w:lang w:val="en-US"/>
        </w:rPr>
        <w:t xml:space="preserve">requency </w:t>
      </w:r>
      <w:r w:rsidR="00142A47" w:rsidRPr="0004345D">
        <w:rPr>
          <w:b/>
          <w:bCs/>
          <w:lang w:val="en-US"/>
        </w:rPr>
        <w:t>and speed</w:t>
      </w:r>
      <w:r w:rsidRPr="0004345D">
        <w:rPr>
          <w:b/>
          <w:bCs/>
          <w:lang w:val="en-US"/>
        </w:rPr>
        <w:t>.</w:t>
      </w:r>
      <w:r w:rsidRPr="0004345D">
        <w:rPr>
          <w:lang w:val="en-US"/>
        </w:rPr>
        <w:t xml:space="preserve"> </w:t>
      </w:r>
      <w:r w:rsidR="00E54A81" w:rsidRPr="0004345D">
        <w:rPr>
          <w:b/>
          <w:bCs/>
          <w:lang w:val="en-US"/>
        </w:rPr>
        <w:t>a-b,</w:t>
      </w:r>
      <w:r w:rsidR="00E54A81" w:rsidRPr="0004345D">
        <w:rPr>
          <w:lang w:val="en-US"/>
        </w:rPr>
        <w:t xml:space="preserve"> Spatial and temporal frequency tuning curves </w:t>
      </w:r>
      <w:r w:rsidR="00D6475A">
        <w:rPr>
          <w:lang w:val="en-US"/>
        </w:rPr>
        <w:t>of</w:t>
      </w:r>
      <w:r w:rsidR="00D6475A" w:rsidRPr="0004345D">
        <w:rPr>
          <w:lang w:val="en-US"/>
        </w:rPr>
        <w:t xml:space="preserve"> </w:t>
      </w:r>
      <w:r w:rsidR="005E5DB5" w:rsidRPr="0004345D">
        <w:rPr>
          <w:lang w:val="en-US"/>
        </w:rPr>
        <w:t>U</w:t>
      </w:r>
      <w:r w:rsidR="00E54A81" w:rsidRPr="0004345D">
        <w:rPr>
          <w:lang w:val="en-US"/>
        </w:rPr>
        <w:t xml:space="preserve">nit #12. </w:t>
      </w:r>
      <w:r w:rsidR="00E54A81" w:rsidRPr="0004345D">
        <w:rPr>
          <w:b/>
          <w:bCs/>
          <w:lang w:val="en-US"/>
        </w:rPr>
        <w:t>c,</w:t>
      </w:r>
      <w:r w:rsidR="00E54A81" w:rsidRPr="0004345D">
        <w:rPr>
          <w:lang w:val="en-US"/>
        </w:rPr>
        <w:t xml:space="preserve"> </w:t>
      </w:r>
      <w:r w:rsidR="0030108C">
        <w:rPr>
          <w:lang w:val="en-US"/>
        </w:rPr>
        <w:t>S</w:t>
      </w:r>
      <w:r w:rsidR="00E54A81" w:rsidRPr="0004345D">
        <w:rPr>
          <w:lang w:val="en-US"/>
        </w:rPr>
        <w:t xml:space="preserve">peed tuning curve </w:t>
      </w:r>
      <w:r w:rsidR="0030108C">
        <w:rPr>
          <w:lang w:val="en-US"/>
        </w:rPr>
        <w:t xml:space="preserve">of </w:t>
      </w:r>
      <w:r w:rsidR="005E5DB5" w:rsidRPr="0004345D">
        <w:rPr>
          <w:lang w:val="en-US"/>
        </w:rPr>
        <w:t>U</w:t>
      </w:r>
      <w:r w:rsidR="00E54A81" w:rsidRPr="0004345D">
        <w:rPr>
          <w:lang w:val="en-US"/>
        </w:rPr>
        <w:t xml:space="preserve">nit #12. </w:t>
      </w:r>
      <w:r w:rsidR="00E54A81" w:rsidRPr="0004345D">
        <w:rPr>
          <w:b/>
          <w:bCs/>
          <w:lang w:val="en-US"/>
        </w:rPr>
        <w:t>d-e,</w:t>
      </w:r>
      <w:r w:rsidR="00E54A81" w:rsidRPr="0004345D">
        <w:rPr>
          <w:lang w:val="en-US"/>
        </w:rPr>
        <w:t xml:space="preserve"> Spatial and temporal frequency tuning curves </w:t>
      </w:r>
      <w:r w:rsidR="00D6475A">
        <w:rPr>
          <w:lang w:val="en-US"/>
        </w:rPr>
        <w:t>of</w:t>
      </w:r>
      <w:r w:rsidR="00D6475A" w:rsidRPr="0004345D">
        <w:rPr>
          <w:lang w:val="en-US"/>
        </w:rPr>
        <w:t xml:space="preserve"> </w:t>
      </w:r>
      <w:r w:rsidR="005E5DB5" w:rsidRPr="0004345D">
        <w:rPr>
          <w:lang w:val="en-US"/>
        </w:rPr>
        <w:t>U</w:t>
      </w:r>
      <w:r w:rsidR="00E54A81" w:rsidRPr="0004345D">
        <w:rPr>
          <w:lang w:val="en-US"/>
        </w:rPr>
        <w:t xml:space="preserve">nit #11. </w:t>
      </w:r>
      <w:r w:rsidR="00E54A81" w:rsidRPr="0004345D">
        <w:rPr>
          <w:b/>
          <w:bCs/>
          <w:lang w:val="en-US"/>
        </w:rPr>
        <w:t>f,</w:t>
      </w:r>
      <w:r w:rsidR="00E54A81" w:rsidRPr="0004345D">
        <w:rPr>
          <w:lang w:val="en-US"/>
        </w:rPr>
        <w:t xml:space="preserve"> The </w:t>
      </w:r>
      <w:r w:rsidR="0030108C">
        <w:rPr>
          <w:lang w:val="en-US"/>
        </w:rPr>
        <w:t xml:space="preserve">response of </w:t>
      </w:r>
      <w:r w:rsidR="0030108C" w:rsidRPr="0004345D">
        <w:rPr>
          <w:lang w:val="en-US"/>
        </w:rPr>
        <w:t>Unit #1</w:t>
      </w:r>
      <w:r w:rsidR="00495508">
        <w:rPr>
          <w:lang w:val="en-US"/>
        </w:rPr>
        <w:t>1</w:t>
      </w:r>
      <w:r w:rsidR="00E54A81" w:rsidRPr="0004345D">
        <w:rPr>
          <w:lang w:val="en-US"/>
        </w:rPr>
        <w:t xml:space="preserve"> at the three temporal frequencies. </w:t>
      </w:r>
      <w:r w:rsidR="006A52A0">
        <w:rPr>
          <w:lang w:val="en-US"/>
        </w:rPr>
        <w:t xml:space="preserve">The grating appeared on the screen at 0s. </w:t>
      </w:r>
      <w:r w:rsidR="00E54A81" w:rsidRPr="0004345D">
        <w:rPr>
          <w:b/>
          <w:bCs/>
          <w:lang w:val="en-US"/>
        </w:rPr>
        <w:t>g-h,</w:t>
      </w:r>
      <w:r w:rsidR="00E54A81" w:rsidRPr="0004345D">
        <w:rPr>
          <w:lang w:val="en-US"/>
        </w:rPr>
        <w:t xml:space="preserve"> Spatial and temporal frequency tuning curves for </w:t>
      </w:r>
      <w:r w:rsidR="005E5DB5" w:rsidRPr="0004345D">
        <w:rPr>
          <w:lang w:val="en-US"/>
        </w:rPr>
        <w:t>U</w:t>
      </w:r>
      <w:r w:rsidR="00E54A81" w:rsidRPr="0004345D">
        <w:rPr>
          <w:lang w:val="en-US"/>
        </w:rPr>
        <w:t xml:space="preserve">nit #9, which preferred intermediate values. </w:t>
      </w:r>
      <w:proofErr w:type="spellStart"/>
      <w:r w:rsidR="00E54A81" w:rsidRPr="0004345D">
        <w:rPr>
          <w:b/>
          <w:bCs/>
          <w:lang w:val="en-US"/>
        </w:rPr>
        <w:t>i</w:t>
      </w:r>
      <w:proofErr w:type="spellEnd"/>
      <w:r w:rsidR="00E54A81" w:rsidRPr="0004345D">
        <w:rPr>
          <w:b/>
          <w:bCs/>
          <w:lang w:val="en-US"/>
        </w:rPr>
        <w:t>,</w:t>
      </w:r>
      <w:r w:rsidR="00E54A81" w:rsidRPr="0004345D">
        <w:rPr>
          <w:lang w:val="en-US"/>
        </w:rPr>
        <w:t xml:space="preserve"> The time-course of </w:t>
      </w:r>
      <w:r w:rsidR="0030108C">
        <w:rPr>
          <w:lang w:val="en-US"/>
        </w:rPr>
        <w:t>the response of</w:t>
      </w:r>
      <w:r w:rsidR="00E54A81" w:rsidRPr="0004345D">
        <w:rPr>
          <w:lang w:val="en-US"/>
        </w:rPr>
        <w:t xml:space="preserve"> </w:t>
      </w:r>
      <w:r w:rsidR="005E5DB5" w:rsidRPr="0004345D">
        <w:rPr>
          <w:lang w:val="en-US"/>
        </w:rPr>
        <w:t>U</w:t>
      </w:r>
      <w:r w:rsidR="00E54A81" w:rsidRPr="0004345D">
        <w:rPr>
          <w:lang w:val="en-US"/>
        </w:rPr>
        <w:t xml:space="preserve">nit #9. </w:t>
      </w:r>
      <w:r w:rsidR="00D6475A">
        <w:rPr>
          <w:lang w:val="en-US"/>
        </w:rPr>
        <w:t xml:space="preserve">Error bars are </w:t>
      </w:r>
      <w:proofErr w:type="spellStart"/>
      <w:r w:rsidR="00D6475A">
        <w:rPr>
          <w:lang w:val="en-US"/>
        </w:rPr>
        <w:t>s.e.m.</w:t>
      </w:r>
      <w:proofErr w:type="spellEnd"/>
      <w:r w:rsidR="00D6475A">
        <w:rPr>
          <w:lang w:val="en-US"/>
        </w:rPr>
        <w:t xml:space="preserve"> across trials. </w:t>
      </w:r>
    </w:p>
    <w:p w14:paraId="09FCB653" w14:textId="77777777" w:rsidR="008E720E" w:rsidRDefault="008E720E" w:rsidP="00F91665">
      <w:pPr>
        <w:jc w:val="both"/>
        <w:rPr>
          <w:b/>
          <w:bCs/>
          <w:lang w:val="en-US"/>
        </w:rPr>
      </w:pPr>
      <w:r>
        <w:rPr>
          <w:b/>
          <w:bCs/>
          <w:lang w:val="en-US"/>
        </w:rPr>
        <w:br w:type="page"/>
      </w:r>
    </w:p>
    <w:p w14:paraId="20B9777B" w14:textId="5684D658" w:rsidR="00E811FA" w:rsidRDefault="00D31D0F" w:rsidP="00F91665">
      <w:pPr>
        <w:jc w:val="both"/>
        <w:rPr>
          <w:lang w:val="en-US"/>
        </w:rPr>
      </w:pPr>
      <w:r>
        <w:rPr>
          <w:b/>
          <w:bCs/>
          <w:noProof/>
          <w:lang w:val="en-US"/>
        </w:rPr>
        <w:lastRenderedPageBreak/>
        <w:drawing>
          <wp:inline distT="0" distB="0" distL="0" distR="0" wp14:anchorId="766692A2" wp14:editId="3818A1C5">
            <wp:extent cx="5731510" cy="4309745"/>
            <wp:effectExtent l="0" t="0" r="2540" b="0"/>
            <wp:docPr id="1025187743" name="Picture 1"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187743" name="Picture 1" descr="A diagram of a diagram&#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309745"/>
                    </a:xfrm>
                    <a:prstGeom prst="rect">
                      <a:avLst/>
                    </a:prstGeom>
                  </pic:spPr>
                </pic:pic>
              </a:graphicData>
            </a:graphic>
          </wp:inline>
        </w:drawing>
      </w:r>
      <w:r w:rsidR="00E811FA" w:rsidRPr="00E811FA">
        <w:rPr>
          <w:b/>
          <w:bCs/>
          <w:lang w:val="en-US"/>
        </w:rPr>
        <w:t>Figure S</w:t>
      </w:r>
      <w:r w:rsidR="00E811FA">
        <w:rPr>
          <w:b/>
          <w:bCs/>
          <w:lang w:val="en-US"/>
        </w:rPr>
        <w:t>6</w:t>
      </w:r>
      <w:r w:rsidR="00142A47">
        <w:rPr>
          <w:b/>
          <w:bCs/>
          <w:lang w:val="en-US"/>
        </w:rPr>
        <w:t xml:space="preserve"> |</w:t>
      </w:r>
      <w:r w:rsidR="00E811FA" w:rsidRPr="00E811FA">
        <w:rPr>
          <w:b/>
          <w:bCs/>
          <w:lang w:val="en-US"/>
        </w:rPr>
        <w:t xml:space="preserve"> </w:t>
      </w:r>
      <w:r w:rsidR="00AB3236">
        <w:rPr>
          <w:b/>
          <w:bCs/>
          <w:lang w:val="en-US"/>
        </w:rPr>
        <w:t xml:space="preserve">Orientation and </w:t>
      </w:r>
      <w:r w:rsidR="00AB3236" w:rsidRPr="0004345D">
        <w:rPr>
          <w:b/>
          <w:bCs/>
          <w:lang w:val="en-US"/>
        </w:rPr>
        <w:t>direction tuning</w:t>
      </w:r>
      <w:r w:rsidR="00E811FA" w:rsidRPr="0004345D">
        <w:rPr>
          <w:b/>
          <w:bCs/>
          <w:lang w:val="en-US"/>
        </w:rPr>
        <w:t>.</w:t>
      </w:r>
      <w:r w:rsidR="00E811FA" w:rsidRPr="0004345D">
        <w:rPr>
          <w:lang w:val="en-US"/>
        </w:rPr>
        <w:t xml:space="preserve"> </w:t>
      </w:r>
      <w:r w:rsidR="00142A47" w:rsidRPr="0004345D">
        <w:rPr>
          <w:b/>
          <w:bCs/>
          <w:lang w:val="en-US"/>
        </w:rPr>
        <w:t>a,</w:t>
      </w:r>
      <w:r w:rsidR="00142A47" w:rsidRPr="0004345D">
        <w:rPr>
          <w:lang w:val="en-US"/>
        </w:rPr>
        <w:t xml:space="preserve"> Responses </w:t>
      </w:r>
      <w:r w:rsidR="000A6B1B">
        <w:rPr>
          <w:lang w:val="en-US"/>
        </w:rPr>
        <w:t xml:space="preserve">of Unit #13 </w:t>
      </w:r>
      <w:r w:rsidR="00142A47" w:rsidRPr="0004345D">
        <w:rPr>
          <w:lang w:val="en-US"/>
        </w:rPr>
        <w:t xml:space="preserve">to eight </w:t>
      </w:r>
      <w:r w:rsidR="007577B4" w:rsidRPr="0004345D">
        <w:rPr>
          <w:lang w:val="en-US"/>
        </w:rPr>
        <w:t>directions</w:t>
      </w:r>
      <w:r w:rsidR="00142A47" w:rsidRPr="0004345D">
        <w:rPr>
          <w:lang w:val="en-US"/>
        </w:rPr>
        <w:t xml:space="preserve"> of a drifting grating</w:t>
      </w:r>
      <w:r w:rsidR="000A6B1B">
        <w:rPr>
          <w:lang w:val="en-US"/>
        </w:rPr>
        <w:t>.</w:t>
      </w:r>
      <w:r w:rsidR="00142A47" w:rsidRPr="0004345D">
        <w:rPr>
          <w:lang w:val="en-US"/>
        </w:rPr>
        <w:t xml:space="preserve"> The dashed-line shows the best-fitting circular double-Gaussian function</w:t>
      </w:r>
      <w:r w:rsidR="000A6B1B">
        <w:rPr>
          <w:lang w:val="en-US"/>
        </w:rPr>
        <w:t xml:space="preserve"> (</w:t>
      </w:r>
      <w:r w:rsidR="000A6B1B" w:rsidRPr="0004345D">
        <w:rPr>
          <w:lang w:val="en-US"/>
        </w:rPr>
        <w:t>r</w:t>
      </w:r>
      <w:r w:rsidR="000A6B1B" w:rsidRPr="0004345D">
        <w:rPr>
          <w:vertAlign w:val="superscript"/>
          <w:lang w:val="en-US"/>
        </w:rPr>
        <w:t>2</w:t>
      </w:r>
      <w:r w:rsidR="000A6B1B" w:rsidRPr="0004345D">
        <w:rPr>
          <w:lang w:val="en-US"/>
        </w:rPr>
        <w:t xml:space="preserve"> value indicates goodness</w:t>
      </w:r>
      <w:r w:rsidR="000A6B1B">
        <w:rPr>
          <w:lang w:val="en-US"/>
        </w:rPr>
        <w:t>-of-fit)</w:t>
      </w:r>
      <w:r w:rsidR="00142A47" w:rsidRPr="0004345D">
        <w:rPr>
          <w:lang w:val="en-US"/>
        </w:rPr>
        <w:t xml:space="preserve">. </w:t>
      </w:r>
      <w:r w:rsidR="00D60A39" w:rsidRPr="0004345D">
        <w:rPr>
          <w:lang w:val="en-US"/>
        </w:rPr>
        <w:t xml:space="preserve">The p-value indicates the fraction of 10,000 label-scrambled controls </w:t>
      </w:r>
      <w:r w:rsidR="008716E6" w:rsidRPr="0004345D">
        <w:rPr>
          <w:lang w:val="en-US"/>
        </w:rPr>
        <w:t xml:space="preserve">with stronger </w:t>
      </w:r>
      <w:r w:rsidR="00D60A39" w:rsidRPr="0004345D">
        <w:rPr>
          <w:lang w:val="en-US"/>
        </w:rPr>
        <w:t>orientation</w:t>
      </w:r>
      <w:r w:rsidR="008716E6" w:rsidRPr="0004345D">
        <w:rPr>
          <w:lang w:val="en-US"/>
        </w:rPr>
        <w:t xml:space="preserve"> </w:t>
      </w:r>
      <w:r w:rsidR="00D60A39" w:rsidRPr="0004345D">
        <w:rPr>
          <w:lang w:val="en-US"/>
        </w:rPr>
        <w:t>tuning strength (1-circular variance)</w:t>
      </w:r>
      <w:r w:rsidRPr="0004345D">
        <w:rPr>
          <w:lang w:val="en-US"/>
        </w:rPr>
        <w:t xml:space="preserve">. </w:t>
      </w:r>
      <w:r w:rsidR="00142A47">
        <w:rPr>
          <w:lang w:val="en-US"/>
        </w:rPr>
        <w:t xml:space="preserve">Error-bars indicate 1 </w:t>
      </w:r>
      <w:proofErr w:type="spellStart"/>
      <w:r w:rsidR="00142A47">
        <w:rPr>
          <w:lang w:val="en-US"/>
        </w:rPr>
        <w:t>s.e.m.</w:t>
      </w:r>
      <w:proofErr w:type="spellEnd"/>
      <w:r w:rsidR="000A6B1B" w:rsidRPr="000A6B1B">
        <w:rPr>
          <w:lang w:val="en-US"/>
        </w:rPr>
        <w:t xml:space="preserve"> </w:t>
      </w:r>
      <w:r w:rsidR="000A6B1B">
        <w:rPr>
          <w:lang w:val="en-US"/>
        </w:rPr>
        <w:t xml:space="preserve">Inset, </w:t>
      </w:r>
      <w:r w:rsidR="000A6B1B" w:rsidRPr="0004345D">
        <w:rPr>
          <w:lang w:val="en-US"/>
        </w:rPr>
        <w:t xml:space="preserve">polar </w:t>
      </w:r>
      <w:r w:rsidR="000A6B1B">
        <w:rPr>
          <w:lang w:val="en-US"/>
        </w:rPr>
        <w:t>plot of the same data</w:t>
      </w:r>
      <w:r w:rsidR="000A6B1B" w:rsidRPr="0004345D">
        <w:rPr>
          <w:lang w:val="en-US"/>
        </w:rPr>
        <w:t xml:space="preserve">. </w:t>
      </w:r>
      <w:r w:rsidR="00142A47">
        <w:rPr>
          <w:lang w:val="en-US"/>
        </w:rPr>
        <w:t xml:space="preserve"> </w:t>
      </w:r>
      <w:r w:rsidR="00142A47" w:rsidRPr="00D60A39">
        <w:rPr>
          <w:b/>
          <w:bCs/>
          <w:lang w:val="en-US"/>
        </w:rPr>
        <w:t>b,</w:t>
      </w:r>
      <w:r w:rsidR="00D60A39">
        <w:rPr>
          <w:lang w:val="en-US"/>
        </w:rPr>
        <w:t xml:space="preserve"> Responses </w:t>
      </w:r>
      <w:r w:rsidR="000A6B1B">
        <w:rPr>
          <w:lang w:val="en-US"/>
        </w:rPr>
        <w:t xml:space="preserve">at MUA recording site #9b </w:t>
      </w:r>
      <w:r w:rsidR="008716E6">
        <w:rPr>
          <w:lang w:val="en-US"/>
        </w:rPr>
        <w:t>in the</w:t>
      </w:r>
      <w:r w:rsidR="00D60A39">
        <w:rPr>
          <w:lang w:val="en-US"/>
        </w:rPr>
        <w:t xml:space="preserve"> same format as panel a. </w:t>
      </w:r>
      <w:r w:rsidR="00D60A39" w:rsidRPr="00D60A39">
        <w:rPr>
          <w:b/>
          <w:bCs/>
          <w:lang w:val="en-US"/>
        </w:rPr>
        <w:t>c,</w:t>
      </w:r>
      <w:r w:rsidR="00D60A39">
        <w:rPr>
          <w:lang w:val="en-US"/>
        </w:rPr>
        <w:t xml:space="preserve"> </w:t>
      </w:r>
      <w:r w:rsidR="000A6B1B">
        <w:rPr>
          <w:lang w:val="en-US"/>
        </w:rPr>
        <w:t>One minus t</w:t>
      </w:r>
      <w:r w:rsidR="00D60A39">
        <w:rPr>
          <w:lang w:val="en-US"/>
        </w:rPr>
        <w:t xml:space="preserve">he circular variance values of 9 units that were tested with drifting gratings. The grey area shows the 95% confidence interval derived from label-scrambled controls. The red marker indicates the significant unit. </w:t>
      </w:r>
      <w:r w:rsidR="00D60A39" w:rsidRPr="00D60A39">
        <w:rPr>
          <w:b/>
          <w:bCs/>
          <w:lang w:val="en-US"/>
        </w:rPr>
        <w:t>d,</w:t>
      </w:r>
      <w:r w:rsidR="00D60A39">
        <w:rPr>
          <w:lang w:val="en-US"/>
        </w:rPr>
        <w:t xml:space="preserve"> </w:t>
      </w:r>
      <w:r w:rsidR="000A6B1B">
        <w:rPr>
          <w:lang w:val="en-US"/>
        </w:rPr>
        <w:t>S</w:t>
      </w:r>
      <w:r w:rsidR="00D60A39">
        <w:rPr>
          <w:lang w:val="en-US"/>
        </w:rPr>
        <w:t xml:space="preserve">ame </w:t>
      </w:r>
      <w:r w:rsidR="000A6B1B">
        <w:rPr>
          <w:lang w:val="en-US"/>
        </w:rPr>
        <w:t xml:space="preserve">as c </w:t>
      </w:r>
      <w:r w:rsidR="00D60A39">
        <w:rPr>
          <w:lang w:val="en-US"/>
        </w:rPr>
        <w:t>but for direction tuning.</w:t>
      </w:r>
    </w:p>
    <w:p w14:paraId="2B0981D3" w14:textId="77777777" w:rsidR="00C05169" w:rsidRDefault="00C05169" w:rsidP="00F91665">
      <w:pPr>
        <w:jc w:val="both"/>
        <w:rPr>
          <w:lang w:val="en-US"/>
        </w:rPr>
      </w:pPr>
    </w:p>
    <w:p w14:paraId="7F9F34C2" w14:textId="0DBD0547" w:rsidR="00E811FA" w:rsidRDefault="00AF01C6" w:rsidP="00F91665">
      <w:pPr>
        <w:jc w:val="both"/>
        <w:rPr>
          <w:lang w:val="en-US"/>
        </w:rPr>
      </w:pPr>
      <w:r>
        <w:rPr>
          <w:b/>
          <w:bCs/>
          <w:noProof/>
          <w:lang w:val="en-US"/>
        </w:rPr>
        <w:lastRenderedPageBreak/>
        <w:drawing>
          <wp:inline distT="0" distB="0" distL="0" distR="0" wp14:anchorId="2666EE93" wp14:editId="081FEA44">
            <wp:extent cx="5731510" cy="3630930"/>
            <wp:effectExtent l="0" t="0" r="2540" b="7620"/>
            <wp:docPr id="1412578448"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578448" name="Picture 1" descr="A collage of graph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630930"/>
                    </a:xfrm>
                    <a:prstGeom prst="rect">
                      <a:avLst/>
                    </a:prstGeom>
                  </pic:spPr>
                </pic:pic>
              </a:graphicData>
            </a:graphic>
          </wp:inline>
        </w:drawing>
      </w:r>
      <w:r w:rsidR="00E811FA" w:rsidRPr="0004345D">
        <w:rPr>
          <w:b/>
          <w:bCs/>
          <w:lang w:val="en-US"/>
        </w:rPr>
        <w:t>Figure S7</w:t>
      </w:r>
      <w:r w:rsidR="005C2CF9" w:rsidRPr="0004345D">
        <w:rPr>
          <w:b/>
          <w:bCs/>
          <w:lang w:val="en-US"/>
        </w:rPr>
        <w:t xml:space="preserve"> | </w:t>
      </w:r>
      <w:r w:rsidR="00AB3236" w:rsidRPr="0004345D">
        <w:rPr>
          <w:b/>
          <w:bCs/>
          <w:lang w:val="en-US"/>
        </w:rPr>
        <w:t>Color tuning</w:t>
      </w:r>
      <w:r w:rsidR="00E811FA" w:rsidRPr="0004345D">
        <w:rPr>
          <w:b/>
          <w:bCs/>
          <w:lang w:val="en-US"/>
        </w:rPr>
        <w:t>.</w:t>
      </w:r>
      <w:r w:rsidR="00E811FA" w:rsidRPr="0004345D">
        <w:rPr>
          <w:lang w:val="en-US"/>
        </w:rPr>
        <w:t xml:space="preserve"> </w:t>
      </w:r>
      <w:r w:rsidR="005C2CF9" w:rsidRPr="0004345D">
        <w:rPr>
          <w:b/>
          <w:bCs/>
          <w:lang w:val="en-US"/>
        </w:rPr>
        <w:t>(a-c),</w:t>
      </w:r>
      <w:r w:rsidR="005C2CF9" w:rsidRPr="0004345D">
        <w:rPr>
          <w:lang w:val="en-US"/>
        </w:rPr>
        <w:t xml:space="preserve"> </w:t>
      </w:r>
      <w:r w:rsidR="00D60A39" w:rsidRPr="0004345D">
        <w:rPr>
          <w:lang w:val="en-US"/>
        </w:rPr>
        <w:t xml:space="preserve">Responses </w:t>
      </w:r>
      <w:r w:rsidR="003704E8">
        <w:rPr>
          <w:lang w:val="en-US"/>
        </w:rPr>
        <w:t xml:space="preserve">of 3 units </w:t>
      </w:r>
      <w:r w:rsidR="00D60A39" w:rsidRPr="0004345D">
        <w:rPr>
          <w:lang w:val="en-US"/>
        </w:rPr>
        <w:t xml:space="preserve">to colored checkerboards. </w:t>
      </w:r>
      <w:r w:rsidR="003704E8">
        <w:rPr>
          <w:lang w:val="en-US"/>
        </w:rPr>
        <w:t>The multi-unit activity a</w:t>
      </w:r>
      <w:r w:rsidR="006F1AE1">
        <w:rPr>
          <w:lang w:val="en-US"/>
        </w:rPr>
        <w:t>t</w:t>
      </w:r>
      <w:r w:rsidR="003704E8">
        <w:rPr>
          <w:lang w:val="en-US"/>
        </w:rPr>
        <w:t xml:space="preserve"> recording sites </w:t>
      </w:r>
      <w:r w:rsidR="007577B4" w:rsidRPr="0004345D">
        <w:rPr>
          <w:lang w:val="en-US"/>
        </w:rPr>
        <w:t>#</w:t>
      </w:r>
      <w:r w:rsidR="00D60A39" w:rsidRPr="0004345D">
        <w:rPr>
          <w:lang w:val="en-US"/>
        </w:rPr>
        <w:t>6</w:t>
      </w:r>
      <w:r w:rsidR="00FE76D8">
        <w:rPr>
          <w:lang w:val="en-US"/>
        </w:rPr>
        <w:t>a</w:t>
      </w:r>
      <w:r w:rsidR="00D60A39" w:rsidRPr="0004345D">
        <w:rPr>
          <w:lang w:val="en-US"/>
        </w:rPr>
        <w:t xml:space="preserve"> and </w:t>
      </w:r>
      <w:r w:rsidR="007577B4" w:rsidRPr="0004345D">
        <w:rPr>
          <w:lang w:val="en-US"/>
        </w:rPr>
        <w:t>#</w:t>
      </w:r>
      <w:r w:rsidR="00D60A39" w:rsidRPr="0004345D">
        <w:rPr>
          <w:lang w:val="en-US"/>
        </w:rPr>
        <w:t>12 respon</w:t>
      </w:r>
      <w:r w:rsidR="003704E8">
        <w:rPr>
          <w:lang w:val="en-US"/>
        </w:rPr>
        <w:t>d</w:t>
      </w:r>
      <w:r w:rsidR="00D60A39" w:rsidRPr="0004345D">
        <w:rPr>
          <w:lang w:val="en-US"/>
        </w:rPr>
        <w:t>e</w:t>
      </w:r>
      <w:r w:rsidR="003704E8">
        <w:rPr>
          <w:lang w:val="en-US"/>
        </w:rPr>
        <w:t>d</w:t>
      </w:r>
      <w:r w:rsidR="00D60A39" w:rsidRPr="0004345D">
        <w:rPr>
          <w:lang w:val="en-US"/>
        </w:rPr>
        <w:t xml:space="preserve"> to both phases of a red-green checkerboard. Unit </w:t>
      </w:r>
      <w:r w:rsidR="007577B4" w:rsidRPr="0004345D">
        <w:rPr>
          <w:lang w:val="en-US"/>
        </w:rPr>
        <w:t>#</w:t>
      </w:r>
      <w:r w:rsidR="00D60A39" w:rsidRPr="0004345D">
        <w:rPr>
          <w:lang w:val="en-US"/>
        </w:rPr>
        <w:t xml:space="preserve">3 </w:t>
      </w:r>
      <w:r w:rsidR="009A7B98" w:rsidRPr="0004345D">
        <w:rPr>
          <w:lang w:val="en-US"/>
        </w:rPr>
        <w:t xml:space="preserve">responded </w:t>
      </w:r>
      <w:r w:rsidR="006A52A0">
        <w:rPr>
          <w:lang w:val="en-US"/>
        </w:rPr>
        <w:t xml:space="preserve">more strongly </w:t>
      </w:r>
      <w:r w:rsidR="00D60A39" w:rsidRPr="0004345D">
        <w:rPr>
          <w:lang w:val="en-US"/>
        </w:rPr>
        <w:t>to one phase of red-green and blue-yellow checkerboard</w:t>
      </w:r>
      <w:r w:rsidR="009A7B98" w:rsidRPr="0004345D">
        <w:rPr>
          <w:lang w:val="en-US"/>
        </w:rPr>
        <w:t>s</w:t>
      </w:r>
      <w:r w:rsidR="006F1AE1">
        <w:rPr>
          <w:lang w:val="en-US"/>
        </w:rPr>
        <w:t xml:space="preserve"> than to the other phase</w:t>
      </w:r>
      <w:r w:rsidR="00D60A39" w:rsidRPr="0004345D">
        <w:rPr>
          <w:lang w:val="en-US"/>
        </w:rPr>
        <w:t xml:space="preserve">. </w:t>
      </w:r>
      <w:r w:rsidR="009A7B98" w:rsidRPr="0004345D">
        <w:rPr>
          <w:lang w:val="en-US"/>
        </w:rPr>
        <w:t>W</w:t>
      </w:r>
      <w:r w:rsidR="00D60A39" w:rsidRPr="0004345D">
        <w:rPr>
          <w:lang w:val="en-US"/>
        </w:rPr>
        <w:t xml:space="preserve">e did not measure the </w:t>
      </w:r>
      <w:r w:rsidR="009A7B98" w:rsidRPr="0004345D">
        <w:rPr>
          <w:lang w:val="en-US"/>
        </w:rPr>
        <w:t xml:space="preserve">exact </w:t>
      </w:r>
      <w:r w:rsidR="00D60A39">
        <w:rPr>
          <w:lang w:val="en-US"/>
        </w:rPr>
        <w:t xml:space="preserve">RF </w:t>
      </w:r>
      <w:r w:rsidR="00330033">
        <w:rPr>
          <w:lang w:val="en-US"/>
        </w:rPr>
        <w:t xml:space="preserve">for this cell </w:t>
      </w:r>
      <w:r w:rsidR="009A7B98">
        <w:rPr>
          <w:lang w:val="en-US"/>
        </w:rPr>
        <w:t>and do not know if the cell preferred the green/blue or red/yellow phase</w:t>
      </w:r>
      <w:r w:rsidR="00D60A39">
        <w:rPr>
          <w:lang w:val="en-US"/>
        </w:rPr>
        <w:t>. Format as in Figure 2h.</w:t>
      </w:r>
      <w:r w:rsidR="005C2CF9">
        <w:rPr>
          <w:lang w:val="en-US"/>
        </w:rPr>
        <w:t xml:space="preserve"> </w:t>
      </w:r>
    </w:p>
    <w:p w14:paraId="7C724339" w14:textId="4689E6A1" w:rsidR="009A0A7B" w:rsidRDefault="009A0A7B" w:rsidP="00F91665">
      <w:pPr>
        <w:jc w:val="both"/>
        <w:rPr>
          <w:lang w:val="en-US"/>
        </w:rPr>
      </w:pPr>
      <w:r>
        <w:rPr>
          <w:lang w:val="en-US"/>
        </w:rPr>
        <w:br w:type="page"/>
      </w:r>
    </w:p>
    <w:p w14:paraId="33619152" w14:textId="3ABC3DB5" w:rsidR="009A0A7B" w:rsidRDefault="009A0A7B" w:rsidP="00F91665">
      <w:pPr>
        <w:jc w:val="both"/>
        <w:rPr>
          <w:lang w:val="en-US"/>
        </w:rPr>
      </w:pPr>
      <w:r>
        <w:rPr>
          <w:noProof/>
          <w:lang w:val="en-US"/>
        </w:rPr>
        <w:lastRenderedPageBreak/>
        <w:drawing>
          <wp:inline distT="0" distB="0" distL="0" distR="0" wp14:anchorId="62981D92" wp14:editId="4C13F03A">
            <wp:extent cx="5731510" cy="1729105"/>
            <wp:effectExtent l="0" t="0" r="2540" b="4445"/>
            <wp:docPr id="1564471432" name="Picture 1" descr="A graph of a wa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471432" name="Picture 1" descr="A graph of a wave&#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1729105"/>
                    </a:xfrm>
                    <a:prstGeom prst="rect">
                      <a:avLst/>
                    </a:prstGeom>
                  </pic:spPr>
                </pic:pic>
              </a:graphicData>
            </a:graphic>
          </wp:inline>
        </w:drawing>
      </w:r>
    </w:p>
    <w:p w14:paraId="4D4383D4" w14:textId="4AF56CCC" w:rsidR="00D31D0F" w:rsidRDefault="009A0A7B" w:rsidP="00F91665">
      <w:pPr>
        <w:jc w:val="both"/>
        <w:rPr>
          <w:lang w:val="en-US"/>
        </w:rPr>
      </w:pPr>
      <w:r w:rsidRPr="00E811FA">
        <w:rPr>
          <w:b/>
          <w:bCs/>
          <w:lang w:val="en-US"/>
        </w:rPr>
        <w:t>Figure S</w:t>
      </w:r>
      <w:r w:rsidR="003C3241">
        <w:rPr>
          <w:b/>
          <w:bCs/>
          <w:lang w:val="en-US"/>
        </w:rPr>
        <w:t>8</w:t>
      </w:r>
      <w:r>
        <w:rPr>
          <w:b/>
          <w:bCs/>
          <w:lang w:val="en-US"/>
        </w:rPr>
        <w:t xml:space="preserve"> | Wave-</w:t>
      </w:r>
      <w:r>
        <w:rPr>
          <w:b/>
          <w:bCs/>
          <w:lang w:val="en-US"/>
        </w:rPr>
        <w:t>shapes</w:t>
      </w:r>
      <w:r w:rsidRPr="00E811FA">
        <w:rPr>
          <w:b/>
          <w:bCs/>
          <w:lang w:val="en-US"/>
        </w:rPr>
        <w:t>.</w:t>
      </w:r>
      <w:r>
        <w:rPr>
          <w:lang w:val="en-US"/>
        </w:rPr>
        <w:t xml:space="preserve"> </w:t>
      </w:r>
      <w:r>
        <w:rPr>
          <w:b/>
          <w:bCs/>
          <w:lang w:val="en-US"/>
        </w:rPr>
        <w:t>a</w:t>
      </w:r>
      <w:r w:rsidRPr="0004345D">
        <w:rPr>
          <w:b/>
          <w:bCs/>
          <w:lang w:val="en-US"/>
        </w:rPr>
        <w:t>,</w:t>
      </w:r>
      <w:r w:rsidRPr="0004345D">
        <w:rPr>
          <w:lang w:val="en-US"/>
        </w:rPr>
        <w:t xml:space="preserve"> Average wave-shapes from all 15 units in </w:t>
      </w:r>
      <w:r w:rsidR="007577B4" w:rsidRPr="0004345D">
        <w:rPr>
          <w:lang w:val="en-US"/>
        </w:rPr>
        <w:t>P</w:t>
      </w:r>
      <w:r w:rsidRPr="0004345D">
        <w:rPr>
          <w:lang w:val="en-US"/>
        </w:rPr>
        <w:t xml:space="preserve">atient </w:t>
      </w:r>
      <w:r w:rsidR="007577B4" w:rsidRPr="0004345D">
        <w:rPr>
          <w:lang w:val="en-US"/>
        </w:rPr>
        <w:t>#</w:t>
      </w:r>
      <w:r w:rsidRPr="0004345D">
        <w:rPr>
          <w:lang w:val="en-US"/>
        </w:rPr>
        <w:t>2. The blue colors mark narrow</w:t>
      </w:r>
      <w:r w:rsidR="006F1AE1">
        <w:rPr>
          <w:lang w:val="en-US"/>
        </w:rPr>
        <w:t>est</w:t>
      </w:r>
      <w:r w:rsidRPr="0004345D">
        <w:rPr>
          <w:lang w:val="en-US"/>
        </w:rPr>
        <w:t xml:space="preserve"> wave-shapes (Units #5, </w:t>
      </w:r>
      <w:r w:rsidR="007577B4" w:rsidRPr="0004345D">
        <w:rPr>
          <w:lang w:val="en-US"/>
        </w:rPr>
        <w:t>#</w:t>
      </w:r>
      <w:r w:rsidRPr="0004345D">
        <w:rPr>
          <w:lang w:val="en-US"/>
        </w:rPr>
        <w:t xml:space="preserve">10, </w:t>
      </w:r>
      <w:r w:rsidR="007577B4" w:rsidRPr="0004345D">
        <w:rPr>
          <w:lang w:val="en-US"/>
        </w:rPr>
        <w:t>#</w:t>
      </w:r>
      <w:r w:rsidRPr="0004345D">
        <w:rPr>
          <w:lang w:val="en-US"/>
        </w:rPr>
        <w:t xml:space="preserve">13) with a full-width half-maximum of the initial peak of less than 150µs and a peak-trough distance of less than 250µs. Spikes are shown inverted (negative </w:t>
      </w:r>
      <w:r>
        <w:rPr>
          <w:lang w:val="en-US"/>
        </w:rPr>
        <w:t xml:space="preserve">becomes positive) and normalized to the maximum response. One unit (#8) had a biphasic positive first response (arrow). </w:t>
      </w:r>
      <w:r w:rsidRPr="009A0A7B">
        <w:rPr>
          <w:b/>
          <w:bCs/>
          <w:lang w:val="en-US"/>
        </w:rPr>
        <w:t>b,</w:t>
      </w:r>
      <w:r>
        <w:rPr>
          <w:lang w:val="en-US"/>
        </w:rPr>
        <w:t xml:space="preserve"> Average spike wave-shapes from Unit #12 during binocular and monocular viewing. The spike wave-shape remained stable during these different viewing conditions indicating that changes in spontaneous rates are unlikely to be due to changes in spike-isolation.</w:t>
      </w:r>
    </w:p>
    <w:p w14:paraId="5ADCCBF4" w14:textId="63894919" w:rsidR="009A0A7B" w:rsidRDefault="009A0A7B" w:rsidP="00F91665">
      <w:pPr>
        <w:jc w:val="both"/>
        <w:rPr>
          <w:lang w:val="en-US"/>
        </w:rPr>
      </w:pPr>
      <w:r>
        <w:rPr>
          <w:lang w:val="en-US"/>
        </w:rPr>
        <w:br w:type="page"/>
      </w:r>
    </w:p>
    <w:p w14:paraId="24C62EC8" w14:textId="77777777" w:rsidR="009A0A7B" w:rsidRDefault="009A0A7B" w:rsidP="00F91665">
      <w:pPr>
        <w:jc w:val="both"/>
        <w:rPr>
          <w:lang w:val="en-US"/>
        </w:rPr>
      </w:pPr>
    </w:p>
    <w:tbl>
      <w:tblPr>
        <w:tblW w:w="10255" w:type="dxa"/>
        <w:tblLook w:val="04A0" w:firstRow="1" w:lastRow="0" w:firstColumn="1" w:lastColumn="0" w:noHBand="0" w:noVBand="1"/>
      </w:tblPr>
      <w:tblGrid>
        <w:gridCol w:w="500"/>
        <w:gridCol w:w="778"/>
        <w:gridCol w:w="581"/>
        <w:gridCol w:w="680"/>
        <w:gridCol w:w="133"/>
        <w:gridCol w:w="1028"/>
        <w:gridCol w:w="912"/>
        <w:gridCol w:w="938"/>
        <w:gridCol w:w="908"/>
        <w:gridCol w:w="1906"/>
        <w:gridCol w:w="1078"/>
        <w:gridCol w:w="813"/>
      </w:tblGrid>
      <w:tr w:rsidR="00761ADC" w:rsidRPr="00761ADC" w14:paraId="3DF27BA8" w14:textId="77777777" w:rsidTr="00FE76D8">
        <w:trPr>
          <w:trHeight w:val="285"/>
        </w:trPr>
        <w:tc>
          <w:tcPr>
            <w:tcW w:w="500" w:type="dxa"/>
            <w:tcBorders>
              <w:top w:val="nil"/>
              <w:left w:val="nil"/>
              <w:bottom w:val="nil"/>
              <w:right w:val="nil"/>
            </w:tcBorders>
            <w:shd w:val="clear" w:color="000000" w:fill="D9D9D9"/>
            <w:noWrap/>
            <w:vAlign w:val="bottom"/>
            <w:hideMark/>
          </w:tcPr>
          <w:p w14:paraId="337F5145"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ID</w:t>
            </w:r>
          </w:p>
        </w:tc>
        <w:tc>
          <w:tcPr>
            <w:tcW w:w="778" w:type="dxa"/>
            <w:tcBorders>
              <w:top w:val="nil"/>
              <w:left w:val="nil"/>
              <w:bottom w:val="nil"/>
              <w:right w:val="nil"/>
            </w:tcBorders>
            <w:shd w:val="clear" w:color="000000" w:fill="D9D9D9"/>
            <w:noWrap/>
            <w:vAlign w:val="bottom"/>
            <w:hideMark/>
          </w:tcPr>
          <w:p w14:paraId="365D8D92"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Depth</w:t>
            </w:r>
          </w:p>
        </w:tc>
        <w:tc>
          <w:tcPr>
            <w:tcW w:w="581" w:type="dxa"/>
            <w:tcBorders>
              <w:top w:val="nil"/>
              <w:left w:val="nil"/>
              <w:bottom w:val="nil"/>
              <w:right w:val="nil"/>
            </w:tcBorders>
            <w:shd w:val="clear" w:color="000000" w:fill="D9D9D9"/>
            <w:noWrap/>
            <w:vAlign w:val="bottom"/>
            <w:hideMark/>
          </w:tcPr>
          <w:p w14:paraId="3E0CFB26"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Elec</w:t>
            </w:r>
            <w:proofErr w:type="spellEnd"/>
          </w:p>
        </w:tc>
        <w:tc>
          <w:tcPr>
            <w:tcW w:w="680" w:type="dxa"/>
            <w:tcBorders>
              <w:top w:val="nil"/>
              <w:left w:val="nil"/>
              <w:bottom w:val="nil"/>
              <w:right w:val="nil"/>
            </w:tcBorders>
            <w:shd w:val="clear" w:color="000000" w:fill="D9D9D9"/>
            <w:noWrap/>
            <w:vAlign w:val="bottom"/>
            <w:hideMark/>
          </w:tcPr>
          <w:p w14:paraId="130BA3DE"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RF</w:t>
            </w:r>
          </w:p>
        </w:tc>
        <w:tc>
          <w:tcPr>
            <w:tcW w:w="1161" w:type="dxa"/>
            <w:gridSpan w:val="2"/>
            <w:tcBorders>
              <w:top w:val="nil"/>
              <w:left w:val="nil"/>
              <w:bottom w:val="nil"/>
              <w:right w:val="nil"/>
            </w:tcBorders>
            <w:shd w:val="clear" w:color="000000" w:fill="D9D9D9"/>
            <w:noWrap/>
            <w:vAlign w:val="bottom"/>
            <w:hideMark/>
          </w:tcPr>
          <w:p w14:paraId="409A44EE"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SUA/MUA</w:t>
            </w:r>
          </w:p>
        </w:tc>
        <w:tc>
          <w:tcPr>
            <w:tcW w:w="912" w:type="dxa"/>
            <w:tcBorders>
              <w:top w:val="nil"/>
              <w:left w:val="nil"/>
              <w:bottom w:val="nil"/>
              <w:right w:val="nil"/>
            </w:tcBorders>
            <w:shd w:val="clear" w:color="000000" w:fill="D9D9D9"/>
            <w:noWrap/>
            <w:vAlign w:val="bottom"/>
            <w:hideMark/>
          </w:tcPr>
          <w:p w14:paraId="79532AA9"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pk/</w:t>
            </w:r>
            <w:proofErr w:type="spellStart"/>
            <w:r w:rsidRPr="00761ADC">
              <w:rPr>
                <w:rFonts w:ascii="Calibri" w:eastAsia="Times New Roman" w:hAnsi="Calibri" w:cs="Calibri"/>
                <w:b/>
                <w:bCs/>
                <w:color w:val="000000"/>
                <w:kern w:val="0"/>
                <w:sz w:val="22"/>
                <w:szCs w:val="22"/>
                <w14:ligatures w14:val="none"/>
              </w:rPr>
              <w:t>trgh</w:t>
            </w:r>
            <w:proofErr w:type="spellEnd"/>
          </w:p>
        </w:tc>
        <w:tc>
          <w:tcPr>
            <w:tcW w:w="938" w:type="dxa"/>
            <w:tcBorders>
              <w:top w:val="nil"/>
              <w:left w:val="nil"/>
              <w:bottom w:val="nil"/>
              <w:right w:val="nil"/>
            </w:tcBorders>
            <w:shd w:val="clear" w:color="000000" w:fill="D9D9D9"/>
            <w:noWrap/>
            <w:vAlign w:val="bottom"/>
            <w:hideMark/>
          </w:tcPr>
          <w:p w14:paraId="06988B30"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SF</w:t>
            </w:r>
          </w:p>
        </w:tc>
        <w:tc>
          <w:tcPr>
            <w:tcW w:w="908" w:type="dxa"/>
            <w:tcBorders>
              <w:top w:val="nil"/>
              <w:left w:val="nil"/>
              <w:bottom w:val="nil"/>
              <w:right w:val="nil"/>
            </w:tcBorders>
            <w:shd w:val="clear" w:color="000000" w:fill="D9D9D9"/>
            <w:noWrap/>
            <w:vAlign w:val="bottom"/>
            <w:hideMark/>
          </w:tcPr>
          <w:p w14:paraId="2520523B"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Speed</w:t>
            </w:r>
          </w:p>
        </w:tc>
        <w:tc>
          <w:tcPr>
            <w:tcW w:w="1906" w:type="dxa"/>
            <w:tcBorders>
              <w:top w:val="nil"/>
              <w:left w:val="nil"/>
              <w:bottom w:val="nil"/>
              <w:right w:val="nil"/>
            </w:tcBorders>
            <w:shd w:val="clear" w:color="000000" w:fill="D9D9D9"/>
            <w:noWrap/>
            <w:vAlign w:val="bottom"/>
            <w:hideMark/>
          </w:tcPr>
          <w:p w14:paraId="63FF7833"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Color</w:t>
            </w:r>
            <w:proofErr w:type="spellEnd"/>
          </w:p>
        </w:tc>
        <w:tc>
          <w:tcPr>
            <w:tcW w:w="1078" w:type="dxa"/>
            <w:tcBorders>
              <w:top w:val="nil"/>
              <w:left w:val="nil"/>
              <w:bottom w:val="nil"/>
              <w:right w:val="nil"/>
            </w:tcBorders>
            <w:shd w:val="clear" w:color="000000" w:fill="D9D9D9"/>
            <w:noWrap/>
            <w:vAlign w:val="bottom"/>
            <w:hideMark/>
          </w:tcPr>
          <w:p w14:paraId="5AB32367"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Eye</w:t>
            </w:r>
          </w:p>
        </w:tc>
        <w:tc>
          <w:tcPr>
            <w:tcW w:w="813" w:type="dxa"/>
            <w:tcBorders>
              <w:top w:val="nil"/>
              <w:left w:val="nil"/>
              <w:bottom w:val="nil"/>
              <w:right w:val="nil"/>
            </w:tcBorders>
            <w:shd w:val="clear" w:color="000000" w:fill="D9D9D9"/>
            <w:noWrap/>
            <w:vAlign w:val="bottom"/>
            <w:hideMark/>
          </w:tcPr>
          <w:p w14:paraId="25620F52" w14:textId="77777777" w:rsidR="00761ADC" w:rsidRPr="00761ADC" w:rsidRDefault="00761ADC"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Layer</w:t>
            </w:r>
            <w:proofErr w:type="spellEnd"/>
          </w:p>
        </w:tc>
      </w:tr>
      <w:tr w:rsidR="00761ADC" w:rsidRPr="00761ADC" w14:paraId="078A528D" w14:textId="77777777" w:rsidTr="00FE76D8">
        <w:trPr>
          <w:trHeight w:val="285"/>
        </w:trPr>
        <w:tc>
          <w:tcPr>
            <w:tcW w:w="500" w:type="dxa"/>
            <w:tcBorders>
              <w:top w:val="nil"/>
              <w:left w:val="nil"/>
              <w:bottom w:val="nil"/>
              <w:right w:val="nil"/>
            </w:tcBorders>
            <w:shd w:val="clear" w:color="auto" w:fill="auto"/>
            <w:noWrap/>
            <w:vAlign w:val="bottom"/>
            <w:hideMark/>
          </w:tcPr>
          <w:p w14:paraId="1A7E9EB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w:t>
            </w:r>
          </w:p>
        </w:tc>
        <w:tc>
          <w:tcPr>
            <w:tcW w:w="778" w:type="dxa"/>
            <w:tcBorders>
              <w:top w:val="nil"/>
              <w:left w:val="nil"/>
              <w:bottom w:val="nil"/>
              <w:right w:val="nil"/>
            </w:tcBorders>
            <w:shd w:val="clear" w:color="auto" w:fill="auto"/>
            <w:noWrap/>
            <w:vAlign w:val="bottom"/>
            <w:hideMark/>
          </w:tcPr>
          <w:p w14:paraId="069BC5A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20FA2BC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386D324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161" w:type="dxa"/>
            <w:gridSpan w:val="2"/>
            <w:tcBorders>
              <w:top w:val="nil"/>
              <w:left w:val="nil"/>
              <w:bottom w:val="nil"/>
              <w:right w:val="nil"/>
            </w:tcBorders>
            <w:shd w:val="clear" w:color="auto" w:fill="auto"/>
            <w:noWrap/>
            <w:vAlign w:val="bottom"/>
            <w:hideMark/>
          </w:tcPr>
          <w:p w14:paraId="502F8DB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4B5D565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293</w:t>
            </w:r>
          </w:p>
        </w:tc>
        <w:tc>
          <w:tcPr>
            <w:tcW w:w="938" w:type="dxa"/>
            <w:tcBorders>
              <w:top w:val="nil"/>
              <w:left w:val="nil"/>
              <w:bottom w:val="nil"/>
              <w:right w:val="nil"/>
            </w:tcBorders>
            <w:shd w:val="clear" w:color="auto" w:fill="auto"/>
            <w:noWrap/>
            <w:vAlign w:val="bottom"/>
            <w:hideMark/>
          </w:tcPr>
          <w:p w14:paraId="56C70B4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908" w:type="dxa"/>
            <w:tcBorders>
              <w:top w:val="nil"/>
              <w:left w:val="nil"/>
              <w:bottom w:val="nil"/>
              <w:right w:val="nil"/>
            </w:tcBorders>
            <w:shd w:val="clear" w:color="auto" w:fill="auto"/>
            <w:noWrap/>
            <w:vAlign w:val="bottom"/>
            <w:hideMark/>
          </w:tcPr>
          <w:p w14:paraId="2D09307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906" w:type="dxa"/>
            <w:tcBorders>
              <w:top w:val="nil"/>
              <w:left w:val="nil"/>
              <w:bottom w:val="nil"/>
              <w:right w:val="nil"/>
            </w:tcBorders>
            <w:shd w:val="clear" w:color="auto" w:fill="auto"/>
            <w:noWrap/>
            <w:vAlign w:val="bottom"/>
            <w:hideMark/>
          </w:tcPr>
          <w:p w14:paraId="5494EE2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Red ON</w:t>
            </w:r>
          </w:p>
        </w:tc>
        <w:tc>
          <w:tcPr>
            <w:tcW w:w="1078" w:type="dxa"/>
            <w:tcBorders>
              <w:top w:val="nil"/>
              <w:left w:val="nil"/>
              <w:bottom w:val="nil"/>
              <w:right w:val="nil"/>
            </w:tcBorders>
            <w:shd w:val="clear" w:color="auto" w:fill="auto"/>
            <w:noWrap/>
            <w:vAlign w:val="bottom"/>
            <w:hideMark/>
          </w:tcPr>
          <w:p w14:paraId="7080BBA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CONTRA</w:t>
            </w:r>
          </w:p>
        </w:tc>
        <w:tc>
          <w:tcPr>
            <w:tcW w:w="813" w:type="dxa"/>
            <w:tcBorders>
              <w:top w:val="nil"/>
              <w:left w:val="nil"/>
              <w:bottom w:val="nil"/>
              <w:right w:val="nil"/>
            </w:tcBorders>
            <w:shd w:val="clear" w:color="auto" w:fill="auto"/>
            <w:noWrap/>
            <w:vAlign w:val="bottom"/>
            <w:hideMark/>
          </w:tcPr>
          <w:p w14:paraId="15AC216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w:t>
            </w:r>
          </w:p>
        </w:tc>
      </w:tr>
      <w:tr w:rsidR="00761ADC" w:rsidRPr="00761ADC" w14:paraId="12C0FE95" w14:textId="77777777" w:rsidTr="00FE76D8">
        <w:trPr>
          <w:trHeight w:val="285"/>
        </w:trPr>
        <w:tc>
          <w:tcPr>
            <w:tcW w:w="500" w:type="dxa"/>
            <w:tcBorders>
              <w:top w:val="nil"/>
              <w:left w:val="nil"/>
              <w:bottom w:val="nil"/>
              <w:right w:val="nil"/>
            </w:tcBorders>
            <w:shd w:val="clear" w:color="auto" w:fill="auto"/>
            <w:noWrap/>
            <w:vAlign w:val="bottom"/>
            <w:hideMark/>
          </w:tcPr>
          <w:p w14:paraId="608D8E7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w:t>
            </w:r>
          </w:p>
        </w:tc>
        <w:tc>
          <w:tcPr>
            <w:tcW w:w="778" w:type="dxa"/>
            <w:tcBorders>
              <w:top w:val="nil"/>
              <w:left w:val="nil"/>
              <w:bottom w:val="nil"/>
              <w:right w:val="nil"/>
            </w:tcBorders>
            <w:shd w:val="clear" w:color="auto" w:fill="auto"/>
            <w:noWrap/>
            <w:vAlign w:val="bottom"/>
            <w:hideMark/>
          </w:tcPr>
          <w:p w14:paraId="319E46C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200D8C2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42C6311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161" w:type="dxa"/>
            <w:gridSpan w:val="2"/>
            <w:tcBorders>
              <w:top w:val="nil"/>
              <w:left w:val="nil"/>
              <w:bottom w:val="nil"/>
              <w:right w:val="nil"/>
            </w:tcBorders>
            <w:shd w:val="clear" w:color="auto" w:fill="auto"/>
            <w:noWrap/>
            <w:vAlign w:val="bottom"/>
            <w:hideMark/>
          </w:tcPr>
          <w:p w14:paraId="485654C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SUA</w:t>
            </w:r>
          </w:p>
        </w:tc>
        <w:tc>
          <w:tcPr>
            <w:tcW w:w="912" w:type="dxa"/>
            <w:tcBorders>
              <w:top w:val="nil"/>
              <w:left w:val="nil"/>
              <w:bottom w:val="nil"/>
              <w:right w:val="nil"/>
            </w:tcBorders>
            <w:shd w:val="clear" w:color="auto" w:fill="auto"/>
            <w:noWrap/>
            <w:vAlign w:val="bottom"/>
            <w:hideMark/>
          </w:tcPr>
          <w:p w14:paraId="32FE9E0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402</w:t>
            </w:r>
          </w:p>
        </w:tc>
        <w:tc>
          <w:tcPr>
            <w:tcW w:w="938" w:type="dxa"/>
            <w:tcBorders>
              <w:top w:val="nil"/>
              <w:left w:val="nil"/>
              <w:bottom w:val="nil"/>
              <w:right w:val="nil"/>
            </w:tcBorders>
            <w:shd w:val="clear" w:color="auto" w:fill="auto"/>
            <w:noWrap/>
            <w:vAlign w:val="bottom"/>
            <w:hideMark/>
          </w:tcPr>
          <w:p w14:paraId="6D01163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908" w:type="dxa"/>
            <w:tcBorders>
              <w:top w:val="nil"/>
              <w:left w:val="nil"/>
              <w:bottom w:val="nil"/>
              <w:right w:val="nil"/>
            </w:tcBorders>
            <w:shd w:val="clear" w:color="auto" w:fill="auto"/>
            <w:noWrap/>
            <w:vAlign w:val="bottom"/>
            <w:hideMark/>
          </w:tcPr>
          <w:p w14:paraId="5DBDDAC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906" w:type="dxa"/>
            <w:tcBorders>
              <w:top w:val="nil"/>
              <w:left w:val="nil"/>
              <w:bottom w:val="nil"/>
              <w:right w:val="nil"/>
            </w:tcBorders>
            <w:shd w:val="clear" w:color="auto" w:fill="auto"/>
            <w:noWrap/>
            <w:vAlign w:val="bottom"/>
            <w:hideMark/>
          </w:tcPr>
          <w:p w14:paraId="577ED0F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On/Off</w:t>
            </w:r>
          </w:p>
        </w:tc>
        <w:tc>
          <w:tcPr>
            <w:tcW w:w="1078" w:type="dxa"/>
            <w:tcBorders>
              <w:top w:val="nil"/>
              <w:left w:val="nil"/>
              <w:bottom w:val="nil"/>
              <w:right w:val="nil"/>
            </w:tcBorders>
            <w:shd w:val="clear" w:color="auto" w:fill="auto"/>
            <w:noWrap/>
            <w:vAlign w:val="bottom"/>
            <w:hideMark/>
          </w:tcPr>
          <w:p w14:paraId="3722A6C9" w14:textId="12FEC47B" w:rsidR="00761ADC" w:rsidRPr="00761ADC" w:rsidRDefault="00462BF9" w:rsidP="00F91665">
            <w:pPr>
              <w:spacing w:after="0" w:line="240" w:lineRule="auto"/>
              <w:jc w:val="both"/>
              <w:rPr>
                <w:rFonts w:ascii="Calibri" w:eastAsia="Times New Roman" w:hAnsi="Calibri" w:cs="Calibri"/>
                <w:color w:val="000000"/>
                <w:kern w:val="0"/>
                <w:sz w:val="22"/>
                <w:szCs w:val="22"/>
                <w14:ligatures w14:val="none"/>
              </w:rPr>
            </w:pPr>
            <w:r>
              <w:rPr>
                <w:rFonts w:ascii="Calibri" w:eastAsia="Times New Roman" w:hAnsi="Calibri" w:cs="Calibri"/>
                <w:color w:val="000000"/>
                <w:kern w:val="0"/>
                <w:sz w:val="22"/>
                <w:szCs w:val="22"/>
                <w14:ligatures w14:val="none"/>
              </w:rPr>
              <w:t>~</w:t>
            </w:r>
          </w:p>
        </w:tc>
        <w:tc>
          <w:tcPr>
            <w:tcW w:w="813" w:type="dxa"/>
            <w:tcBorders>
              <w:top w:val="nil"/>
              <w:left w:val="nil"/>
              <w:bottom w:val="nil"/>
              <w:right w:val="nil"/>
            </w:tcBorders>
            <w:shd w:val="clear" w:color="auto" w:fill="auto"/>
            <w:noWrap/>
            <w:vAlign w:val="bottom"/>
            <w:hideMark/>
          </w:tcPr>
          <w:p w14:paraId="476542D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w:t>
            </w:r>
          </w:p>
        </w:tc>
      </w:tr>
      <w:tr w:rsidR="00761ADC" w:rsidRPr="00761ADC" w14:paraId="56DA8D7D" w14:textId="77777777" w:rsidTr="00FE76D8">
        <w:trPr>
          <w:trHeight w:val="285"/>
        </w:trPr>
        <w:tc>
          <w:tcPr>
            <w:tcW w:w="500" w:type="dxa"/>
            <w:tcBorders>
              <w:top w:val="nil"/>
              <w:left w:val="nil"/>
              <w:bottom w:val="nil"/>
              <w:right w:val="nil"/>
            </w:tcBorders>
            <w:shd w:val="clear" w:color="auto" w:fill="auto"/>
            <w:noWrap/>
            <w:vAlign w:val="bottom"/>
            <w:hideMark/>
          </w:tcPr>
          <w:p w14:paraId="10F3458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c>
          <w:tcPr>
            <w:tcW w:w="778" w:type="dxa"/>
            <w:tcBorders>
              <w:top w:val="nil"/>
              <w:left w:val="nil"/>
              <w:bottom w:val="nil"/>
              <w:right w:val="nil"/>
            </w:tcBorders>
            <w:shd w:val="clear" w:color="auto" w:fill="auto"/>
            <w:noWrap/>
            <w:vAlign w:val="bottom"/>
            <w:hideMark/>
          </w:tcPr>
          <w:p w14:paraId="5FBE92F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2D183E6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auto" w:fill="auto"/>
            <w:noWrap/>
            <w:vAlign w:val="bottom"/>
            <w:hideMark/>
          </w:tcPr>
          <w:p w14:paraId="161E01B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161" w:type="dxa"/>
            <w:gridSpan w:val="2"/>
            <w:tcBorders>
              <w:top w:val="nil"/>
              <w:left w:val="nil"/>
              <w:bottom w:val="nil"/>
              <w:right w:val="nil"/>
            </w:tcBorders>
            <w:shd w:val="clear" w:color="auto" w:fill="auto"/>
            <w:noWrap/>
            <w:vAlign w:val="bottom"/>
            <w:hideMark/>
          </w:tcPr>
          <w:p w14:paraId="18352B6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4ACE679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381</w:t>
            </w:r>
          </w:p>
        </w:tc>
        <w:tc>
          <w:tcPr>
            <w:tcW w:w="938" w:type="dxa"/>
            <w:tcBorders>
              <w:top w:val="nil"/>
              <w:left w:val="nil"/>
              <w:bottom w:val="nil"/>
              <w:right w:val="nil"/>
            </w:tcBorders>
            <w:shd w:val="clear" w:color="auto" w:fill="auto"/>
            <w:noWrap/>
            <w:vAlign w:val="bottom"/>
            <w:hideMark/>
          </w:tcPr>
          <w:p w14:paraId="6B697BB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908" w:type="dxa"/>
            <w:tcBorders>
              <w:top w:val="nil"/>
              <w:left w:val="nil"/>
              <w:bottom w:val="nil"/>
              <w:right w:val="nil"/>
            </w:tcBorders>
            <w:shd w:val="clear" w:color="auto" w:fill="auto"/>
            <w:noWrap/>
            <w:vAlign w:val="bottom"/>
            <w:hideMark/>
          </w:tcPr>
          <w:p w14:paraId="48BB6C6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906" w:type="dxa"/>
            <w:tcBorders>
              <w:top w:val="nil"/>
              <w:left w:val="nil"/>
              <w:bottom w:val="nil"/>
              <w:right w:val="nil"/>
            </w:tcBorders>
            <w:shd w:val="clear" w:color="auto" w:fill="auto"/>
            <w:noWrap/>
            <w:vAlign w:val="bottom"/>
            <w:hideMark/>
          </w:tcPr>
          <w:p w14:paraId="593B68B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Green/Blue ON</w:t>
            </w:r>
          </w:p>
        </w:tc>
        <w:tc>
          <w:tcPr>
            <w:tcW w:w="1078" w:type="dxa"/>
            <w:tcBorders>
              <w:top w:val="nil"/>
              <w:left w:val="nil"/>
              <w:bottom w:val="nil"/>
              <w:right w:val="nil"/>
            </w:tcBorders>
            <w:shd w:val="clear" w:color="auto" w:fill="auto"/>
            <w:noWrap/>
            <w:vAlign w:val="bottom"/>
            <w:hideMark/>
          </w:tcPr>
          <w:p w14:paraId="572DFE0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CONTRA</w:t>
            </w:r>
          </w:p>
        </w:tc>
        <w:tc>
          <w:tcPr>
            <w:tcW w:w="813" w:type="dxa"/>
            <w:tcBorders>
              <w:top w:val="nil"/>
              <w:left w:val="nil"/>
              <w:bottom w:val="nil"/>
              <w:right w:val="nil"/>
            </w:tcBorders>
            <w:shd w:val="clear" w:color="auto" w:fill="auto"/>
            <w:noWrap/>
            <w:vAlign w:val="bottom"/>
            <w:hideMark/>
          </w:tcPr>
          <w:p w14:paraId="1A76B3C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4/I</w:t>
            </w:r>
          </w:p>
        </w:tc>
      </w:tr>
      <w:tr w:rsidR="00761ADC" w:rsidRPr="00761ADC" w14:paraId="524B3873" w14:textId="77777777" w:rsidTr="00FE76D8">
        <w:trPr>
          <w:trHeight w:val="285"/>
        </w:trPr>
        <w:tc>
          <w:tcPr>
            <w:tcW w:w="500" w:type="dxa"/>
            <w:tcBorders>
              <w:top w:val="nil"/>
              <w:left w:val="nil"/>
              <w:bottom w:val="nil"/>
              <w:right w:val="nil"/>
            </w:tcBorders>
            <w:shd w:val="clear" w:color="auto" w:fill="auto"/>
            <w:noWrap/>
            <w:vAlign w:val="bottom"/>
            <w:hideMark/>
          </w:tcPr>
          <w:p w14:paraId="1972CBD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778" w:type="dxa"/>
            <w:tcBorders>
              <w:top w:val="nil"/>
              <w:left w:val="nil"/>
              <w:bottom w:val="nil"/>
              <w:right w:val="nil"/>
            </w:tcBorders>
            <w:shd w:val="clear" w:color="auto" w:fill="auto"/>
            <w:noWrap/>
            <w:vAlign w:val="bottom"/>
            <w:hideMark/>
          </w:tcPr>
          <w:p w14:paraId="6403430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6C30809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auto" w:fill="auto"/>
            <w:noWrap/>
            <w:vAlign w:val="bottom"/>
            <w:hideMark/>
          </w:tcPr>
          <w:p w14:paraId="1BC33C5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161" w:type="dxa"/>
            <w:gridSpan w:val="2"/>
            <w:tcBorders>
              <w:top w:val="nil"/>
              <w:left w:val="nil"/>
              <w:bottom w:val="nil"/>
              <w:right w:val="nil"/>
            </w:tcBorders>
            <w:shd w:val="clear" w:color="auto" w:fill="auto"/>
            <w:noWrap/>
            <w:vAlign w:val="bottom"/>
            <w:hideMark/>
          </w:tcPr>
          <w:p w14:paraId="2BEF852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1ED3894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468</w:t>
            </w:r>
          </w:p>
        </w:tc>
        <w:tc>
          <w:tcPr>
            <w:tcW w:w="938" w:type="dxa"/>
            <w:tcBorders>
              <w:top w:val="nil"/>
              <w:left w:val="nil"/>
              <w:bottom w:val="nil"/>
              <w:right w:val="nil"/>
            </w:tcBorders>
            <w:shd w:val="clear" w:color="auto" w:fill="auto"/>
            <w:noWrap/>
            <w:vAlign w:val="bottom"/>
            <w:hideMark/>
          </w:tcPr>
          <w:p w14:paraId="3445278E"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908" w:type="dxa"/>
            <w:tcBorders>
              <w:top w:val="nil"/>
              <w:left w:val="nil"/>
              <w:bottom w:val="nil"/>
              <w:right w:val="nil"/>
            </w:tcBorders>
            <w:shd w:val="clear" w:color="auto" w:fill="auto"/>
            <w:noWrap/>
            <w:vAlign w:val="bottom"/>
            <w:hideMark/>
          </w:tcPr>
          <w:p w14:paraId="5C0B3B1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906" w:type="dxa"/>
            <w:tcBorders>
              <w:top w:val="nil"/>
              <w:left w:val="nil"/>
              <w:bottom w:val="nil"/>
              <w:right w:val="nil"/>
            </w:tcBorders>
            <w:shd w:val="clear" w:color="auto" w:fill="auto"/>
            <w:noWrap/>
            <w:vAlign w:val="bottom"/>
            <w:hideMark/>
          </w:tcPr>
          <w:p w14:paraId="35E7C12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Green/</w:t>
            </w:r>
            <w:proofErr w:type="spellStart"/>
            <w:r w:rsidRPr="00761ADC">
              <w:rPr>
                <w:rFonts w:ascii="Calibri" w:eastAsia="Times New Roman" w:hAnsi="Calibri" w:cs="Calibri"/>
                <w:color w:val="000000"/>
                <w:kern w:val="0"/>
                <w:sz w:val="22"/>
                <w:szCs w:val="22"/>
                <w14:ligatures w14:val="none"/>
              </w:rPr>
              <w:t>Yellow</w:t>
            </w:r>
            <w:proofErr w:type="spellEnd"/>
            <w:r w:rsidRPr="00761ADC">
              <w:rPr>
                <w:rFonts w:ascii="Calibri" w:eastAsia="Times New Roman" w:hAnsi="Calibri" w:cs="Calibri"/>
                <w:color w:val="000000"/>
                <w:kern w:val="0"/>
                <w:sz w:val="22"/>
                <w:szCs w:val="22"/>
                <w14:ligatures w14:val="none"/>
              </w:rPr>
              <w:t xml:space="preserve"> ON</w:t>
            </w:r>
          </w:p>
        </w:tc>
        <w:tc>
          <w:tcPr>
            <w:tcW w:w="1078" w:type="dxa"/>
            <w:tcBorders>
              <w:top w:val="nil"/>
              <w:left w:val="nil"/>
              <w:bottom w:val="nil"/>
              <w:right w:val="nil"/>
            </w:tcBorders>
            <w:shd w:val="clear" w:color="auto" w:fill="auto"/>
            <w:noWrap/>
            <w:vAlign w:val="bottom"/>
            <w:hideMark/>
          </w:tcPr>
          <w:p w14:paraId="16E97AB7" w14:textId="7E034AE5" w:rsidR="00761ADC" w:rsidRPr="00761ADC" w:rsidRDefault="00462BF9" w:rsidP="00F91665">
            <w:pPr>
              <w:spacing w:after="0" w:line="240" w:lineRule="auto"/>
              <w:jc w:val="both"/>
              <w:rPr>
                <w:rFonts w:ascii="Calibri" w:eastAsia="Times New Roman" w:hAnsi="Calibri" w:cs="Calibri"/>
                <w:color w:val="000000"/>
                <w:kern w:val="0"/>
                <w:sz w:val="22"/>
                <w:szCs w:val="22"/>
                <w14:ligatures w14:val="none"/>
              </w:rPr>
            </w:pPr>
            <w:r>
              <w:rPr>
                <w:rFonts w:ascii="Calibri" w:eastAsia="Times New Roman" w:hAnsi="Calibri" w:cs="Calibri"/>
                <w:color w:val="000000"/>
                <w:kern w:val="0"/>
                <w:sz w:val="22"/>
                <w:szCs w:val="22"/>
                <w14:ligatures w14:val="none"/>
              </w:rPr>
              <w:t>contra</w:t>
            </w:r>
          </w:p>
        </w:tc>
        <w:tc>
          <w:tcPr>
            <w:tcW w:w="813" w:type="dxa"/>
            <w:tcBorders>
              <w:top w:val="nil"/>
              <w:left w:val="nil"/>
              <w:bottom w:val="nil"/>
              <w:right w:val="nil"/>
            </w:tcBorders>
            <w:shd w:val="clear" w:color="auto" w:fill="auto"/>
            <w:noWrap/>
            <w:vAlign w:val="bottom"/>
            <w:hideMark/>
          </w:tcPr>
          <w:p w14:paraId="161582E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4/I</w:t>
            </w:r>
          </w:p>
        </w:tc>
      </w:tr>
      <w:tr w:rsidR="00761ADC" w:rsidRPr="00761ADC" w14:paraId="6D7C823A" w14:textId="77777777" w:rsidTr="00FE76D8">
        <w:trPr>
          <w:trHeight w:val="285"/>
        </w:trPr>
        <w:tc>
          <w:tcPr>
            <w:tcW w:w="500" w:type="dxa"/>
            <w:tcBorders>
              <w:top w:val="nil"/>
              <w:left w:val="nil"/>
              <w:bottom w:val="nil"/>
              <w:right w:val="nil"/>
            </w:tcBorders>
            <w:shd w:val="clear" w:color="auto" w:fill="auto"/>
            <w:noWrap/>
            <w:vAlign w:val="bottom"/>
            <w:hideMark/>
          </w:tcPr>
          <w:p w14:paraId="2AC1628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c>
          <w:tcPr>
            <w:tcW w:w="778" w:type="dxa"/>
            <w:tcBorders>
              <w:top w:val="nil"/>
              <w:left w:val="nil"/>
              <w:bottom w:val="nil"/>
              <w:right w:val="nil"/>
            </w:tcBorders>
            <w:shd w:val="clear" w:color="auto" w:fill="auto"/>
            <w:noWrap/>
            <w:vAlign w:val="bottom"/>
            <w:hideMark/>
          </w:tcPr>
          <w:p w14:paraId="57EDAB3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53CE0C1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22B371AE"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&lt;0</w:t>
            </w:r>
          </w:p>
        </w:tc>
        <w:tc>
          <w:tcPr>
            <w:tcW w:w="1161" w:type="dxa"/>
            <w:gridSpan w:val="2"/>
            <w:tcBorders>
              <w:top w:val="nil"/>
              <w:left w:val="nil"/>
              <w:bottom w:val="nil"/>
              <w:right w:val="nil"/>
            </w:tcBorders>
            <w:shd w:val="clear" w:color="auto" w:fill="auto"/>
            <w:noWrap/>
            <w:vAlign w:val="bottom"/>
            <w:hideMark/>
          </w:tcPr>
          <w:p w14:paraId="591CDC1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SUA</w:t>
            </w:r>
          </w:p>
        </w:tc>
        <w:tc>
          <w:tcPr>
            <w:tcW w:w="912" w:type="dxa"/>
            <w:tcBorders>
              <w:top w:val="nil"/>
              <w:left w:val="nil"/>
              <w:bottom w:val="nil"/>
              <w:right w:val="nil"/>
            </w:tcBorders>
            <w:shd w:val="clear" w:color="000000" w:fill="BDD7EE"/>
            <w:noWrap/>
            <w:vAlign w:val="bottom"/>
            <w:hideMark/>
          </w:tcPr>
          <w:p w14:paraId="4333CA2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243</w:t>
            </w:r>
          </w:p>
        </w:tc>
        <w:tc>
          <w:tcPr>
            <w:tcW w:w="938" w:type="dxa"/>
            <w:tcBorders>
              <w:top w:val="nil"/>
              <w:left w:val="nil"/>
              <w:bottom w:val="nil"/>
              <w:right w:val="nil"/>
            </w:tcBorders>
            <w:shd w:val="clear" w:color="auto" w:fill="auto"/>
            <w:noWrap/>
            <w:vAlign w:val="bottom"/>
            <w:hideMark/>
          </w:tcPr>
          <w:p w14:paraId="34DE05D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U</w:t>
            </w:r>
          </w:p>
        </w:tc>
        <w:tc>
          <w:tcPr>
            <w:tcW w:w="908" w:type="dxa"/>
            <w:tcBorders>
              <w:top w:val="nil"/>
              <w:left w:val="nil"/>
              <w:bottom w:val="nil"/>
              <w:right w:val="nil"/>
            </w:tcBorders>
            <w:shd w:val="clear" w:color="auto" w:fill="auto"/>
            <w:noWrap/>
            <w:vAlign w:val="bottom"/>
            <w:hideMark/>
          </w:tcPr>
          <w:p w14:paraId="4491F4B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Fast</w:t>
            </w:r>
            <w:proofErr w:type="spellEnd"/>
          </w:p>
        </w:tc>
        <w:tc>
          <w:tcPr>
            <w:tcW w:w="1906" w:type="dxa"/>
            <w:tcBorders>
              <w:top w:val="nil"/>
              <w:left w:val="nil"/>
              <w:bottom w:val="nil"/>
              <w:right w:val="nil"/>
            </w:tcBorders>
            <w:shd w:val="clear" w:color="auto" w:fill="auto"/>
            <w:noWrap/>
            <w:vAlign w:val="bottom"/>
            <w:hideMark/>
          </w:tcPr>
          <w:p w14:paraId="2E672AB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078" w:type="dxa"/>
            <w:tcBorders>
              <w:top w:val="nil"/>
              <w:left w:val="nil"/>
              <w:bottom w:val="nil"/>
              <w:right w:val="nil"/>
            </w:tcBorders>
            <w:shd w:val="clear" w:color="auto" w:fill="auto"/>
            <w:noWrap/>
            <w:vAlign w:val="bottom"/>
            <w:hideMark/>
          </w:tcPr>
          <w:p w14:paraId="46DE747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813" w:type="dxa"/>
            <w:tcBorders>
              <w:top w:val="nil"/>
              <w:left w:val="nil"/>
              <w:bottom w:val="nil"/>
              <w:right w:val="nil"/>
            </w:tcBorders>
            <w:shd w:val="clear" w:color="auto" w:fill="auto"/>
            <w:noWrap/>
            <w:vAlign w:val="bottom"/>
            <w:hideMark/>
          </w:tcPr>
          <w:p w14:paraId="5F26C5B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r>
      <w:tr w:rsidR="00761ADC" w:rsidRPr="00761ADC" w14:paraId="7651763C" w14:textId="77777777" w:rsidTr="00FE76D8">
        <w:trPr>
          <w:trHeight w:val="285"/>
        </w:trPr>
        <w:tc>
          <w:tcPr>
            <w:tcW w:w="500" w:type="dxa"/>
            <w:tcBorders>
              <w:top w:val="nil"/>
              <w:left w:val="nil"/>
              <w:bottom w:val="nil"/>
              <w:right w:val="nil"/>
            </w:tcBorders>
            <w:shd w:val="clear" w:color="auto" w:fill="auto"/>
            <w:noWrap/>
            <w:vAlign w:val="bottom"/>
            <w:hideMark/>
          </w:tcPr>
          <w:p w14:paraId="5C9CEF7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6a</w:t>
            </w:r>
          </w:p>
        </w:tc>
        <w:tc>
          <w:tcPr>
            <w:tcW w:w="778" w:type="dxa"/>
            <w:tcBorders>
              <w:top w:val="nil"/>
              <w:left w:val="nil"/>
              <w:bottom w:val="nil"/>
              <w:right w:val="nil"/>
            </w:tcBorders>
            <w:shd w:val="clear" w:color="auto" w:fill="auto"/>
            <w:noWrap/>
            <w:vAlign w:val="bottom"/>
            <w:hideMark/>
          </w:tcPr>
          <w:p w14:paraId="0B9BA6F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6D5FFE9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16B6793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161" w:type="dxa"/>
            <w:gridSpan w:val="2"/>
            <w:tcBorders>
              <w:top w:val="nil"/>
              <w:left w:val="nil"/>
              <w:bottom w:val="nil"/>
              <w:right w:val="nil"/>
            </w:tcBorders>
            <w:shd w:val="clear" w:color="auto" w:fill="auto"/>
            <w:noWrap/>
            <w:vAlign w:val="bottom"/>
            <w:hideMark/>
          </w:tcPr>
          <w:p w14:paraId="7154F9C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63FF86C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302</w:t>
            </w:r>
          </w:p>
        </w:tc>
        <w:tc>
          <w:tcPr>
            <w:tcW w:w="938" w:type="dxa"/>
            <w:tcBorders>
              <w:top w:val="nil"/>
              <w:left w:val="nil"/>
              <w:bottom w:val="nil"/>
              <w:right w:val="nil"/>
            </w:tcBorders>
            <w:shd w:val="clear" w:color="auto" w:fill="auto"/>
            <w:noWrap/>
            <w:vAlign w:val="bottom"/>
            <w:hideMark/>
          </w:tcPr>
          <w:p w14:paraId="5CE3978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908" w:type="dxa"/>
            <w:tcBorders>
              <w:top w:val="nil"/>
              <w:left w:val="nil"/>
              <w:bottom w:val="nil"/>
              <w:right w:val="nil"/>
            </w:tcBorders>
            <w:shd w:val="clear" w:color="auto" w:fill="auto"/>
            <w:noWrap/>
            <w:vAlign w:val="bottom"/>
            <w:hideMark/>
          </w:tcPr>
          <w:p w14:paraId="2238F83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906" w:type="dxa"/>
            <w:tcBorders>
              <w:top w:val="nil"/>
              <w:left w:val="nil"/>
              <w:bottom w:val="nil"/>
              <w:right w:val="nil"/>
            </w:tcBorders>
            <w:shd w:val="clear" w:color="auto" w:fill="auto"/>
            <w:noWrap/>
            <w:vAlign w:val="bottom"/>
            <w:hideMark/>
          </w:tcPr>
          <w:p w14:paraId="7E96946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Red/Green ON</w:t>
            </w:r>
          </w:p>
        </w:tc>
        <w:tc>
          <w:tcPr>
            <w:tcW w:w="1078" w:type="dxa"/>
            <w:tcBorders>
              <w:top w:val="nil"/>
              <w:left w:val="nil"/>
              <w:bottom w:val="nil"/>
              <w:right w:val="nil"/>
            </w:tcBorders>
            <w:shd w:val="clear" w:color="auto" w:fill="auto"/>
            <w:noWrap/>
            <w:vAlign w:val="bottom"/>
            <w:hideMark/>
          </w:tcPr>
          <w:p w14:paraId="71C8A92E" w14:textId="261FC813" w:rsidR="00761ADC" w:rsidRPr="00761ADC" w:rsidRDefault="00293C41" w:rsidP="00F91665">
            <w:pPr>
              <w:spacing w:after="0" w:line="240" w:lineRule="auto"/>
              <w:jc w:val="both"/>
              <w:rPr>
                <w:rFonts w:ascii="Calibri" w:eastAsia="Times New Roman" w:hAnsi="Calibri" w:cs="Calibri"/>
                <w:color w:val="000000"/>
                <w:kern w:val="0"/>
                <w:sz w:val="22"/>
                <w:szCs w:val="22"/>
                <w14:ligatures w14:val="none"/>
              </w:rPr>
            </w:pPr>
            <w:proofErr w:type="spellStart"/>
            <w:r>
              <w:rPr>
                <w:rFonts w:ascii="Calibri" w:eastAsia="Times New Roman" w:hAnsi="Calibri" w:cs="Calibri"/>
                <w:color w:val="000000"/>
                <w:kern w:val="0"/>
                <w:sz w:val="22"/>
                <w:szCs w:val="22"/>
                <w14:ligatures w14:val="none"/>
              </w:rPr>
              <w:t>ipsi</w:t>
            </w:r>
            <w:proofErr w:type="spellEnd"/>
          </w:p>
        </w:tc>
        <w:tc>
          <w:tcPr>
            <w:tcW w:w="813" w:type="dxa"/>
            <w:tcBorders>
              <w:top w:val="nil"/>
              <w:left w:val="nil"/>
              <w:bottom w:val="nil"/>
              <w:right w:val="nil"/>
            </w:tcBorders>
            <w:shd w:val="clear" w:color="auto" w:fill="auto"/>
            <w:noWrap/>
            <w:vAlign w:val="bottom"/>
            <w:hideMark/>
          </w:tcPr>
          <w:p w14:paraId="3A0F418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r>
      <w:tr w:rsidR="00761ADC" w:rsidRPr="00761ADC" w14:paraId="75F149C4" w14:textId="77777777" w:rsidTr="00FE76D8">
        <w:trPr>
          <w:trHeight w:val="285"/>
        </w:trPr>
        <w:tc>
          <w:tcPr>
            <w:tcW w:w="500" w:type="dxa"/>
            <w:tcBorders>
              <w:top w:val="nil"/>
              <w:left w:val="nil"/>
              <w:bottom w:val="nil"/>
              <w:right w:val="nil"/>
            </w:tcBorders>
            <w:shd w:val="clear" w:color="auto" w:fill="auto"/>
            <w:noWrap/>
            <w:vAlign w:val="bottom"/>
            <w:hideMark/>
          </w:tcPr>
          <w:p w14:paraId="2E31E3B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6b</w:t>
            </w:r>
          </w:p>
        </w:tc>
        <w:tc>
          <w:tcPr>
            <w:tcW w:w="778" w:type="dxa"/>
            <w:tcBorders>
              <w:top w:val="nil"/>
              <w:left w:val="nil"/>
              <w:bottom w:val="nil"/>
              <w:right w:val="nil"/>
            </w:tcBorders>
            <w:shd w:val="clear" w:color="auto" w:fill="auto"/>
            <w:noWrap/>
            <w:vAlign w:val="bottom"/>
            <w:hideMark/>
          </w:tcPr>
          <w:p w14:paraId="4AF9D08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6CC0A35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3547A04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0.17</w:t>
            </w:r>
          </w:p>
        </w:tc>
        <w:tc>
          <w:tcPr>
            <w:tcW w:w="1161" w:type="dxa"/>
            <w:gridSpan w:val="2"/>
            <w:tcBorders>
              <w:top w:val="nil"/>
              <w:left w:val="nil"/>
              <w:bottom w:val="nil"/>
              <w:right w:val="nil"/>
            </w:tcBorders>
            <w:shd w:val="clear" w:color="auto" w:fill="auto"/>
            <w:noWrap/>
            <w:vAlign w:val="bottom"/>
            <w:hideMark/>
          </w:tcPr>
          <w:p w14:paraId="17DC323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757E1AF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290</w:t>
            </w:r>
          </w:p>
        </w:tc>
        <w:tc>
          <w:tcPr>
            <w:tcW w:w="938" w:type="dxa"/>
            <w:tcBorders>
              <w:top w:val="nil"/>
              <w:left w:val="nil"/>
              <w:bottom w:val="nil"/>
              <w:right w:val="nil"/>
            </w:tcBorders>
            <w:shd w:val="clear" w:color="auto" w:fill="auto"/>
            <w:noWrap/>
            <w:vAlign w:val="bottom"/>
            <w:hideMark/>
          </w:tcPr>
          <w:p w14:paraId="01DDC3D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Unclear</w:t>
            </w:r>
            <w:proofErr w:type="spellEnd"/>
          </w:p>
        </w:tc>
        <w:tc>
          <w:tcPr>
            <w:tcW w:w="908" w:type="dxa"/>
            <w:tcBorders>
              <w:top w:val="nil"/>
              <w:left w:val="nil"/>
              <w:bottom w:val="nil"/>
              <w:right w:val="nil"/>
            </w:tcBorders>
            <w:shd w:val="clear" w:color="auto" w:fill="auto"/>
            <w:noWrap/>
            <w:vAlign w:val="bottom"/>
            <w:hideMark/>
          </w:tcPr>
          <w:p w14:paraId="33AF9D1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Inter</w:t>
            </w:r>
            <w:proofErr w:type="spellEnd"/>
          </w:p>
        </w:tc>
        <w:tc>
          <w:tcPr>
            <w:tcW w:w="1906" w:type="dxa"/>
            <w:tcBorders>
              <w:top w:val="nil"/>
              <w:left w:val="nil"/>
              <w:bottom w:val="nil"/>
              <w:right w:val="nil"/>
            </w:tcBorders>
            <w:shd w:val="clear" w:color="auto" w:fill="auto"/>
            <w:noWrap/>
            <w:vAlign w:val="bottom"/>
            <w:hideMark/>
          </w:tcPr>
          <w:p w14:paraId="7329A6B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078" w:type="dxa"/>
            <w:tcBorders>
              <w:top w:val="nil"/>
              <w:left w:val="nil"/>
              <w:bottom w:val="nil"/>
              <w:right w:val="nil"/>
            </w:tcBorders>
            <w:shd w:val="clear" w:color="auto" w:fill="auto"/>
            <w:noWrap/>
            <w:vAlign w:val="bottom"/>
            <w:hideMark/>
          </w:tcPr>
          <w:p w14:paraId="1FEC950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813" w:type="dxa"/>
            <w:tcBorders>
              <w:top w:val="nil"/>
              <w:left w:val="nil"/>
              <w:bottom w:val="nil"/>
              <w:right w:val="nil"/>
            </w:tcBorders>
            <w:shd w:val="clear" w:color="auto" w:fill="auto"/>
            <w:noWrap/>
            <w:vAlign w:val="bottom"/>
            <w:hideMark/>
          </w:tcPr>
          <w:p w14:paraId="521E781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r>
      <w:tr w:rsidR="00761ADC" w:rsidRPr="00761ADC" w14:paraId="5DD09AEC" w14:textId="77777777" w:rsidTr="00FE76D8">
        <w:trPr>
          <w:trHeight w:val="285"/>
        </w:trPr>
        <w:tc>
          <w:tcPr>
            <w:tcW w:w="500" w:type="dxa"/>
            <w:tcBorders>
              <w:top w:val="nil"/>
              <w:left w:val="nil"/>
              <w:bottom w:val="nil"/>
              <w:right w:val="nil"/>
            </w:tcBorders>
            <w:shd w:val="clear" w:color="auto" w:fill="auto"/>
            <w:noWrap/>
            <w:vAlign w:val="bottom"/>
            <w:hideMark/>
          </w:tcPr>
          <w:p w14:paraId="44A7CE6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7</w:t>
            </w:r>
          </w:p>
        </w:tc>
        <w:tc>
          <w:tcPr>
            <w:tcW w:w="778" w:type="dxa"/>
            <w:tcBorders>
              <w:top w:val="nil"/>
              <w:left w:val="nil"/>
              <w:bottom w:val="nil"/>
              <w:right w:val="nil"/>
            </w:tcBorders>
            <w:shd w:val="clear" w:color="auto" w:fill="auto"/>
            <w:noWrap/>
            <w:vAlign w:val="bottom"/>
            <w:hideMark/>
          </w:tcPr>
          <w:p w14:paraId="74A5218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7E04EE8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000000" w:fill="F8CBAD"/>
            <w:noWrap/>
            <w:vAlign w:val="bottom"/>
            <w:hideMark/>
          </w:tcPr>
          <w:p w14:paraId="1E403FE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0.91</w:t>
            </w:r>
          </w:p>
        </w:tc>
        <w:tc>
          <w:tcPr>
            <w:tcW w:w="1161" w:type="dxa"/>
            <w:gridSpan w:val="2"/>
            <w:tcBorders>
              <w:top w:val="nil"/>
              <w:left w:val="nil"/>
              <w:bottom w:val="nil"/>
              <w:right w:val="nil"/>
            </w:tcBorders>
            <w:shd w:val="clear" w:color="auto" w:fill="auto"/>
            <w:noWrap/>
            <w:vAlign w:val="bottom"/>
            <w:hideMark/>
          </w:tcPr>
          <w:p w14:paraId="21E0996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SUA</w:t>
            </w:r>
          </w:p>
        </w:tc>
        <w:tc>
          <w:tcPr>
            <w:tcW w:w="912" w:type="dxa"/>
            <w:tcBorders>
              <w:top w:val="nil"/>
              <w:left w:val="nil"/>
              <w:bottom w:val="nil"/>
              <w:right w:val="nil"/>
            </w:tcBorders>
            <w:shd w:val="clear" w:color="auto" w:fill="auto"/>
            <w:noWrap/>
            <w:vAlign w:val="bottom"/>
            <w:hideMark/>
          </w:tcPr>
          <w:p w14:paraId="4069AA0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320</w:t>
            </w:r>
          </w:p>
        </w:tc>
        <w:tc>
          <w:tcPr>
            <w:tcW w:w="938" w:type="dxa"/>
            <w:tcBorders>
              <w:top w:val="nil"/>
              <w:left w:val="nil"/>
              <w:bottom w:val="nil"/>
              <w:right w:val="nil"/>
            </w:tcBorders>
            <w:shd w:val="clear" w:color="auto" w:fill="auto"/>
            <w:noWrap/>
            <w:vAlign w:val="bottom"/>
            <w:hideMark/>
          </w:tcPr>
          <w:p w14:paraId="30ACD5C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LP</w:t>
            </w:r>
          </w:p>
        </w:tc>
        <w:tc>
          <w:tcPr>
            <w:tcW w:w="908" w:type="dxa"/>
            <w:tcBorders>
              <w:top w:val="nil"/>
              <w:left w:val="nil"/>
              <w:bottom w:val="nil"/>
              <w:right w:val="nil"/>
            </w:tcBorders>
            <w:shd w:val="clear" w:color="auto" w:fill="auto"/>
            <w:noWrap/>
            <w:vAlign w:val="bottom"/>
            <w:hideMark/>
          </w:tcPr>
          <w:p w14:paraId="71927AE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Fast</w:t>
            </w:r>
            <w:proofErr w:type="spellEnd"/>
          </w:p>
        </w:tc>
        <w:tc>
          <w:tcPr>
            <w:tcW w:w="1906" w:type="dxa"/>
            <w:tcBorders>
              <w:top w:val="nil"/>
              <w:left w:val="nil"/>
              <w:bottom w:val="nil"/>
              <w:right w:val="nil"/>
            </w:tcBorders>
            <w:shd w:val="clear" w:color="auto" w:fill="auto"/>
            <w:noWrap/>
            <w:vAlign w:val="bottom"/>
            <w:hideMark/>
          </w:tcPr>
          <w:p w14:paraId="1B81C59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078" w:type="dxa"/>
            <w:tcBorders>
              <w:top w:val="nil"/>
              <w:left w:val="nil"/>
              <w:bottom w:val="nil"/>
              <w:right w:val="nil"/>
            </w:tcBorders>
            <w:shd w:val="clear" w:color="auto" w:fill="auto"/>
            <w:noWrap/>
            <w:vAlign w:val="bottom"/>
            <w:hideMark/>
          </w:tcPr>
          <w:p w14:paraId="5C84F07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813" w:type="dxa"/>
            <w:tcBorders>
              <w:top w:val="nil"/>
              <w:left w:val="nil"/>
              <w:bottom w:val="nil"/>
              <w:right w:val="nil"/>
            </w:tcBorders>
            <w:shd w:val="clear" w:color="auto" w:fill="auto"/>
            <w:noWrap/>
            <w:vAlign w:val="bottom"/>
            <w:hideMark/>
          </w:tcPr>
          <w:p w14:paraId="7309E62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761ADC" w:rsidRPr="00761ADC" w14:paraId="66C5C023" w14:textId="77777777" w:rsidTr="00FE76D8">
        <w:trPr>
          <w:trHeight w:val="285"/>
        </w:trPr>
        <w:tc>
          <w:tcPr>
            <w:tcW w:w="500" w:type="dxa"/>
            <w:tcBorders>
              <w:top w:val="nil"/>
              <w:left w:val="nil"/>
              <w:bottom w:val="nil"/>
              <w:right w:val="nil"/>
            </w:tcBorders>
            <w:shd w:val="clear" w:color="auto" w:fill="auto"/>
            <w:noWrap/>
            <w:vAlign w:val="bottom"/>
            <w:hideMark/>
          </w:tcPr>
          <w:p w14:paraId="26D447B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8</w:t>
            </w:r>
          </w:p>
        </w:tc>
        <w:tc>
          <w:tcPr>
            <w:tcW w:w="778" w:type="dxa"/>
            <w:tcBorders>
              <w:top w:val="nil"/>
              <w:left w:val="nil"/>
              <w:bottom w:val="nil"/>
              <w:right w:val="nil"/>
            </w:tcBorders>
            <w:shd w:val="clear" w:color="auto" w:fill="auto"/>
            <w:noWrap/>
            <w:vAlign w:val="bottom"/>
            <w:hideMark/>
          </w:tcPr>
          <w:p w14:paraId="38CF4A1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035A005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000000" w:fill="F8CBAD"/>
            <w:noWrap/>
            <w:vAlign w:val="bottom"/>
            <w:hideMark/>
          </w:tcPr>
          <w:p w14:paraId="2ECBD4F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 xml:space="preserve"> 0.56</w:t>
            </w:r>
          </w:p>
        </w:tc>
        <w:tc>
          <w:tcPr>
            <w:tcW w:w="1161" w:type="dxa"/>
            <w:gridSpan w:val="2"/>
            <w:tcBorders>
              <w:top w:val="nil"/>
              <w:left w:val="nil"/>
              <w:bottom w:val="nil"/>
              <w:right w:val="nil"/>
            </w:tcBorders>
            <w:shd w:val="clear" w:color="auto" w:fill="auto"/>
            <w:noWrap/>
            <w:vAlign w:val="bottom"/>
            <w:hideMark/>
          </w:tcPr>
          <w:p w14:paraId="5CB6970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SUA</w:t>
            </w:r>
          </w:p>
        </w:tc>
        <w:tc>
          <w:tcPr>
            <w:tcW w:w="912" w:type="dxa"/>
            <w:tcBorders>
              <w:top w:val="nil"/>
              <w:left w:val="nil"/>
              <w:bottom w:val="nil"/>
              <w:right w:val="nil"/>
            </w:tcBorders>
            <w:shd w:val="clear" w:color="auto" w:fill="auto"/>
            <w:noWrap/>
            <w:vAlign w:val="bottom"/>
            <w:hideMark/>
          </w:tcPr>
          <w:p w14:paraId="63CD767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282</w:t>
            </w:r>
          </w:p>
        </w:tc>
        <w:tc>
          <w:tcPr>
            <w:tcW w:w="938" w:type="dxa"/>
            <w:tcBorders>
              <w:top w:val="nil"/>
              <w:left w:val="nil"/>
              <w:bottom w:val="nil"/>
              <w:right w:val="nil"/>
            </w:tcBorders>
            <w:shd w:val="clear" w:color="auto" w:fill="auto"/>
            <w:noWrap/>
            <w:vAlign w:val="bottom"/>
            <w:hideMark/>
          </w:tcPr>
          <w:p w14:paraId="5C4745B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Inter</w:t>
            </w:r>
            <w:proofErr w:type="spellEnd"/>
          </w:p>
        </w:tc>
        <w:tc>
          <w:tcPr>
            <w:tcW w:w="908" w:type="dxa"/>
            <w:tcBorders>
              <w:top w:val="nil"/>
              <w:left w:val="nil"/>
              <w:bottom w:val="nil"/>
              <w:right w:val="nil"/>
            </w:tcBorders>
            <w:shd w:val="clear" w:color="auto" w:fill="auto"/>
            <w:noWrap/>
            <w:vAlign w:val="bottom"/>
            <w:hideMark/>
          </w:tcPr>
          <w:p w14:paraId="35497E8E"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Inter</w:t>
            </w:r>
            <w:proofErr w:type="spellEnd"/>
          </w:p>
        </w:tc>
        <w:tc>
          <w:tcPr>
            <w:tcW w:w="1906" w:type="dxa"/>
            <w:tcBorders>
              <w:top w:val="nil"/>
              <w:left w:val="nil"/>
              <w:bottom w:val="nil"/>
              <w:right w:val="nil"/>
            </w:tcBorders>
            <w:shd w:val="clear" w:color="auto" w:fill="auto"/>
            <w:noWrap/>
            <w:vAlign w:val="bottom"/>
            <w:hideMark/>
          </w:tcPr>
          <w:p w14:paraId="5F88CC9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078" w:type="dxa"/>
            <w:tcBorders>
              <w:top w:val="nil"/>
              <w:left w:val="nil"/>
              <w:bottom w:val="nil"/>
              <w:right w:val="nil"/>
            </w:tcBorders>
            <w:shd w:val="clear" w:color="auto" w:fill="auto"/>
            <w:noWrap/>
            <w:vAlign w:val="bottom"/>
            <w:hideMark/>
          </w:tcPr>
          <w:p w14:paraId="1E1E009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813" w:type="dxa"/>
            <w:tcBorders>
              <w:top w:val="nil"/>
              <w:left w:val="nil"/>
              <w:bottom w:val="nil"/>
              <w:right w:val="nil"/>
            </w:tcBorders>
            <w:shd w:val="clear" w:color="auto" w:fill="auto"/>
            <w:noWrap/>
            <w:vAlign w:val="bottom"/>
            <w:hideMark/>
          </w:tcPr>
          <w:p w14:paraId="0008A59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761ADC" w:rsidRPr="00761ADC" w14:paraId="63F8ED09" w14:textId="77777777" w:rsidTr="00FE76D8">
        <w:trPr>
          <w:trHeight w:val="285"/>
        </w:trPr>
        <w:tc>
          <w:tcPr>
            <w:tcW w:w="500" w:type="dxa"/>
            <w:tcBorders>
              <w:top w:val="nil"/>
              <w:left w:val="nil"/>
              <w:bottom w:val="nil"/>
              <w:right w:val="nil"/>
            </w:tcBorders>
            <w:shd w:val="clear" w:color="auto" w:fill="auto"/>
            <w:noWrap/>
            <w:vAlign w:val="bottom"/>
            <w:hideMark/>
          </w:tcPr>
          <w:p w14:paraId="4B68EB9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9a</w:t>
            </w:r>
          </w:p>
        </w:tc>
        <w:tc>
          <w:tcPr>
            <w:tcW w:w="778" w:type="dxa"/>
            <w:tcBorders>
              <w:top w:val="nil"/>
              <w:left w:val="nil"/>
              <w:bottom w:val="nil"/>
              <w:right w:val="nil"/>
            </w:tcBorders>
            <w:shd w:val="clear" w:color="auto" w:fill="auto"/>
            <w:noWrap/>
            <w:vAlign w:val="bottom"/>
            <w:hideMark/>
          </w:tcPr>
          <w:p w14:paraId="1322BE0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36E1A30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auto" w:fill="auto"/>
            <w:noWrap/>
            <w:vAlign w:val="bottom"/>
            <w:hideMark/>
          </w:tcPr>
          <w:p w14:paraId="093941F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161" w:type="dxa"/>
            <w:gridSpan w:val="2"/>
            <w:tcBorders>
              <w:top w:val="nil"/>
              <w:left w:val="nil"/>
              <w:bottom w:val="nil"/>
              <w:right w:val="nil"/>
            </w:tcBorders>
            <w:shd w:val="clear" w:color="auto" w:fill="auto"/>
            <w:noWrap/>
            <w:vAlign w:val="bottom"/>
            <w:hideMark/>
          </w:tcPr>
          <w:p w14:paraId="74A4F14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76C837D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305</w:t>
            </w:r>
          </w:p>
        </w:tc>
        <w:tc>
          <w:tcPr>
            <w:tcW w:w="938" w:type="dxa"/>
            <w:tcBorders>
              <w:top w:val="nil"/>
              <w:left w:val="nil"/>
              <w:bottom w:val="nil"/>
              <w:right w:val="nil"/>
            </w:tcBorders>
            <w:shd w:val="clear" w:color="auto" w:fill="auto"/>
            <w:noWrap/>
            <w:vAlign w:val="bottom"/>
            <w:hideMark/>
          </w:tcPr>
          <w:p w14:paraId="7A13C67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908" w:type="dxa"/>
            <w:tcBorders>
              <w:top w:val="nil"/>
              <w:left w:val="nil"/>
              <w:bottom w:val="nil"/>
              <w:right w:val="nil"/>
            </w:tcBorders>
            <w:shd w:val="clear" w:color="auto" w:fill="auto"/>
            <w:noWrap/>
            <w:vAlign w:val="bottom"/>
            <w:hideMark/>
          </w:tcPr>
          <w:p w14:paraId="63B1B17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906" w:type="dxa"/>
            <w:tcBorders>
              <w:top w:val="nil"/>
              <w:left w:val="nil"/>
              <w:bottom w:val="nil"/>
              <w:right w:val="nil"/>
            </w:tcBorders>
            <w:shd w:val="clear" w:color="auto" w:fill="auto"/>
            <w:noWrap/>
            <w:vAlign w:val="bottom"/>
            <w:hideMark/>
          </w:tcPr>
          <w:p w14:paraId="32F16A1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Red/Green ON</w:t>
            </w:r>
          </w:p>
        </w:tc>
        <w:tc>
          <w:tcPr>
            <w:tcW w:w="1078" w:type="dxa"/>
            <w:tcBorders>
              <w:top w:val="nil"/>
              <w:left w:val="nil"/>
              <w:bottom w:val="nil"/>
              <w:right w:val="nil"/>
            </w:tcBorders>
            <w:shd w:val="clear" w:color="auto" w:fill="auto"/>
            <w:noWrap/>
            <w:vAlign w:val="bottom"/>
            <w:hideMark/>
          </w:tcPr>
          <w:p w14:paraId="72808C2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IPSI</w:t>
            </w:r>
          </w:p>
        </w:tc>
        <w:tc>
          <w:tcPr>
            <w:tcW w:w="813" w:type="dxa"/>
            <w:tcBorders>
              <w:top w:val="nil"/>
              <w:left w:val="nil"/>
              <w:bottom w:val="nil"/>
              <w:right w:val="nil"/>
            </w:tcBorders>
            <w:shd w:val="clear" w:color="auto" w:fill="auto"/>
            <w:noWrap/>
            <w:vAlign w:val="bottom"/>
            <w:hideMark/>
          </w:tcPr>
          <w:p w14:paraId="488CFDF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761ADC" w:rsidRPr="00761ADC" w14:paraId="46CBF564" w14:textId="77777777" w:rsidTr="00FE76D8">
        <w:trPr>
          <w:trHeight w:val="285"/>
        </w:trPr>
        <w:tc>
          <w:tcPr>
            <w:tcW w:w="500" w:type="dxa"/>
            <w:tcBorders>
              <w:top w:val="nil"/>
              <w:left w:val="nil"/>
              <w:bottom w:val="nil"/>
              <w:right w:val="nil"/>
            </w:tcBorders>
            <w:shd w:val="clear" w:color="auto" w:fill="auto"/>
            <w:noWrap/>
            <w:vAlign w:val="bottom"/>
            <w:hideMark/>
          </w:tcPr>
          <w:p w14:paraId="5FAA647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9b</w:t>
            </w:r>
          </w:p>
        </w:tc>
        <w:tc>
          <w:tcPr>
            <w:tcW w:w="778" w:type="dxa"/>
            <w:tcBorders>
              <w:top w:val="nil"/>
              <w:left w:val="nil"/>
              <w:bottom w:val="nil"/>
              <w:right w:val="nil"/>
            </w:tcBorders>
            <w:shd w:val="clear" w:color="auto" w:fill="auto"/>
            <w:noWrap/>
            <w:vAlign w:val="bottom"/>
            <w:hideMark/>
          </w:tcPr>
          <w:p w14:paraId="26DCD5D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01036954"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auto" w:fill="auto"/>
            <w:noWrap/>
            <w:vAlign w:val="bottom"/>
            <w:hideMark/>
          </w:tcPr>
          <w:p w14:paraId="7AEC6A0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0.17</w:t>
            </w:r>
          </w:p>
        </w:tc>
        <w:tc>
          <w:tcPr>
            <w:tcW w:w="1161" w:type="dxa"/>
            <w:gridSpan w:val="2"/>
            <w:tcBorders>
              <w:top w:val="nil"/>
              <w:left w:val="nil"/>
              <w:bottom w:val="nil"/>
              <w:right w:val="nil"/>
            </w:tcBorders>
            <w:shd w:val="clear" w:color="auto" w:fill="auto"/>
            <w:noWrap/>
            <w:vAlign w:val="bottom"/>
            <w:hideMark/>
          </w:tcPr>
          <w:p w14:paraId="5AAD207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3EC3F70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418</w:t>
            </w:r>
          </w:p>
        </w:tc>
        <w:tc>
          <w:tcPr>
            <w:tcW w:w="938" w:type="dxa"/>
            <w:tcBorders>
              <w:top w:val="nil"/>
              <w:left w:val="nil"/>
              <w:bottom w:val="nil"/>
              <w:right w:val="nil"/>
            </w:tcBorders>
            <w:shd w:val="clear" w:color="auto" w:fill="auto"/>
            <w:noWrap/>
            <w:vAlign w:val="bottom"/>
            <w:hideMark/>
          </w:tcPr>
          <w:p w14:paraId="7EE9D54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Inter</w:t>
            </w:r>
            <w:proofErr w:type="spellEnd"/>
          </w:p>
        </w:tc>
        <w:tc>
          <w:tcPr>
            <w:tcW w:w="908" w:type="dxa"/>
            <w:tcBorders>
              <w:top w:val="nil"/>
              <w:left w:val="nil"/>
              <w:bottom w:val="nil"/>
              <w:right w:val="nil"/>
            </w:tcBorders>
            <w:shd w:val="clear" w:color="auto" w:fill="auto"/>
            <w:noWrap/>
            <w:vAlign w:val="bottom"/>
            <w:hideMark/>
          </w:tcPr>
          <w:p w14:paraId="6BA74AD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Inter</w:t>
            </w:r>
            <w:proofErr w:type="spellEnd"/>
          </w:p>
        </w:tc>
        <w:tc>
          <w:tcPr>
            <w:tcW w:w="1906" w:type="dxa"/>
            <w:tcBorders>
              <w:top w:val="nil"/>
              <w:left w:val="nil"/>
              <w:bottom w:val="nil"/>
              <w:right w:val="nil"/>
            </w:tcBorders>
            <w:shd w:val="clear" w:color="auto" w:fill="auto"/>
            <w:noWrap/>
            <w:vAlign w:val="bottom"/>
            <w:hideMark/>
          </w:tcPr>
          <w:p w14:paraId="0BF03DA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1078" w:type="dxa"/>
            <w:tcBorders>
              <w:top w:val="nil"/>
              <w:left w:val="nil"/>
              <w:bottom w:val="nil"/>
              <w:right w:val="nil"/>
            </w:tcBorders>
            <w:shd w:val="clear" w:color="auto" w:fill="auto"/>
            <w:noWrap/>
            <w:vAlign w:val="bottom"/>
            <w:hideMark/>
          </w:tcPr>
          <w:p w14:paraId="1A7923A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w:t>
            </w:r>
          </w:p>
        </w:tc>
        <w:tc>
          <w:tcPr>
            <w:tcW w:w="813" w:type="dxa"/>
            <w:tcBorders>
              <w:top w:val="nil"/>
              <w:left w:val="nil"/>
              <w:bottom w:val="nil"/>
              <w:right w:val="nil"/>
            </w:tcBorders>
            <w:shd w:val="clear" w:color="auto" w:fill="auto"/>
            <w:noWrap/>
            <w:vAlign w:val="bottom"/>
            <w:hideMark/>
          </w:tcPr>
          <w:p w14:paraId="34589EA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761ADC" w:rsidRPr="00761ADC" w14:paraId="2C22CBBC" w14:textId="77777777" w:rsidTr="00FE76D8">
        <w:trPr>
          <w:trHeight w:val="285"/>
        </w:trPr>
        <w:tc>
          <w:tcPr>
            <w:tcW w:w="500" w:type="dxa"/>
            <w:tcBorders>
              <w:top w:val="nil"/>
              <w:left w:val="nil"/>
              <w:bottom w:val="nil"/>
              <w:right w:val="nil"/>
            </w:tcBorders>
            <w:shd w:val="clear" w:color="auto" w:fill="auto"/>
            <w:noWrap/>
            <w:vAlign w:val="bottom"/>
            <w:hideMark/>
          </w:tcPr>
          <w:p w14:paraId="1991CD0E"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10</w:t>
            </w:r>
          </w:p>
        </w:tc>
        <w:tc>
          <w:tcPr>
            <w:tcW w:w="778" w:type="dxa"/>
            <w:tcBorders>
              <w:top w:val="nil"/>
              <w:left w:val="nil"/>
              <w:bottom w:val="nil"/>
              <w:right w:val="nil"/>
            </w:tcBorders>
            <w:shd w:val="clear" w:color="auto" w:fill="auto"/>
            <w:noWrap/>
            <w:vAlign w:val="bottom"/>
            <w:hideMark/>
          </w:tcPr>
          <w:p w14:paraId="09744FC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4E246565"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6552BC1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0.29</w:t>
            </w:r>
          </w:p>
        </w:tc>
        <w:tc>
          <w:tcPr>
            <w:tcW w:w="1161" w:type="dxa"/>
            <w:gridSpan w:val="2"/>
            <w:tcBorders>
              <w:top w:val="nil"/>
              <w:left w:val="nil"/>
              <w:bottom w:val="nil"/>
              <w:right w:val="nil"/>
            </w:tcBorders>
            <w:shd w:val="clear" w:color="auto" w:fill="auto"/>
            <w:noWrap/>
            <w:vAlign w:val="bottom"/>
            <w:hideMark/>
          </w:tcPr>
          <w:p w14:paraId="3205B2F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SUA</w:t>
            </w:r>
          </w:p>
        </w:tc>
        <w:tc>
          <w:tcPr>
            <w:tcW w:w="912" w:type="dxa"/>
            <w:tcBorders>
              <w:top w:val="nil"/>
              <w:left w:val="nil"/>
              <w:bottom w:val="nil"/>
              <w:right w:val="nil"/>
            </w:tcBorders>
            <w:shd w:val="clear" w:color="000000" w:fill="BDD7EE"/>
            <w:noWrap/>
            <w:vAlign w:val="bottom"/>
            <w:hideMark/>
          </w:tcPr>
          <w:p w14:paraId="1FB0737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223</w:t>
            </w:r>
          </w:p>
        </w:tc>
        <w:tc>
          <w:tcPr>
            <w:tcW w:w="938" w:type="dxa"/>
            <w:tcBorders>
              <w:top w:val="nil"/>
              <w:left w:val="nil"/>
              <w:bottom w:val="nil"/>
              <w:right w:val="nil"/>
            </w:tcBorders>
            <w:shd w:val="clear" w:color="auto" w:fill="auto"/>
            <w:noWrap/>
            <w:vAlign w:val="bottom"/>
            <w:hideMark/>
          </w:tcPr>
          <w:p w14:paraId="4F49A69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LP/</w:t>
            </w:r>
            <w:proofErr w:type="spellStart"/>
            <w:r w:rsidRPr="00761ADC">
              <w:rPr>
                <w:rFonts w:ascii="Calibri" w:eastAsia="Times New Roman" w:hAnsi="Calibri" w:cs="Calibri"/>
                <w:color w:val="000000"/>
                <w:kern w:val="0"/>
                <w:sz w:val="22"/>
                <w:szCs w:val="22"/>
                <w14:ligatures w14:val="none"/>
              </w:rPr>
              <w:t>Inter</w:t>
            </w:r>
            <w:proofErr w:type="spellEnd"/>
          </w:p>
        </w:tc>
        <w:tc>
          <w:tcPr>
            <w:tcW w:w="908" w:type="dxa"/>
            <w:tcBorders>
              <w:top w:val="nil"/>
              <w:left w:val="nil"/>
              <w:bottom w:val="nil"/>
              <w:right w:val="nil"/>
            </w:tcBorders>
            <w:shd w:val="clear" w:color="auto" w:fill="auto"/>
            <w:noWrap/>
            <w:vAlign w:val="bottom"/>
            <w:hideMark/>
          </w:tcPr>
          <w:p w14:paraId="5788E85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Unclear</w:t>
            </w:r>
            <w:proofErr w:type="spellEnd"/>
          </w:p>
        </w:tc>
        <w:tc>
          <w:tcPr>
            <w:tcW w:w="1906" w:type="dxa"/>
            <w:tcBorders>
              <w:top w:val="nil"/>
              <w:left w:val="nil"/>
              <w:bottom w:val="nil"/>
              <w:right w:val="nil"/>
            </w:tcBorders>
            <w:shd w:val="clear" w:color="auto" w:fill="auto"/>
            <w:noWrap/>
            <w:vAlign w:val="bottom"/>
            <w:hideMark/>
          </w:tcPr>
          <w:p w14:paraId="3A452FC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Red ON/Green OFF</w:t>
            </w:r>
          </w:p>
        </w:tc>
        <w:tc>
          <w:tcPr>
            <w:tcW w:w="1078" w:type="dxa"/>
            <w:tcBorders>
              <w:top w:val="nil"/>
              <w:left w:val="nil"/>
              <w:bottom w:val="nil"/>
              <w:right w:val="nil"/>
            </w:tcBorders>
            <w:shd w:val="clear" w:color="auto" w:fill="auto"/>
            <w:noWrap/>
            <w:vAlign w:val="bottom"/>
            <w:hideMark/>
          </w:tcPr>
          <w:p w14:paraId="0B46187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CONTRA</w:t>
            </w:r>
          </w:p>
        </w:tc>
        <w:tc>
          <w:tcPr>
            <w:tcW w:w="813" w:type="dxa"/>
            <w:tcBorders>
              <w:top w:val="nil"/>
              <w:left w:val="nil"/>
              <w:bottom w:val="nil"/>
              <w:right w:val="nil"/>
            </w:tcBorders>
            <w:shd w:val="clear" w:color="auto" w:fill="auto"/>
            <w:noWrap/>
            <w:vAlign w:val="bottom"/>
            <w:hideMark/>
          </w:tcPr>
          <w:p w14:paraId="1B266CA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r>
      <w:tr w:rsidR="00761ADC" w:rsidRPr="00761ADC" w14:paraId="161D7BEC" w14:textId="77777777" w:rsidTr="00FE76D8">
        <w:trPr>
          <w:trHeight w:val="285"/>
        </w:trPr>
        <w:tc>
          <w:tcPr>
            <w:tcW w:w="500" w:type="dxa"/>
            <w:tcBorders>
              <w:top w:val="nil"/>
              <w:left w:val="nil"/>
              <w:bottom w:val="nil"/>
              <w:right w:val="nil"/>
            </w:tcBorders>
            <w:shd w:val="clear" w:color="auto" w:fill="auto"/>
            <w:noWrap/>
            <w:vAlign w:val="bottom"/>
            <w:hideMark/>
          </w:tcPr>
          <w:p w14:paraId="4DEEC45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11</w:t>
            </w:r>
          </w:p>
        </w:tc>
        <w:tc>
          <w:tcPr>
            <w:tcW w:w="778" w:type="dxa"/>
            <w:tcBorders>
              <w:top w:val="nil"/>
              <w:left w:val="nil"/>
              <w:bottom w:val="nil"/>
              <w:right w:val="nil"/>
            </w:tcBorders>
            <w:shd w:val="clear" w:color="auto" w:fill="auto"/>
            <w:noWrap/>
            <w:vAlign w:val="bottom"/>
            <w:hideMark/>
          </w:tcPr>
          <w:p w14:paraId="5BEE02C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54EE9F8E"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680" w:type="dxa"/>
            <w:tcBorders>
              <w:top w:val="nil"/>
              <w:left w:val="nil"/>
              <w:bottom w:val="nil"/>
              <w:right w:val="nil"/>
            </w:tcBorders>
            <w:shd w:val="clear" w:color="auto" w:fill="auto"/>
            <w:noWrap/>
            <w:vAlign w:val="bottom"/>
            <w:hideMark/>
          </w:tcPr>
          <w:p w14:paraId="616BFB0D"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0.17</w:t>
            </w:r>
          </w:p>
        </w:tc>
        <w:tc>
          <w:tcPr>
            <w:tcW w:w="1161" w:type="dxa"/>
            <w:gridSpan w:val="2"/>
            <w:tcBorders>
              <w:top w:val="nil"/>
              <w:left w:val="nil"/>
              <w:bottom w:val="nil"/>
              <w:right w:val="nil"/>
            </w:tcBorders>
            <w:shd w:val="clear" w:color="auto" w:fill="auto"/>
            <w:noWrap/>
            <w:vAlign w:val="bottom"/>
            <w:hideMark/>
          </w:tcPr>
          <w:p w14:paraId="068B143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20934A7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324</w:t>
            </w:r>
          </w:p>
        </w:tc>
        <w:tc>
          <w:tcPr>
            <w:tcW w:w="938" w:type="dxa"/>
            <w:tcBorders>
              <w:top w:val="nil"/>
              <w:left w:val="nil"/>
              <w:bottom w:val="nil"/>
              <w:right w:val="nil"/>
            </w:tcBorders>
            <w:shd w:val="clear" w:color="auto" w:fill="auto"/>
            <w:noWrap/>
            <w:vAlign w:val="bottom"/>
            <w:hideMark/>
          </w:tcPr>
          <w:p w14:paraId="4D9B76F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LP/</w:t>
            </w:r>
            <w:proofErr w:type="spellStart"/>
            <w:r w:rsidRPr="00761ADC">
              <w:rPr>
                <w:rFonts w:ascii="Calibri" w:eastAsia="Times New Roman" w:hAnsi="Calibri" w:cs="Calibri"/>
                <w:color w:val="000000"/>
                <w:kern w:val="0"/>
                <w:sz w:val="22"/>
                <w:szCs w:val="22"/>
                <w14:ligatures w14:val="none"/>
              </w:rPr>
              <w:t>Inter</w:t>
            </w:r>
            <w:proofErr w:type="spellEnd"/>
          </w:p>
        </w:tc>
        <w:tc>
          <w:tcPr>
            <w:tcW w:w="908" w:type="dxa"/>
            <w:tcBorders>
              <w:top w:val="nil"/>
              <w:left w:val="nil"/>
              <w:bottom w:val="nil"/>
              <w:right w:val="nil"/>
            </w:tcBorders>
            <w:shd w:val="clear" w:color="auto" w:fill="auto"/>
            <w:noWrap/>
            <w:vAlign w:val="bottom"/>
            <w:hideMark/>
          </w:tcPr>
          <w:p w14:paraId="602FB81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Inter</w:t>
            </w:r>
            <w:proofErr w:type="spellEnd"/>
          </w:p>
        </w:tc>
        <w:tc>
          <w:tcPr>
            <w:tcW w:w="1906" w:type="dxa"/>
            <w:tcBorders>
              <w:top w:val="nil"/>
              <w:left w:val="nil"/>
              <w:bottom w:val="nil"/>
              <w:right w:val="nil"/>
            </w:tcBorders>
            <w:shd w:val="clear" w:color="auto" w:fill="auto"/>
            <w:noWrap/>
            <w:vAlign w:val="bottom"/>
            <w:hideMark/>
          </w:tcPr>
          <w:p w14:paraId="21B767A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Green ON/Red OFF</w:t>
            </w:r>
          </w:p>
        </w:tc>
        <w:tc>
          <w:tcPr>
            <w:tcW w:w="1078" w:type="dxa"/>
            <w:tcBorders>
              <w:top w:val="nil"/>
              <w:left w:val="nil"/>
              <w:bottom w:val="nil"/>
              <w:right w:val="nil"/>
            </w:tcBorders>
            <w:shd w:val="clear" w:color="auto" w:fill="auto"/>
            <w:noWrap/>
            <w:vAlign w:val="bottom"/>
            <w:hideMark/>
          </w:tcPr>
          <w:p w14:paraId="1410958A" w14:textId="5C90EBB4" w:rsidR="00761ADC" w:rsidRPr="00761ADC" w:rsidRDefault="00293C41" w:rsidP="00F91665">
            <w:pPr>
              <w:spacing w:after="0" w:line="240" w:lineRule="auto"/>
              <w:jc w:val="both"/>
              <w:rPr>
                <w:rFonts w:ascii="Calibri" w:eastAsia="Times New Roman" w:hAnsi="Calibri" w:cs="Calibri"/>
                <w:color w:val="000000"/>
                <w:kern w:val="0"/>
                <w:sz w:val="22"/>
                <w:szCs w:val="22"/>
                <w14:ligatures w14:val="none"/>
              </w:rPr>
            </w:pPr>
            <w:r>
              <w:rPr>
                <w:rFonts w:ascii="Calibri" w:eastAsia="Times New Roman" w:hAnsi="Calibri" w:cs="Calibri"/>
                <w:color w:val="000000"/>
                <w:kern w:val="0"/>
                <w:sz w:val="22"/>
                <w:szCs w:val="22"/>
                <w14:ligatures w14:val="none"/>
              </w:rPr>
              <w:t>contra</w:t>
            </w:r>
          </w:p>
        </w:tc>
        <w:tc>
          <w:tcPr>
            <w:tcW w:w="813" w:type="dxa"/>
            <w:tcBorders>
              <w:top w:val="nil"/>
              <w:left w:val="nil"/>
              <w:bottom w:val="nil"/>
              <w:right w:val="nil"/>
            </w:tcBorders>
            <w:shd w:val="clear" w:color="auto" w:fill="auto"/>
            <w:noWrap/>
            <w:vAlign w:val="bottom"/>
            <w:hideMark/>
          </w:tcPr>
          <w:p w14:paraId="5B458C2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r>
      <w:tr w:rsidR="00761ADC" w:rsidRPr="00761ADC" w14:paraId="6F37B64F" w14:textId="77777777" w:rsidTr="00FE76D8">
        <w:trPr>
          <w:trHeight w:val="285"/>
        </w:trPr>
        <w:tc>
          <w:tcPr>
            <w:tcW w:w="500" w:type="dxa"/>
            <w:tcBorders>
              <w:top w:val="nil"/>
              <w:left w:val="nil"/>
              <w:bottom w:val="nil"/>
              <w:right w:val="nil"/>
            </w:tcBorders>
            <w:shd w:val="clear" w:color="auto" w:fill="auto"/>
            <w:noWrap/>
            <w:vAlign w:val="bottom"/>
            <w:hideMark/>
          </w:tcPr>
          <w:p w14:paraId="0427CD7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12</w:t>
            </w:r>
          </w:p>
        </w:tc>
        <w:tc>
          <w:tcPr>
            <w:tcW w:w="778" w:type="dxa"/>
            <w:tcBorders>
              <w:top w:val="nil"/>
              <w:left w:val="nil"/>
              <w:bottom w:val="nil"/>
              <w:right w:val="nil"/>
            </w:tcBorders>
            <w:shd w:val="clear" w:color="auto" w:fill="auto"/>
            <w:noWrap/>
            <w:vAlign w:val="bottom"/>
            <w:hideMark/>
          </w:tcPr>
          <w:p w14:paraId="06027267"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26EB8BE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000000" w:fill="F8CBAD"/>
            <w:noWrap/>
            <w:vAlign w:val="bottom"/>
            <w:hideMark/>
          </w:tcPr>
          <w:p w14:paraId="3563A08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0.73</w:t>
            </w:r>
          </w:p>
        </w:tc>
        <w:tc>
          <w:tcPr>
            <w:tcW w:w="1161" w:type="dxa"/>
            <w:gridSpan w:val="2"/>
            <w:tcBorders>
              <w:top w:val="nil"/>
              <w:left w:val="nil"/>
              <w:bottom w:val="nil"/>
              <w:right w:val="nil"/>
            </w:tcBorders>
            <w:shd w:val="clear" w:color="auto" w:fill="auto"/>
            <w:noWrap/>
            <w:vAlign w:val="bottom"/>
            <w:hideMark/>
          </w:tcPr>
          <w:p w14:paraId="4A12DD18"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MUA</w:t>
            </w:r>
          </w:p>
        </w:tc>
        <w:tc>
          <w:tcPr>
            <w:tcW w:w="912" w:type="dxa"/>
            <w:tcBorders>
              <w:top w:val="nil"/>
              <w:left w:val="nil"/>
              <w:bottom w:val="nil"/>
              <w:right w:val="nil"/>
            </w:tcBorders>
            <w:shd w:val="clear" w:color="auto" w:fill="auto"/>
            <w:noWrap/>
            <w:vAlign w:val="bottom"/>
            <w:hideMark/>
          </w:tcPr>
          <w:p w14:paraId="50B8D170"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298</w:t>
            </w:r>
          </w:p>
        </w:tc>
        <w:tc>
          <w:tcPr>
            <w:tcW w:w="938" w:type="dxa"/>
            <w:tcBorders>
              <w:top w:val="nil"/>
              <w:left w:val="nil"/>
              <w:bottom w:val="nil"/>
              <w:right w:val="nil"/>
            </w:tcBorders>
            <w:shd w:val="clear" w:color="auto" w:fill="auto"/>
            <w:noWrap/>
            <w:vAlign w:val="bottom"/>
            <w:hideMark/>
          </w:tcPr>
          <w:p w14:paraId="5D4788D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LP</w:t>
            </w:r>
          </w:p>
        </w:tc>
        <w:tc>
          <w:tcPr>
            <w:tcW w:w="908" w:type="dxa"/>
            <w:tcBorders>
              <w:top w:val="nil"/>
              <w:left w:val="nil"/>
              <w:bottom w:val="nil"/>
              <w:right w:val="nil"/>
            </w:tcBorders>
            <w:shd w:val="clear" w:color="auto" w:fill="auto"/>
            <w:noWrap/>
            <w:vAlign w:val="bottom"/>
            <w:hideMark/>
          </w:tcPr>
          <w:p w14:paraId="1C5A2B3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Fast</w:t>
            </w:r>
            <w:proofErr w:type="spellEnd"/>
          </w:p>
        </w:tc>
        <w:tc>
          <w:tcPr>
            <w:tcW w:w="1906" w:type="dxa"/>
            <w:tcBorders>
              <w:top w:val="nil"/>
              <w:left w:val="nil"/>
              <w:bottom w:val="nil"/>
              <w:right w:val="nil"/>
            </w:tcBorders>
            <w:shd w:val="clear" w:color="auto" w:fill="auto"/>
            <w:noWrap/>
            <w:vAlign w:val="bottom"/>
            <w:hideMark/>
          </w:tcPr>
          <w:p w14:paraId="4A39189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Red/Green ON</w:t>
            </w:r>
          </w:p>
        </w:tc>
        <w:tc>
          <w:tcPr>
            <w:tcW w:w="1078" w:type="dxa"/>
            <w:tcBorders>
              <w:top w:val="nil"/>
              <w:left w:val="nil"/>
              <w:bottom w:val="nil"/>
              <w:right w:val="nil"/>
            </w:tcBorders>
            <w:shd w:val="clear" w:color="auto" w:fill="auto"/>
            <w:noWrap/>
            <w:vAlign w:val="bottom"/>
            <w:hideMark/>
          </w:tcPr>
          <w:p w14:paraId="0B719F3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IPSI</w:t>
            </w:r>
          </w:p>
        </w:tc>
        <w:tc>
          <w:tcPr>
            <w:tcW w:w="813" w:type="dxa"/>
            <w:tcBorders>
              <w:top w:val="nil"/>
              <w:left w:val="nil"/>
              <w:bottom w:val="nil"/>
              <w:right w:val="nil"/>
            </w:tcBorders>
            <w:shd w:val="clear" w:color="auto" w:fill="auto"/>
            <w:noWrap/>
            <w:vAlign w:val="bottom"/>
            <w:hideMark/>
          </w:tcPr>
          <w:p w14:paraId="20F4ED13"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w:t>
            </w:r>
          </w:p>
        </w:tc>
      </w:tr>
      <w:tr w:rsidR="00761ADC" w:rsidRPr="00761ADC" w14:paraId="1424B05A" w14:textId="77777777" w:rsidTr="00FE76D8">
        <w:trPr>
          <w:trHeight w:val="285"/>
        </w:trPr>
        <w:tc>
          <w:tcPr>
            <w:tcW w:w="500" w:type="dxa"/>
            <w:tcBorders>
              <w:top w:val="nil"/>
              <w:left w:val="nil"/>
              <w:bottom w:val="nil"/>
              <w:right w:val="nil"/>
            </w:tcBorders>
            <w:shd w:val="clear" w:color="auto" w:fill="auto"/>
            <w:noWrap/>
            <w:vAlign w:val="bottom"/>
            <w:hideMark/>
          </w:tcPr>
          <w:p w14:paraId="4759EEAF"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13</w:t>
            </w:r>
          </w:p>
        </w:tc>
        <w:tc>
          <w:tcPr>
            <w:tcW w:w="778" w:type="dxa"/>
            <w:tcBorders>
              <w:top w:val="nil"/>
              <w:left w:val="nil"/>
              <w:bottom w:val="nil"/>
              <w:right w:val="nil"/>
            </w:tcBorders>
            <w:shd w:val="clear" w:color="auto" w:fill="auto"/>
            <w:noWrap/>
            <w:vAlign w:val="bottom"/>
            <w:hideMark/>
          </w:tcPr>
          <w:p w14:paraId="60267E5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3FC90C5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680" w:type="dxa"/>
            <w:tcBorders>
              <w:top w:val="nil"/>
              <w:left w:val="nil"/>
              <w:bottom w:val="nil"/>
              <w:right w:val="nil"/>
            </w:tcBorders>
            <w:shd w:val="clear" w:color="000000" w:fill="F8CBAD"/>
            <w:noWrap/>
            <w:vAlign w:val="bottom"/>
            <w:hideMark/>
          </w:tcPr>
          <w:p w14:paraId="1EEA7B49"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0.62</w:t>
            </w:r>
          </w:p>
        </w:tc>
        <w:tc>
          <w:tcPr>
            <w:tcW w:w="1161" w:type="dxa"/>
            <w:gridSpan w:val="2"/>
            <w:tcBorders>
              <w:top w:val="nil"/>
              <w:left w:val="nil"/>
              <w:bottom w:val="nil"/>
              <w:right w:val="nil"/>
            </w:tcBorders>
            <w:shd w:val="clear" w:color="auto" w:fill="auto"/>
            <w:noWrap/>
            <w:vAlign w:val="bottom"/>
            <w:hideMark/>
          </w:tcPr>
          <w:p w14:paraId="24885CA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SUA</w:t>
            </w:r>
          </w:p>
        </w:tc>
        <w:tc>
          <w:tcPr>
            <w:tcW w:w="912" w:type="dxa"/>
            <w:tcBorders>
              <w:top w:val="nil"/>
              <w:left w:val="nil"/>
              <w:bottom w:val="nil"/>
              <w:right w:val="nil"/>
            </w:tcBorders>
            <w:shd w:val="clear" w:color="000000" w:fill="BDD7EE"/>
            <w:noWrap/>
            <w:vAlign w:val="bottom"/>
            <w:hideMark/>
          </w:tcPr>
          <w:p w14:paraId="1E57A1A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245</w:t>
            </w:r>
          </w:p>
        </w:tc>
        <w:tc>
          <w:tcPr>
            <w:tcW w:w="938" w:type="dxa"/>
            <w:tcBorders>
              <w:top w:val="nil"/>
              <w:left w:val="nil"/>
              <w:bottom w:val="nil"/>
              <w:right w:val="nil"/>
            </w:tcBorders>
            <w:shd w:val="clear" w:color="auto" w:fill="auto"/>
            <w:noWrap/>
            <w:vAlign w:val="bottom"/>
            <w:hideMark/>
          </w:tcPr>
          <w:p w14:paraId="22E055FC"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LP</w:t>
            </w:r>
          </w:p>
        </w:tc>
        <w:tc>
          <w:tcPr>
            <w:tcW w:w="908" w:type="dxa"/>
            <w:tcBorders>
              <w:top w:val="nil"/>
              <w:left w:val="nil"/>
              <w:bottom w:val="nil"/>
              <w:right w:val="nil"/>
            </w:tcBorders>
            <w:shd w:val="clear" w:color="auto" w:fill="auto"/>
            <w:noWrap/>
            <w:vAlign w:val="bottom"/>
            <w:hideMark/>
          </w:tcPr>
          <w:p w14:paraId="134F7CBE"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roofErr w:type="spellStart"/>
            <w:r w:rsidRPr="00761ADC">
              <w:rPr>
                <w:rFonts w:ascii="Calibri" w:eastAsia="Times New Roman" w:hAnsi="Calibri" w:cs="Calibri"/>
                <w:color w:val="000000"/>
                <w:kern w:val="0"/>
                <w:sz w:val="22"/>
                <w:szCs w:val="22"/>
                <w14:ligatures w14:val="none"/>
              </w:rPr>
              <w:t>Fast</w:t>
            </w:r>
            <w:proofErr w:type="spellEnd"/>
          </w:p>
        </w:tc>
        <w:tc>
          <w:tcPr>
            <w:tcW w:w="1906" w:type="dxa"/>
            <w:tcBorders>
              <w:top w:val="nil"/>
              <w:left w:val="nil"/>
              <w:bottom w:val="nil"/>
              <w:right w:val="nil"/>
            </w:tcBorders>
            <w:shd w:val="clear" w:color="auto" w:fill="auto"/>
            <w:noWrap/>
            <w:vAlign w:val="bottom"/>
            <w:hideMark/>
          </w:tcPr>
          <w:p w14:paraId="6B71307B"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On/Off</w:t>
            </w:r>
          </w:p>
        </w:tc>
        <w:tc>
          <w:tcPr>
            <w:tcW w:w="1078" w:type="dxa"/>
            <w:tcBorders>
              <w:top w:val="nil"/>
              <w:left w:val="nil"/>
              <w:bottom w:val="nil"/>
              <w:right w:val="nil"/>
            </w:tcBorders>
            <w:shd w:val="clear" w:color="auto" w:fill="auto"/>
            <w:noWrap/>
            <w:vAlign w:val="bottom"/>
            <w:hideMark/>
          </w:tcPr>
          <w:p w14:paraId="705DC602"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IPSI</w:t>
            </w:r>
          </w:p>
        </w:tc>
        <w:tc>
          <w:tcPr>
            <w:tcW w:w="813" w:type="dxa"/>
            <w:tcBorders>
              <w:top w:val="nil"/>
              <w:left w:val="nil"/>
              <w:bottom w:val="nil"/>
              <w:right w:val="nil"/>
            </w:tcBorders>
            <w:shd w:val="clear" w:color="auto" w:fill="auto"/>
            <w:noWrap/>
            <w:vAlign w:val="bottom"/>
            <w:hideMark/>
          </w:tcPr>
          <w:p w14:paraId="58822726"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w:t>
            </w:r>
          </w:p>
        </w:tc>
      </w:tr>
      <w:tr w:rsidR="00761ADC" w:rsidRPr="00761ADC" w14:paraId="0CD722E6" w14:textId="77777777" w:rsidTr="00FE76D8">
        <w:trPr>
          <w:trHeight w:val="285"/>
        </w:trPr>
        <w:tc>
          <w:tcPr>
            <w:tcW w:w="500" w:type="dxa"/>
            <w:tcBorders>
              <w:top w:val="nil"/>
              <w:left w:val="nil"/>
              <w:bottom w:val="nil"/>
              <w:right w:val="nil"/>
            </w:tcBorders>
            <w:shd w:val="clear" w:color="auto" w:fill="auto"/>
            <w:noWrap/>
            <w:vAlign w:val="bottom"/>
            <w:hideMark/>
          </w:tcPr>
          <w:p w14:paraId="5E8E347A"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
        </w:tc>
        <w:tc>
          <w:tcPr>
            <w:tcW w:w="778" w:type="dxa"/>
            <w:tcBorders>
              <w:top w:val="nil"/>
              <w:left w:val="nil"/>
              <w:bottom w:val="nil"/>
              <w:right w:val="nil"/>
            </w:tcBorders>
            <w:shd w:val="clear" w:color="auto" w:fill="auto"/>
            <w:noWrap/>
            <w:vAlign w:val="bottom"/>
            <w:hideMark/>
          </w:tcPr>
          <w:p w14:paraId="1080069D"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581" w:type="dxa"/>
            <w:tcBorders>
              <w:top w:val="nil"/>
              <w:left w:val="nil"/>
              <w:bottom w:val="nil"/>
              <w:right w:val="nil"/>
            </w:tcBorders>
            <w:shd w:val="clear" w:color="auto" w:fill="auto"/>
            <w:noWrap/>
            <w:vAlign w:val="bottom"/>
            <w:hideMark/>
          </w:tcPr>
          <w:p w14:paraId="1A8A63CB"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680" w:type="dxa"/>
            <w:tcBorders>
              <w:top w:val="nil"/>
              <w:left w:val="nil"/>
              <w:bottom w:val="nil"/>
              <w:right w:val="nil"/>
            </w:tcBorders>
            <w:shd w:val="clear" w:color="auto" w:fill="auto"/>
            <w:noWrap/>
            <w:vAlign w:val="bottom"/>
            <w:hideMark/>
          </w:tcPr>
          <w:p w14:paraId="4A232369"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1161" w:type="dxa"/>
            <w:gridSpan w:val="2"/>
            <w:tcBorders>
              <w:top w:val="nil"/>
              <w:left w:val="nil"/>
              <w:bottom w:val="nil"/>
              <w:right w:val="nil"/>
            </w:tcBorders>
            <w:shd w:val="clear" w:color="auto" w:fill="auto"/>
            <w:noWrap/>
            <w:vAlign w:val="bottom"/>
            <w:hideMark/>
          </w:tcPr>
          <w:p w14:paraId="4112439E"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912" w:type="dxa"/>
            <w:tcBorders>
              <w:top w:val="nil"/>
              <w:left w:val="nil"/>
              <w:bottom w:val="nil"/>
              <w:right w:val="nil"/>
            </w:tcBorders>
            <w:shd w:val="clear" w:color="auto" w:fill="auto"/>
            <w:noWrap/>
            <w:vAlign w:val="bottom"/>
            <w:hideMark/>
          </w:tcPr>
          <w:p w14:paraId="74B8E162"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938" w:type="dxa"/>
            <w:tcBorders>
              <w:top w:val="nil"/>
              <w:left w:val="nil"/>
              <w:bottom w:val="nil"/>
              <w:right w:val="nil"/>
            </w:tcBorders>
            <w:shd w:val="clear" w:color="auto" w:fill="auto"/>
            <w:noWrap/>
            <w:vAlign w:val="bottom"/>
            <w:hideMark/>
          </w:tcPr>
          <w:p w14:paraId="73AB5666"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908" w:type="dxa"/>
            <w:tcBorders>
              <w:top w:val="nil"/>
              <w:left w:val="nil"/>
              <w:bottom w:val="nil"/>
              <w:right w:val="nil"/>
            </w:tcBorders>
            <w:shd w:val="clear" w:color="auto" w:fill="auto"/>
            <w:noWrap/>
            <w:vAlign w:val="bottom"/>
            <w:hideMark/>
          </w:tcPr>
          <w:p w14:paraId="0F1E732E"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1906" w:type="dxa"/>
            <w:tcBorders>
              <w:top w:val="nil"/>
              <w:left w:val="nil"/>
              <w:bottom w:val="nil"/>
              <w:right w:val="nil"/>
            </w:tcBorders>
            <w:shd w:val="clear" w:color="auto" w:fill="auto"/>
            <w:noWrap/>
            <w:vAlign w:val="bottom"/>
            <w:hideMark/>
          </w:tcPr>
          <w:p w14:paraId="1E356363"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1078" w:type="dxa"/>
            <w:tcBorders>
              <w:top w:val="nil"/>
              <w:left w:val="nil"/>
              <w:bottom w:val="nil"/>
              <w:right w:val="nil"/>
            </w:tcBorders>
            <w:shd w:val="clear" w:color="auto" w:fill="auto"/>
            <w:noWrap/>
            <w:vAlign w:val="bottom"/>
            <w:hideMark/>
          </w:tcPr>
          <w:p w14:paraId="01327EDF"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813" w:type="dxa"/>
            <w:tcBorders>
              <w:top w:val="nil"/>
              <w:left w:val="nil"/>
              <w:bottom w:val="nil"/>
              <w:right w:val="nil"/>
            </w:tcBorders>
            <w:shd w:val="clear" w:color="auto" w:fill="auto"/>
            <w:noWrap/>
            <w:vAlign w:val="bottom"/>
            <w:hideMark/>
          </w:tcPr>
          <w:p w14:paraId="0939E371"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r>
      <w:tr w:rsidR="00FE76D8" w:rsidRPr="00761ADC" w14:paraId="12D8A41F" w14:textId="77777777" w:rsidTr="00FE76D8">
        <w:trPr>
          <w:gridAfter w:val="7"/>
          <w:wAfter w:w="7583" w:type="dxa"/>
          <w:trHeight w:val="285"/>
        </w:trPr>
        <w:tc>
          <w:tcPr>
            <w:tcW w:w="500" w:type="dxa"/>
            <w:tcBorders>
              <w:top w:val="nil"/>
              <w:left w:val="nil"/>
              <w:bottom w:val="nil"/>
              <w:right w:val="nil"/>
            </w:tcBorders>
            <w:shd w:val="clear" w:color="000000" w:fill="D9D9D9"/>
            <w:noWrap/>
            <w:vAlign w:val="bottom"/>
            <w:hideMark/>
          </w:tcPr>
          <w:p w14:paraId="34627D0D"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ID</w:t>
            </w:r>
          </w:p>
        </w:tc>
        <w:tc>
          <w:tcPr>
            <w:tcW w:w="778" w:type="dxa"/>
            <w:tcBorders>
              <w:top w:val="nil"/>
              <w:left w:val="nil"/>
              <w:bottom w:val="nil"/>
              <w:right w:val="nil"/>
            </w:tcBorders>
            <w:shd w:val="clear" w:color="000000" w:fill="D9D9D9"/>
            <w:noWrap/>
            <w:vAlign w:val="bottom"/>
            <w:hideMark/>
          </w:tcPr>
          <w:p w14:paraId="4164335A"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Depth</w:t>
            </w:r>
          </w:p>
        </w:tc>
        <w:tc>
          <w:tcPr>
            <w:tcW w:w="581" w:type="dxa"/>
            <w:tcBorders>
              <w:top w:val="nil"/>
              <w:left w:val="nil"/>
              <w:bottom w:val="nil"/>
              <w:right w:val="nil"/>
            </w:tcBorders>
            <w:shd w:val="clear" w:color="000000" w:fill="D9D9D9"/>
            <w:noWrap/>
            <w:vAlign w:val="bottom"/>
            <w:hideMark/>
          </w:tcPr>
          <w:p w14:paraId="3C12DACD"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Elec</w:t>
            </w:r>
            <w:proofErr w:type="spellEnd"/>
          </w:p>
        </w:tc>
        <w:tc>
          <w:tcPr>
            <w:tcW w:w="813" w:type="dxa"/>
            <w:gridSpan w:val="2"/>
            <w:tcBorders>
              <w:top w:val="nil"/>
              <w:left w:val="nil"/>
              <w:bottom w:val="nil"/>
              <w:right w:val="nil"/>
            </w:tcBorders>
            <w:shd w:val="clear" w:color="000000" w:fill="D9D9D9"/>
            <w:noWrap/>
            <w:vAlign w:val="bottom"/>
            <w:hideMark/>
          </w:tcPr>
          <w:p w14:paraId="28BDC26D"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Layer</w:t>
            </w:r>
            <w:proofErr w:type="spellEnd"/>
            <w:r w:rsidRPr="00761ADC">
              <w:rPr>
                <w:rFonts w:ascii="Calibri" w:eastAsia="Times New Roman" w:hAnsi="Calibri" w:cs="Calibri"/>
                <w:b/>
                <w:bCs/>
                <w:color w:val="000000"/>
                <w:kern w:val="0"/>
                <w:sz w:val="22"/>
                <w:szCs w:val="22"/>
                <w14:ligatures w14:val="none"/>
              </w:rPr>
              <w:t>?</w:t>
            </w:r>
          </w:p>
        </w:tc>
      </w:tr>
      <w:tr w:rsidR="00FE76D8" w:rsidRPr="00761ADC" w14:paraId="102DFDB7"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1C1CE88B"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w:t>
            </w:r>
          </w:p>
        </w:tc>
        <w:tc>
          <w:tcPr>
            <w:tcW w:w="778" w:type="dxa"/>
            <w:tcBorders>
              <w:top w:val="nil"/>
              <w:left w:val="nil"/>
              <w:bottom w:val="nil"/>
              <w:right w:val="nil"/>
            </w:tcBorders>
            <w:shd w:val="clear" w:color="auto" w:fill="auto"/>
            <w:noWrap/>
            <w:vAlign w:val="bottom"/>
            <w:hideMark/>
          </w:tcPr>
          <w:p w14:paraId="1C11E794"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75EDCC63"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7E7601BF"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w:t>
            </w:r>
          </w:p>
        </w:tc>
      </w:tr>
      <w:tr w:rsidR="00FE76D8" w:rsidRPr="00761ADC" w14:paraId="6F561692"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4F6B1CBD"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w:t>
            </w:r>
          </w:p>
        </w:tc>
        <w:tc>
          <w:tcPr>
            <w:tcW w:w="778" w:type="dxa"/>
            <w:tcBorders>
              <w:top w:val="nil"/>
              <w:left w:val="nil"/>
              <w:bottom w:val="nil"/>
              <w:right w:val="nil"/>
            </w:tcBorders>
            <w:shd w:val="clear" w:color="auto" w:fill="auto"/>
            <w:noWrap/>
            <w:vAlign w:val="bottom"/>
            <w:hideMark/>
          </w:tcPr>
          <w:p w14:paraId="5B3A4E88"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66E3A95F"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7B044EF5"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w:t>
            </w:r>
          </w:p>
        </w:tc>
      </w:tr>
      <w:tr w:rsidR="00FE76D8" w:rsidRPr="00761ADC" w14:paraId="3D0940A0"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54ACCBC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c>
          <w:tcPr>
            <w:tcW w:w="778" w:type="dxa"/>
            <w:tcBorders>
              <w:top w:val="nil"/>
              <w:left w:val="nil"/>
              <w:bottom w:val="nil"/>
              <w:right w:val="nil"/>
            </w:tcBorders>
            <w:shd w:val="clear" w:color="auto" w:fill="auto"/>
            <w:noWrap/>
            <w:vAlign w:val="bottom"/>
            <w:hideMark/>
          </w:tcPr>
          <w:p w14:paraId="0411C0E6"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3821EEDA"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689BD36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r>
      <w:tr w:rsidR="00FE76D8" w:rsidRPr="00761ADC" w14:paraId="6F21D98A"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270114CA"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6a</w:t>
            </w:r>
          </w:p>
        </w:tc>
        <w:tc>
          <w:tcPr>
            <w:tcW w:w="778" w:type="dxa"/>
            <w:tcBorders>
              <w:top w:val="nil"/>
              <w:left w:val="nil"/>
              <w:bottom w:val="nil"/>
              <w:right w:val="nil"/>
            </w:tcBorders>
            <w:shd w:val="clear" w:color="auto" w:fill="auto"/>
            <w:noWrap/>
            <w:vAlign w:val="bottom"/>
            <w:hideMark/>
          </w:tcPr>
          <w:p w14:paraId="6F875AFA"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36BA219B"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7CE4C336"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r>
      <w:tr w:rsidR="00FE76D8" w:rsidRPr="00761ADC" w14:paraId="09D1DDB2"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00A364C5"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6b</w:t>
            </w:r>
          </w:p>
        </w:tc>
        <w:tc>
          <w:tcPr>
            <w:tcW w:w="778" w:type="dxa"/>
            <w:tcBorders>
              <w:top w:val="nil"/>
              <w:left w:val="nil"/>
              <w:bottom w:val="nil"/>
              <w:right w:val="nil"/>
            </w:tcBorders>
            <w:shd w:val="clear" w:color="auto" w:fill="auto"/>
            <w:noWrap/>
            <w:vAlign w:val="bottom"/>
            <w:hideMark/>
          </w:tcPr>
          <w:p w14:paraId="175D80C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792145E0"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6EFA0D01"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w:t>
            </w:r>
          </w:p>
        </w:tc>
      </w:tr>
      <w:tr w:rsidR="00FE76D8" w:rsidRPr="00761ADC" w14:paraId="7F995A3C"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5332B2BB"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10</w:t>
            </w:r>
          </w:p>
        </w:tc>
        <w:tc>
          <w:tcPr>
            <w:tcW w:w="778" w:type="dxa"/>
            <w:tcBorders>
              <w:top w:val="nil"/>
              <w:left w:val="nil"/>
              <w:bottom w:val="nil"/>
              <w:right w:val="nil"/>
            </w:tcBorders>
            <w:shd w:val="clear" w:color="auto" w:fill="auto"/>
            <w:noWrap/>
            <w:vAlign w:val="bottom"/>
            <w:hideMark/>
          </w:tcPr>
          <w:p w14:paraId="5AFF8B3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188BE026"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56045763"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r>
      <w:tr w:rsidR="00FE76D8" w:rsidRPr="00761ADC" w14:paraId="7F2C80CA"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3927B7DE"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11</w:t>
            </w:r>
          </w:p>
        </w:tc>
        <w:tc>
          <w:tcPr>
            <w:tcW w:w="778" w:type="dxa"/>
            <w:tcBorders>
              <w:top w:val="nil"/>
              <w:left w:val="nil"/>
              <w:bottom w:val="nil"/>
              <w:right w:val="nil"/>
            </w:tcBorders>
            <w:shd w:val="clear" w:color="auto" w:fill="auto"/>
            <w:noWrap/>
            <w:vAlign w:val="bottom"/>
            <w:hideMark/>
          </w:tcPr>
          <w:p w14:paraId="43C59418"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0DCF2B66"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C2</w:t>
            </w:r>
          </w:p>
        </w:tc>
        <w:tc>
          <w:tcPr>
            <w:tcW w:w="813" w:type="dxa"/>
            <w:gridSpan w:val="2"/>
            <w:tcBorders>
              <w:top w:val="nil"/>
              <w:left w:val="nil"/>
              <w:bottom w:val="nil"/>
              <w:right w:val="nil"/>
            </w:tcBorders>
            <w:shd w:val="clear" w:color="auto" w:fill="auto"/>
            <w:noWrap/>
            <w:vAlign w:val="bottom"/>
            <w:hideMark/>
          </w:tcPr>
          <w:p w14:paraId="7137A7C7"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r>
      <w:tr w:rsidR="00761ADC" w:rsidRPr="00761ADC" w14:paraId="20170052" w14:textId="77777777" w:rsidTr="00FE76D8">
        <w:trPr>
          <w:trHeight w:val="285"/>
        </w:trPr>
        <w:tc>
          <w:tcPr>
            <w:tcW w:w="500" w:type="dxa"/>
            <w:tcBorders>
              <w:top w:val="nil"/>
              <w:left w:val="nil"/>
              <w:bottom w:val="nil"/>
              <w:right w:val="nil"/>
            </w:tcBorders>
            <w:shd w:val="clear" w:color="auto" w:fill="auto"/>
            <w:noWrap/>
            <w:vAlign w:val="bottom"/>
            <w:hideMark/>
          </w:tcPr>
          <w:p w14:paraId="6955BD31" w14:textId="77777777" w:rsidR="00761ADC" w:rsidRPr="00761ADC" w:rsidRDefault="00761ADC" w:rsidP="00F91665">
            <w:pPr>
              <w:spacing w:after="0" w:line="240" w:lineRule="auto"/>
              <w:jc w:val="both"/>
              <w:rPr>
                <w:rFonts w:ascii="Calibri" w:eastAsia="Times New Roman" w:hAnsi="Calibri" w:cs="Calibri"/>
                <w:color w:val="000000"/>
                <w:kern w:val="0"/>
                <w:sz w:val="22"/>
                <w:szCs w:val="22"/>
                <w14:ligatures w14:val="none"/>
              </w:rPr>
            </w:pPr>
          </w:p>
        </w:tc>
        <w:tc>
          <w:tcPr>
            <w:tcW w:w="778" w:type="dxa"/>
            <w:tcBorders>
              <w:top w:val="nil"/>
              <w:left w:val="nil"/>
              <w:bottom w:val="nil"/>
              <w:right w:val="nil"/>
            </w:tcBorders>
            <w:shd w:val="clear" w:color="auto" w:fill="auto"/>
            <w:noWrap/>
            <w:vAlign w:val="bottom"/>
            <w:hideMark/>
          </w:tcPr>
          <w:p w14:paraId="1947EBBA"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581" w:type="dxa"/>
            <w:tcBorders>
              <w:top w:val="nil"/>
              <w:left w:val="nil"/>
              <w:bottom w:val="nil"/>
              <w:right w:val="nil"/>
            </w:tcBorders>
            <w:shd w:val="clear" w:color="auto" w:fill="auto"/>
            <w:noWrap/>
            <w:vAlign w:val="bottom"/>
            <w:hideMark/>
          </w:tcPr>
          <w:p w14:paraId="772AF9C3"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680" w:type="dxa"/>
            <w:tcBorders>
              <w:top w:val="nil"/>
              <w:left w:val="nil"/>
              <w:bottom w:val="nil"/>
              <w:right w:val="nil"/>
            </w:tcBorders>
            <w:shd w:val="clear" w:color="auto" w:fill="auto"/>
            <w:noWrap/>
            <w:vAlign w:val="bottom"/>
            <w:hideMark/>
          </w:tcPr>
          <w:p w14:paraId="46BC9AB6"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1161" w:type="dxa"/>
            <w:gridSpan w:val="2"/>
            <w:tcBorders>
              <w:top w:val="nil"/>
              <w:left w:val="nil"/>
              <w:bottom w:val="nil"/>
              <w:right w:val="nil"/>
            </w:tcBorders>
            <w:shd w:val="clear" w:color="auto" w:fill="auto"/>
            <w:noWrap/>
            <w:vAlign w:val="bottom"/>
            <w:hideMark/>
          </w:tcPr>
          <w:p w14:paraId="4C880F1C"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912" w:type="dxa"/>
            <w:tcBorders>
              <w:top w:val="nil"/>
              <w:left w:val="nil"/>
              <w:bottom w:val="nil"/>
              <w:right w:val="nil"/>
            </w:tcBorders>
            <w:shd w:val="clear" w:color="auto" w:fill="auto"/>
            <w:noWrap/>
            <w:vAlign w:val="bottom"/>
            <w:hideMark/>
          </w:tcPr>
          <w:p w14:paraId="1AB87A98"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938" w:type="dxa"/>
            <w:tcBorders>
              <w:top w:val="nil"/>
              <w:left w:val="nil"/>
              <w:bottom w:val="nil"/>
              <w:right w:val="nil"/>
            </w:tcBorders>
            <w:shd w:val="clear" w:color="auto" w:fill="auto"/>
            <w:noWrap/>
            <w:vAlign w:val="bottom"/>
            <w:hideMark/>
          </w:tcPr>
          <w:p w14:paraId="3243CF65"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908" w:type="dxa"/>
            <w:tcBorders>
              <w:top w:val="nil"/>
              <w:left w:val="nil"/>
              <w:bottom w:val="nil"/>
              <w:right w:val="nil"/>
            </w:tcBorders>
            <w:shd w:val="clear" w:color="auto" w:fill="auto"/>
            <w:noWrap/>
            <w:vAlign w:val="bottom"/>
            <w:hideMark/>
          </w:tcPr>
          <w:p w14:paraId="6E7815AD"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1906" w:type="dxa"/>
            <w:tcBorders>
              <w:top w:val="nil"/>
              <w:left w:val="nil"/>
              <w:bottom w:val="nil"/>
              <w:right w:val="nil"/>
            </w:tcBorders>
            <w:shd w:val="clear" w:color="auto" w:fill="auto"/>
            <w:noWrap/>
            <w:vAlign w:val="bottom"/>
            <w:hideMark/>
          </w:tcPr>
          <w:p w14:paraId="0FE492B3"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1078" w:type="dxa"/>
            <w:tcBorders>
              <w:top w:val="nil"/>
              <w:left w:val="nil"/>
              <w:bottom w:val="nil"/>
              <w:right w:val="nil"/>
            </w:tcBorders>
            <w:shd w:val="clear" w:color="auto" w:fill="auto"/>
            <w:noWrap/>
            <w:vAlign w:val="bottom"/>
            <w:hideMark/>
          </w:tcPr>
          <w:p w14:paraId="4EDC9273"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c>
          <w:tcPr>
            <w:tcW w:w="813" w:type="dxa"/>
            <w:tcBorders>
              <w:top w:val="nil"/>
              <w:left w:val="nil"/>
              <w:bottom w:val="nil"/>
              <w:right w:val="nil"/>
            </w:tcBorders>
            <w:shd w:val="clear" w:color="auto" w:fill="auto"/>
            <w:noWrap/>
            <w:vAlign w:val="bottom"/>
            <w:hideMark/>
          </w:tcPr>
          <w:p w14:paraId="7EEB332B" w14:textId="77777777" w:rsidR="00761ADC" w:rsidRPr="00761ADC" w:rsidRDefault="00761ADC" w:rsidP="00F91665">
            <w:pPr>
              <w:spacing w:after="0" w:line="240" w:lineRule="auto"/>
              <w:jc w:val="both"/>
              <w:rPr>
                <w:rFonts w:ascii="Times New Roman" w:eastAsia="Times New Roman" w:hAnsi="Times New Roman" w:cs="Times New Roman"/>
                <w:kern w:val="0"/>
                <w:sz w:val="20"/>
                <w:szCs w:val="20"/>
                <w14:ligatures w14:val="none"/>
              </w:rPr>
            </w:pPr>
          </w:p>
        </w:tc>
      </w:tr>
      <w:tr w:rsidR="00FE76D8" w:rsidRPr="00761ADC" w14:paraId="2D339DA0" w14:textId="77777777" w:rsidTr="00FE76D8">
        <w:trPr>
          <w:gridAfter w:val="7"/>
          <w:wAfter w:w="7583" w:type="dxa"/>
          <w:trHeight w:val="285"/>
        </w:trPr>
        <w:tc>
          <w:tcPr>
            <w:tcW w:w="500" w:type="dxa"/>
            <w:tcBorders>
              <w:top w:val="nil"/>
              <w:left w:val="nil"/>
              <w:bottom w:val="nil"/>
              <w:right w:val="nil"/>
            </w:tcBorders>
            <w:shd w:val="clear" w:color="000000" w:fill="D9D9D9"/>
            <w:noWrap/>
            <w:vAlign w:val="bottom"/>
            <w:hideMark/>
          </w:tcPr>
          <w:p w14:paraId="2D73FB78"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ID</w:t>
            </w:r>
          </w:p>
        </w:tc>
        <w:tc>
          <w:tcPr>
            <w:tcW w:w="778" w:type="dxa"/>
            <w:tcBorders>
              <w:top w:val="nil"/>
              <w:left w:val="nil"/>
              <w:bottom w:val="nil"/>
              <w:right w:val="nil"/>
            </w:tcBorders>
            <w:shd w:val="clear" w:color="000000" w:fill="D9D9D9"/>
            <w:noWrap/>
            <w:vAlign w:val="bottom"/>
            <w:hideMark/>
          </w:tcPr>
          <w:p w14:paraId="5582EE7A"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r w:rsidRPr="00761ADC">
              <w:rPr>
                <w:rFonts w:ascii="Calibri" w:eastAsia="Times New Roman" w:hAnsi="Calibri" w:cs="Calibri"/>
                <w:b/>
                <w:bCs/>
                <w:color w:val="000000"/>
                <w:kern w:val="0"/>
                <w:sz w:val="22"/>
                <w:szCs w:val="22"/>
                <w14:ligatures w14:val="none"/>
              </w:rPr>
              <w:t>Depth</w:t>
            </w:r>
          </w:p>
        </w:tc>
        <w:tc>
          <w:tcPr>
            <w:tcW w:w="581" w:type="dxa"/>
            <w:tcBorders>
              <w:top w:val="nil"/>
              <w:left w:val="nil"/>
              <w:bottom w:val="nil"/>
              <w:right w:val="nil"/>
            </w:tcBorders>
            <w:shd w:val="clear" w:color="000000" w:fill="D9D9D9"/>
            <w:noWrap/>
            <w:vAlign w:val="bottom"/>
            <w:hideMark/>
          </w:tcPr>
          <w:p w14:paraId="1B03ADE4"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Elec</w:t>
            </w:r>
            <w:proofErr w:type="spellEnd"/>
          </w:p>
        </w:tc>
        <w:tc>
          <w:tcPr>
            <w:tcW w:w="813" w:type="dxa"/>
            <w:gridSpan w:val="2"/>
            <w:tcBorders>
              <w:top w:val="nil"/>
              <w:left w:val="nil"/>
              <w:bottom w:val="nil"/>
              <w:right w:val="nil"/>
            </w:tcBorders>
            <w:shd w:val="clear" w:color="000000" w:fill="D9D9D9"/>
            <w:noWrap/>
            <w:vAlign w:val="bottom"/>
            <w:hideMark/>
          </w:tcPr>
          <w:p w14:paraId="393479DB" w14:textId="77777777" w:rsidR="00FE76D8" w:rsidRPr="00761ADC" w:rsidRDefault="00FE76D8" w:rsidP="00F91665">
            <w:pPr>
              <w:spacing w:after="0" w:line="240" w:lineRule="auto"/>
              <w:jc w:val="both"/>
              <w:rPr>
                <w:rFonts w:ascii="Calibri" w:eastAsia="Times New Roman" w:hAnsi="Calibri" w:cs="Calibri"/>
                <w:b/>
                <w:bCs/>
                <w:color w:val="000000"/>
                <w:kern w:val="0"/>
                <w:sz w:val="22"/>
                <w:szCs w:val="22"/>
                <w14:ligatures w14:val="none"/>
              </w:rPr>
            </w:pPr>
            <w:proofErr w:type="spellStart"/>
            <w:r w:rsidRPr="00761ADC">
              <w:rPr>
                <w:rFonts w:ascii="Calibri" w:eastAsia="Times New Roman" w:hAnsi="Calibri" w:cs="Calibri"/>
                <w:b/>
                <w:bCs/>
                <w:color w:val="000000"/>
                <w:kern w:val="0"/>
                <w:sz w:val="22"/>
                <w:szCs w:val="22"/>
                <w14:ligatures w14:val="none"/>
              </w:rPr>
              <w:t>Layer</w:t>
            </w:r>
            <w:proofErr w:type="spellEnd"/>
            <w:r w:rsidRPr="00761ADC">
              <w:rPr>
                <w:rFonts w:ascii="Calibri" w:eastAsia="Times New Roman" w:hAnsi="Calibri" w:cs="Calibri"/>
                <w:b/>
                <w:bCs/>
                <w:color w:val="000000"/>
                <w:kern w:val="0"/>
                <w:sz w:val="22"/>
                <w:szCs w:val="22"/>
                <w14:ligatures w14:val="none"/>
              </w:rPr>
              <w:t>?</w:t>
            </w:r>
          </w:p>
        </w:tc>
      </w:tr>
      <w:tr w:rsidR="00FE76D8" w:rsidRPr="00761ADC" w14:paraId="76096D22"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3032DF83"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c>
          <w:tcPr>
            <w:tcW w:w="778" w:type="dxa"/>
            <w:tcBorders>
              <w:top w:val="nil"/>
              <w:left w:val="nil"/>
              <w:bottom w:val="nil"/>
              <w:right w:val="nil"/>
            </w:tcBorders>
            <w:shd w:val="clear" w:color="auto" w:fill="auto"/>
            <w:noWrap/>
            <w:vAlign w:val="bottom"/>
            <w:hideMark/>
          </w:tcPr>
          <w:p w14:paraId="2AB57D0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0F897618"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61B84A5B"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4/I</w:t>
            </w:r>
          </w:p>
        </w:tc>
      </w:tr>
      <w:tr w:rsidR="00FE76D8" w:rsidRPr="00761ADC" w14:paraId="081FF7F1"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62AC96A7"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778" w:type="dxa"/>
            <w:tcBorders>
              <w:top w:val="nil"/>
              <w:left w:val="nil"/>
              <w:bottom w:val="nil"/>
              <w:right w:val="nil"/>
            </w:tcBorders>
            <w:shd w:val="clear" w:color="auto" w:fill="auto"/>
            <w:noWrap/>
            <w:vAlign w:val="bottom"/>
            <w:hideMark/>
          </w:tcPr>
          <w:p w14:paraId="121C74B0"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w:t>
            </w:r>
          </w:p>
        </w:tc>
        <w:tc>
          <w:tcPr>
            <w:tcW w:w="581" w:type="dxa"/>
            <w:tcBorders>
              <w:top w:val="nil"/>
              <w:left w:val="nil"/>
              <w:bottom w:val="nil"/>
              <w:right w:val="nil"/>
            </w:tcBorders>
            <w:shd w:val="clear" w:color="auto" w:fill="auto"/>
            <w:noWrap/>
            <w:vAlign w:val="bottom"/>
            <w:hideMark/>
          </w:tcPr>
          <w:p w14:paraId="68B54C9E"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259960B6"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4/I</w:t>
            </w:r>
          </w:p>
        </w:tc>
      </w:tr>
      <w:tr w:rsidR="00FE76D8" w:rsidRPr="00761ADC" w14:paraId="02D14885"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4D779983"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7</w:t>
            </w:r>
          </w:p>
        </w:tc>
        <w:tc>
          <w:tcPr>
            <w:tcW w:w="778" w:type="dxa"/>
            <w:tcBorders>
              <w:top w:val="nil"/>
              <w:left w:val="nil"/>
              <w:bottom w:val="nil"/>
              <w:right w:val="nil"/>
            </w:tcBorders>
            <w:shd w:val="clear" w:color="auto" w:fill="auto"/>
            <w:noWrap/>
            <w:vAlign w:val="bottom"/>
            <w:hideMark/>
          </w:tcPr>
          <w:p w14:paraId="004922F1"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10CE1DB1"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54BD7228"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FE76D8" w:rsidRPr="00761ADC" w14:paraId="39F777D1"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31D7BD94"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8</w:t>
            </w:r>
          </w:p>
        </w:tc>
        <w:tc>
          <w:tcPr>
            <w:tcW w:w="778" w:type="dxa"/>
            <w:tcBorders>
              <w:top w:val="nil"/>
              <w:left w:val="nil"/>
              <w:bottom w:val="nil"/>
              <w:right w:val="nil"/>
            </w:tcBorders>
            <w:shd w:val="clear" w:color="auto" w:fill="auto"/>
            <w:noWrap/>
            <w:vAlign w:val="bottom"/>
            <w:hideMark/>
          </w:tcPr>
          <w:p w14:paraId="3C90B780"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16DC8717"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51F187E7"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FE76D8" w:rsidRPr="00761ADC" w14:paraId="27C4BE25"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65BC7107"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9a</w:t>
            </w:r>
          </w:p>
        </w:tc>
        <w:tc>
          <w:tcPr>
            <w:tcW w:w="778" w:type="dxa"/>
            <w:tcBorders>
              <w:top w:val="nil"/>
              <w:left w:val="nil"/>
              <w:bottom w:val="nil"/>
              <w:right w:val="nil"/>
            </w:tcBorders>
            <w:shd w:val="clear" w:color="auto" w:fill="auto"/>
            <w:noWrap/>
            <w:vAlign w:val="bottom"/>
            <w:hideMark/>
          </w:tcPr>
          <w:p w14:paraId="09490D29"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528A9BC9"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07501F13"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FE76D8" w:rsidRPr="00761ADC" w14:paraId="409985DD"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41BF6BA8"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9b</w:t>
            </w:r>
          </w:p>
        </w:tc>
        <w:tc>
          <w:tcPr>
            <w:tcW w:w="778" w:type="dxa"/>
            <w:tcBorders>
              <w:top w:val="nil"/>
              <w:left w:val="nil"/>
              <w:bottom w:val="nil"/>
              <w:right w:val="nil"/>
            </w:tcBorders>
            <w:shd w:val="clear" w:color="auto" w:fill="auto"/>
            <w:noWrap/>
            <w:vAlign w:val="bottom"/>
            <w:hideMark/>
          </w:tcPr>
          <w:p w14:paraId="6791DA2E"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4.5</w:t>
            </w:r>
          </w:p>
        </w:tc>
        <w:tc>
          <w:tcPr>
            <w:tcW w:w="581" w:type="dxa"/>
            <w:tcBorders>
              <w:top w:val="nil"/>
              <w:left w:val="nil"/>
              <w:bottom w:val="nil"/>
              <w:right w:val="nil"/>
            </w:tcBorders>
            <w:shd w:val="clear" w:color="auto" w:fill="auto"/>
            <w:noWrap/>
            <w:vAlign w:val="bottom"/>
            <w:hideMark/>
          </w:tcPr>
          <w:p w14:paraId="616C01DB"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7C5AC08B"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3</w:t>
            </w:r>
          </w:p>
        </w:tc>
      </w:tr>
      <w:tr w:rsidR="00FE76D8" w:rsidRPr="00761ADC" w14:paraId="53041FF8"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5CB14261"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12</w:t>
            </w:r>
          </w:p>
        </w:tc>
        <w:tc>
          <w:tcPr>
            <w:tcW w:w="778" w:type="dxa"/>
            <w:tcBorders>
              <w:top w:val="nil"/>
              <w:left w:val="nil"/>
              <w:bottom w:val="nil"/>
              <w:right w:val="nil"/>
            </w:tcBorders>
            <w:shd w:val="clear" w:color="auto" w:fill="auto"/>
            <w:noWrap/>
            <w:vAlign w:val="bottom"/>
            <w:hideMark/>
          </w:tcPr>
          <w:p w14:paraId="174C6DF0"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6A225CD6"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139B973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w:t>
            </w:r>
          </w:p>
        </w:tc>
      </w:tr>
      <w:tr w:rsidR="00FE76D8" w:rsidRPr="00761ADC" w14:paraId="2494E78C" w14:textId="77777777" w:rsidTr="00FE76D8">
        <w:trPr>
          <w:gridAfter w:val="7"/>
          <w:wAfter w:w="7583" w:type="dxa"/>
          <w:trHeight w:val="285"/>
        </w:trPr>
        <w:tc>
          <w:tcPr>
            <w:tcW w:w="500" w:type="dxa"/>
            <w:tcBorders>
              <w:top w:val="nil"/>
              <w:left w:val="nil"/>
              <w:bottom w:val="nil"/>
              <w:right w:val="nil"/>
            </w:tcBorders>
            <w:shd w:val="clear" w:color="auto" w:fill="auto"/>
            <w:noWrap/>
            <w:vAlign w:val="bottom"/>
            <w:hideMark/>
          </w:tcPr>
          <w:p w14:paraId="604B5FE2"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13</w:t>
            </w:r>
          </w:p>
        </w:tc>
        <w:tc>
          <w:tcPr>
            <w:tcW w:w="778" w:type="dxa"/>
            <w:tcBorders>
              <w:top w:val="nil"/>
              <w:left w:val="nil"/>
              <w:bottom w:val="nil"/>
              <w:right w:val="nil"/>
            </w:tcBorders>
            <w:shd w:val="clear" w:color="auto" w:fill="auto"/>
            <w:noWrap/>
            <w:vAlign w:val="bottom"/>
            <w:hideMark/>
          </w:tcPr>
          <w:p w14:paraId="46AA456E"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5.5</w:t>
            </w:r>
          </w:p>
        </w:tc>
        <w:tc>
          <w:tcPr>
            <w:tcW w:w="581" w:type="dxa"/>
            <w:tcBorders>
              <w:top w:val="nil"/>
              <w:left w:val="nil"/>
              <w:bottom w:val="nil"/>
              <w:right w:val="nil"/>
            </w:tcBorders>
            <w:shd w:val="clear" w:color="auto" w:fill="auto"/>
            <w:noWrap/>
            <w:vAlign w:val="bottom"/>
            <w:hideMark/>
          </w:tcPr>
          <w:p w14:paraId="0D366F1F"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A2</w:t>
            </w:r>
          </w:p>
        </w:tc>
        <w:tc>
          <w:tcPr>
            <w:tcW w:w="813" w:type="dxa"/>
            <w:gridSpan w:val="2"/>
            <w:tcBorders>
              <w:top w:val="nil"/>
              <w:left w:val="nil"/>
              <w:bottom w:val="nil"/>
              <w:right w:val="nil"/>
            </w:tcBorders>
            <w:shd w:val="clear" w:color="auto" w:fill="auto"/>
            <w:noWrap/>
            <w:vAlign w:val="bottom"/>
            <w:hideMark/>
          </w:tcPr>
          <w:p w14:paraId="448B06E9" w14:textId="77777777" w:rsidR="00FE76D8" w:rsidRPr="00761ADC" w:rsidRDefault="00FE76D8" w:rsidP="00F91665">
            <w:pPr>
              <w:spacing w:after="0" w:line="240" w:lineRule="auto"/>
              <w:jc w:val="both"/>
              <w:rPr>
                <w:rFonts w:ascii="Calibri" w:eastAsia="Times New Roman" w:hAnsi="Calibri" w:cs="Calibri"/>
                <w:color w:val="000000"/>
                <w:kern w:val="0"/>
                <w:sz w:val="22"/>
                <w:szCs w:val="22"/>
                <w14:ligatures w14:val="none"/>
              </w:rPr>
            </w:pPr>
            <w:r w:rsidRPr="00761ADC">
              <w:rPr>
                <w:rFonts w:ascii="Calibri" w:eastAsia="Times New Roman" w:hAnsi="Calibri" w:cs="Calibri"/>
                <w:color w:val="000000"/>
                <w:kern w:val="0"/>
                <w:sz w:val="22"/>
                <w:szCs w:val="22"/>
                <w14:ligatures w14:val="none"/>
              </w:rPr>
              <w:t>2</w:t>
            </w:r>
          </w:p>
        </w:tc>
      </w:tr>
    </w:tbl>
    <w:p w14:paraId="2DC00E3A" w14:textId="77777777" w:rsidR="00B774A4" w:rsidRDefault="00B774A4" w:rsidP="00F91665">
      <w:pPr>
        <w:jc w:val="both"/>
        <w:rPr>
          <w:b/>
          <w:bCs/>
          <w:lang w:val="en-US"/>
        </w:rPr>
      </w:pPr>
    </w:p>
    <w:p w14:paraId="5929CD82" w14:textId="5D7D0B6D" w:rsidR="00D31D0F" w:rsidRPr="00D31D0F" w:rsidRDefault="00D31D0F" w:rsidP="00F91665">
      <w:pPr>
        <w:jc w:val="both"/>
        <w:rPr>
          <w:b/>
          <w:bCs/>
          <w:lang w:val="en-US"/>
        </w:rPr>
      </w:pPr>
      <w:r w:rsidRPr="00D31D0F">
        <w:rPr>
          <w:b/>
          <w:bCs/>
          <w:lang w:val="en-US"/>
        </w:rPr>
        <w:t xml:space="preserve">Table 1 | Properties of each unit from </w:t>
      </w:r>
      <w:r w:rsidRPr="0004345D">
        <w:rPr>
          <w:b/>
          <w:bCs/>
          <w:lang w:val="en-US"/>
        </w:rPr>
        <w:t xml:space="preserve">Patient </w:t>
      </w:r>
      <w:r w:rsidR="007577B4" w:rsidRPr="0004345D">
        <w:rPr>
          <w:b/>
          <w:bCs/>
          <w:lang w:val="en-US"/>
        </w:rPr>
        <w:t>#</w:t>
      </w:r>
      <w:r w:rsidRPr="0004345D">
        <w:rPr>
          <w:b/>
          <w:bCs/>
          <w:lang w:val="en-US"/>
        </w:rPr>
        <w:t xml:space="preserve">2. </w:t>
      </w:r>
      <w:r w:rsidRPr="00D31D0F">
        <w:rPr>
          <w:lang w:val="en-US"/>
        </w:rPr>
        <w:t xml:space="preserve">The three tables show all units (upper table) </w:t>
      </w:r>
      <w:r w:rsidR="006F1AE1">
        <w:rPr>
          <w:lang w:val="en-US"/>
        </w:rPr>
        <w:t>and</w:t>
      </w:r>
      <w:r w:rsidR="006F1AE1" w:rsidRPr="00D31D0F">
        <w:rPr>
          <w:lang w:val="en-US"/>
        </w:rPr>
        <w:t xml:space="preserve"> </w:t>
      </w:r>
      <w:r w:rsidRPr="00D31D0F">
        <w:rPr>
          <w:lang w:val="en-US"/>
        </w:rPr>
        <w:t>the units obtained from the central electrode (middle table) and anterolateral electrode (lower table)</w:t>
      </w:r>
      <w:r w:rsidR="006F1AE1">
        <w:rPr>
          <w:lang w:val="en-US"/>
        </w:rPr>
        <w:t xml:space="preserve"> separately,</w:t>
      </w:r>
      <w:r w:rsidR="00FE76D8">
        <w:rPr>
          <w:lang w:val="en-US"/>
        </w:rPr>
        <w:t xml:space="preserve"> </w:t>
      </w:r>
      <w:r w:rsidR="006F1AE1">
        <w:rPr>
          <w:lang w:val="en-US"/>
        </w:rPr>
        <w:t>illustrate</w:t>
      </w:r>
      <w:r w:rsidR="00FE76D8">
        <w:rPr>
          <w:lang w:val="en-US"/>
        </w:rPr>
        <w:t xml:space="preserve"> the progression through the LGN</w:t>
      </w:r>
      <w:r w:rsidR="006F1AE1">
        <w:rPr>
          <w:lang w:val="en-US"/>
        </w:rPr>
        <w:t>,</w:t>
      </w:r>
      <w:r w:rsidR="00FE76D8">
        <w:rPr>
          <w:lang w:val="en-US"/>
        </w:rPr>
        <w:t xml:space="preserve"> from dorsal to</w:t>
      </w:r>
      <w:r w:rsidR="006F1AE1">
        <w:rPr>
          <w:lang w:val="en-US"/>
        </w:rPr>
        <w:t xml:space="preserve">ward </w:t>
      </w:r>
      <w:r w:rsidR="00FE76D8">
        <w:rPr>
          <w:lang w:val="en-US"/>
        </w:rPr>
        <w:t>ventral layers</w:t>
      </w:r>
      <w:r>
        <w:rPr>
          <w:lang w:val="en-US"/>
        </w:rPr>
        <w:t xml:space="preserve">. </w:t>
      </w:r>
      <w:r w:rsidR="006F1AE1">
        <w:rPr>
          <w:lang w:val="en-US"/>
        </w:rPr>
        <w:t xml:space="preserve">The </w:t>
      </w:r>
      <w:r>
        <w:rPr>
          <w:lang w:val="en-US"/>
        </w:rPr>
        <w:t xml:space="preserve">RF </w:t>
      </w:r>
      <w:r w:rsidR="006F1AE1">
        <w:rPr>
          <w:lang w:val="en-US"/>
        </w:rPr>
        <w:t xml:space="preserve">column </w:t>
      </w:r>
      <w:r>
        <w:rPr>
          <w:lang w:val="en-US"/>
        </w:rPr>
        <w:t>indicates the r-squared value from the forward model, red squares indicate good fits (r-squared&gt;0.5). pk/</w:t>
      </w:r>
      <w:proofErr w:type="spellStart"/>
      <w:r>
        <w:rPr>
          <w:lang w:val="en-US"/>
        </w:rPr>
        <w:t>trgh</w:t>
      </w:r>
      <w:proofErr w:type="spellEnd"/>
      <w:r>
        <w:rPr>
          <w:lang w:val="en-US"/>
        </w:rPr>
        <w:t xml:space="preserve"> is the peak to trough time of the average wave-shape in </w:t>
      </w:r>
      <w:r w:rsidR="00984D79" w:rsidRPr="00FE76D8">
        <w:rPr>
          <w:rFonts w:ascii="Symbol" w:hAnsi="Symbol"/>
          <w:lang w:val="en-US"/>
        </w:rPr>
        <w:t>m</w:t>
      </w:r>
      <w:r>
        <w:rPr>
          <w:lang w:val="en-US"/>
        </w:rPr>
        <w:t xml:space="preserve">s. SF: spatial frequency tuning, </w:t>
      </w:r>
      <w:r w:rsidR="00240A9D">
        <w:rPr>
          <w:lang w:val="en-US"/>
        </w:rPr>
        <w:t>LP: low-pass (responds to low spatial frequencies), Inter: Intermediat</w:t>
      </w:r>
      <w:r w:rsidR="003B3D05">
        <w:rPr>
          <w:lang w:val="en-US"/>
        </w:rPr>
        <w:t>e</w:t>
      </w:r>
      <w:r w:rsidR="00240A9D">
        <w:rPr>
          <w:lang w:val="en-US"/>
        </w:rPr>
        <w:t xml:space="preserve"> </w:t>
      </w:r>
      <w:r w:rsidR="003B3D05">
        <w:rPr>
          <w:lang w:val="en-US"/>
        </w:rPr>
        <w:t xml:space="preserve">with high responses at low and intermediate </w:t>
      </w:r>
      <w:r w:rsidR="00FE76D8">
        <w:rPr>
          <w:lang w:val="en-US"/>
        </w:rPr>
        <w:t xml:space="preserve">spatial </w:t>
      </w:r>
      <w:r w:rsidR="003B3D05">
        <w:rPr>
          <w:lang w:val="en-US"/>
        </w:rPr>
        <w:t xml:space="preserve">frequencies. </w:t>
      </w:r>
      <w:r>
        <w:rPr>
          <w:lang w:val="en-US"/>
        </w:rPr>
        <w:t xml:space="preserve">U: u-shaped (i.e. high responses at low and high frequencies. For eye </w:t>
      </w:r>
      <w:r>
        <w:rPr>
          <w:lang w:val="en-US"/>
        </w:rPr>
        <w:lastRenderedPageBreak/>
        <w:t xml:space="preserve">dominance, capital letters = </w:t>
      </w:r>
      <w:r w:rsidR="00462BF9">
        <w:rPr>
          <w:lang w:val="en-US"/>
        </w:rPr>
        <w:t>monocular units</w:t>
      </w:r>
      <w:r w:rsidR="00FE76D8">
        <w:rPr>
          <w:lang w:val="en-US"/>
        </w:rPr>
        <w:t xml:space="preserve"> (</w:t>
      </w:r>
      <w:r w:rsidR="00462BF9">
        <w:rPr>
          <w:lang w:val="en-US"/>
        </w:rPr>
        <w:t>Fig. 3c</w:t>
      </w:r>
      <w:r w:rsidR="00FE76D8">
        <w:rPr>
          <w:lang w:val="en-US"/>
        </w:rPr>
        <w:t>)</w:t>
      </w:r>
      <w:r>
        <w:rPr>
          <w:lang w:val="en-US"/>
        </w:rPr>
        <w:t xml:space="preserve">, lower case = </w:t>
      </w:r>
      <w:r w:rsidR="00462BF9">
        <w:rPr>
          <w:lang w:val="en-US"/>
        </w:rPr>
        <w:t>binocular/non-significant dominance</w:t>
      </w:r>
      <w:r>
        <w:rPr>
          <w:lang w:val="en-US"/>
        </w:rPr>
        <w:t xml:space="preserve">. </w:t>
      </w:r>
      <w:r w:rsidR="006F1AE1">
        <w:rPr>
          <w:lang w:val="en-US"/>
        </w:rPr>
        <w:t>The ‘</w:t>
      </w:r>
      <w:r>
        <w:rPr>
          <w:lang w:val="en-US"/>
        </w:rPr>
        <w:t>Layer</w:t>
      </w:r>
      <w:r w:rsidR="006F1AE1">
        <w:rPr>
          <w:lang w:val="en-US"/>
        </w:rPr>
        <w:t>’ column</w:t>
      </w:r>
      <w:r>
        <w:rPr>
          <w:lang w:val="en-US"/>
        </w:rPr>
        <w:t xml:space="preserve"> shows </w:t>
      </w:r>
      <w:r w:rsidR="006F1AE1">
        <w:rPr>
          <w:lang w:val="en-US"/>
        </w:rPr>
        <w:t xml:space="preserve">our </w:t>
      </w:r>
      <w:r>
        <w:rPr>
          <w:lang w:val="en-US"/>
        </w:rPr>
        <w:t>estimate</w:t>
      </w:r>
      <w:r w:rsidR="006F1AE1">
        <w:rPr>
          <w:lang w:val="en-US"/>
        </w:rPr>
        <w:t xml:space="preserve"> of the</w:t>
      </w:r>
      <w:r>
        <w:rPr>
          <w:lang w:val="en-US"/>
        </w:rPr>
        <w:t xml:space="preserve"> </w:t>
      </w:r>
      <w:r w:rsidR="006F1AE1">
        <w:rPr>
          <w:lang w:val="en-US"/>
        </w:rPr>
        <w:t xml:space="preserve">most likely </w:t>
      </w:r>
      <w:r>
        <w:rPr>
          <w:lang w:val="en-US"/>
        </w:rPr>
        <w:t>layer of the unit</w:t>
      </w:r>
      <w:r w:rsidR="006F1AE1">
        <w:rPr>
          <w:lang w:val="en-US"/>
        </w:rPr>
        <w:t>,</w:t>
      </w:r>
      <w:r>
        <w:rPr>
          <w:lang w:val="en-US"/>
        </w:rPr>
        <w:t xml:space="preserve"> taking </w:t>
      </w:r>
      <w:r w:rsidR="0074323C">
        <w:rPr>
          <w:lang w:val="en-US"/>
        </w:rPr>
        <w:t xml:space="preserve">the measurements of </w:t>
      </w:r>
      <w:r>
        <w:rPr>
          <w:lang w:val="en-US"/>
        </w:rPr>
        <w:t>all units into consideration.</w:t>
      </w:r>
    </w:p>
    <w:sectPr w:rsidR="00D31D0F" w:rsidRPr="00D31D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1FA"/>
    <w:rsid w:val="00000FB5"/>
    <w:rsid w:val="0003105F"/>
    <w:rsid w:val="00042476"/>
    <w:rsid w:val="0004345D"/>
    <w:rsid w:val="000A6B1B"/>
    <w:rsid w:val="000C4E85"/>
    <w:rsid w:val="000C7BC4"/>
    <w:rsid w:val="000E227E"/>
    <w:rsid w:val="00142A47"/>
    <w:rsid w:val="0015742E"/>
    <w:rsid w:val="00162637"/>
    <w:rsid w:val="001B75AC"/>
    <w:rsid w:val="001C3B62"/>
    <w:rsid w:val="001D605A"/>
    <w:rsid w:val="00211199"/>
    <w:rsid w:val="0024095D"/>
    <w:rsid w:val="00240A9D"/>
    <w:rsid w:val="00260ABE"/>
    <w:rsid w:val="002847E9"/>
    <w:rsid w:val="00293C41"/>
    <w:rsid w:val="002F4CAA"/>
    <w:rsid w:val="0030108C"/>
    <w:rsid w:val="00303E18"/>
    <w:rsid w:val="00330033"/>
    <w:rsid w:val="003704E8"/>
    <w:rsid w:val="00384A05"/>
    <w:rsid w:val="003B3D05"/>
    <w:rsid w:val="003C1E55"/>
    <w:rsid w:val="003C3241"/>
    <w:rsid w:val="003E3F9C"/>
    <w:rsid w:val="004063FD"/>
    <w:rsid w:val="00420321"/>
    <w:rsid w:val="00423C6A"/>
    <w:rsid w:val="0042783C"/>
    <w:rsid w:val="0043340F"/>
    <w:rsid w:val="00441206"/>
    <w:rsid w:val="00462BF9"/>
    <w:rsid w:val="00495508"/>
    <w:rsid w:val="004F077D"/>
    <w:rsid w:val="004F15D8"/>
    <w:rsid w:val="00500A70"/>
    <w:rsid w:val="0050135E"/>
    <w:rsid w:val="0051381D"/>
    <w:rsid w:val="005312CC"/>
    <w:rsid w:val="00531C57"/>
    <w:rsid w:val="00561775"/>
    <w:rsid w:val="00570790"/>
    <w:rsid w:val="005A6A7D"/>
    <w:rsid w:val="005B1E71"/>
    <w:rsid w:val="005C2CF9"/>
    <w:rsid w:val="005E5DB5"/>
    <w:rsid w:val="005F3CC2"/>
    <w:rsid w:val="00683E38"/>
    <w:rsid w:val="00690D75"/>
    <w:rsid w:val="006A52A0"/>
    <w:rsid w:val="006B5E6F"/>
    <w:rsid w:val="006F1AE1"/>
    <w:rsid w:val="00704C39"/>
    <w:rsid w:val="0074323C"/>
    <w:rsid w:val="007577B4"/>
    <w:rsid w:val="00761ADC"/>
    <w:rsid w:val="00767015"/>
    <w:rsid w:val="007C6719"/>
    <w:rsid w:val="0081052D"/>
    <w:rsid w:val="00837E37"/>
    <w:rsid w:val="008716E6"/>
    <w:rsid w:val="00872B23"/>
    <w:rsid w:val="0088746D"/>
    <w:rsid w:val="008C3F87"/>
    <w:rsid w:val="008D37BD"/>
    <w:rsid w:val="008E720E"/>
    <w:rsid w:val="00911BA6"/>
    <w:rsid w:val="00912051"/>
    <w:rsid w:val="00933C60"/>
    <w:rsid w:val="00936048"/>
    <w:rsid w:val="0093634D"/>
    <w:rsid w:val="00964974"/>
    <w:rsid w:val="0097658B"/>
    <w:rsid w:val="009823AD"/>
    <w:rsid w:val="00984D79"/>
    <w:rsid w:val="009A0A7B"/>
    <w:rsid w:val="009A7B98"/>
    <w:rsid w:val="009D0BC3"/>
    <w:rsid w:val="00A1303F"/>
    <w:rsid w:val="00A344AC"/>
    <w:rsid w:val="00A74B32"/>
    <w:rsid w:val="00AB3236"/>
    <w:rsid w:val="00AC5391"/>
    <w:rsid w:val="00AF01C6"/>
    <w:rsid w:val="00B11F27"/>
    <w:rsid w:val="00B26125"/>
    <w:rsid w:val="00B774A4"/>
    <w:rsid w:val="00BA5CC6"/>
    <w:rsid w:val="00BB1E41"/>
    <w:rsid w:val="00C05169"/>
    <w:rsid w:val="00C97E47"/>
    <w:rsid w:val="00CC140E"/>
    <w:rsid w:val="00CF2FF5"/>
    <w:rsid w:val="00D0122C"/>
    <w:rsid w:val="00D31D0F"/>
    <w:rsid w:val="00D4612E"/>
    <w:rsid w:val="00D4672C"/>
    <w:rsid w:val="00D54CB2"/>
    <w:rsid w:val="00D60A39"/>
    <w:rsid w:val="00D6475A"/>
    <w:rsid w:val="00D90060"/>
    <w:rsid w:val="00D93BF3"/>
    <w:rsid w:val="00DE6446"/>
    <w:rsid w:val="00E14063"/>
    <w:rsid w:val="00E27E89"/>
    <w:rsid w:val="00E47B82"/>
    <w:rsid w:val="00E54481"/>
    <w:rsid w:val="00E54A81"/>
    <w:rsid w:val="00E811FA"/>
    <w:rsid w:val="00ED00ED"/>
    <w:rsid w:val="00ED58AF"/>
    <w:rsid w:val="00EF7389"/>
    <w:rsid w:val="00F66796"/>
    <w:rsid w:val="00F66863"/>
    <w:rsid w:val="00F6799C"/>
    <w:rsid w:val="00F91665"/>
    <w:rsid w:val="00FA3736"/>
    <w:rsid w:val="00FC2F11"/>
    <w:rsid w:val="00FD4AA6"/>
    <w:rsid w:val="00FD4ECF"/>
    <w:rsid w:val="00FE76D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3DA15"/>
  <w15:chartTrackingRefBased/>
  <w15:docId w15:val="{24975FC9-028A-41AD-9964-FFCDB5F5A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11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11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11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11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11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11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11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11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11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1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1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1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1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1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1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1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11FA"/>
    <w:rPr>
      <w:rFonts w:eastAsiaTheme="majorEastAsia" w:cstheme="majorBidi"/>
      <w:color w:val="272727" w:themeColor="text1" w:themeTint="D8"/>
    </w:rPr>
  </w:style>
  <w:style w:type="paragraph" w:styleId="Title">
    <w:name w:val="Title"/>
    <w:basedOn w:val="Normal"/>
    <w:next w:val="Normal"/>
    <w:link w:val="TitleChar"/>
    <w:uiPriority w:val="10"/>
    <w:qFormat/>
    <w:rsid w:val="00E811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1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1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1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11FA"/>
    <w:pPr>
      <w:spacing w:before="160"/>
      <w:jc w:val="center"/>
    </w:pPr>
    <w:rPr>
      <w:i/>
      <w:iCs/>
      <w:color w:val="404040" w:themeColor="text1" w:themeTint="BF"/>
    </w:rPr>
  </w:style>
  <w:style w:type="character" w:customStyle="1" w:styleId="QuoteChar">
    <w:name w:val="Quote Char"/>
    <w:basedOn w:val="DefaultParagraphFont"/>
    <w:link w:val="Quote"/>
    <w:uiPriority w:val="29"/>
    <w:rsid w:val="00E811FA"/>
    <w:rPr>
      <w:i/>
      <w:iCs/>
      <w:color w:val="404040" w:themeColor="text1" w:themeTint="BF"/>
    </w:rPr>
  </w:style>
  <w:style w:type="paragraph" w:styleId="ListParagraph">
    <w:name w:val="List Paragraph"/>
    <w:basedOn w:val="Normal"/>
    <w:uiPriority w:val="34"/>
    <w:qFormat/>
    <w:rsid w:val="00E811FA"/>
    <w:pPr>
      <w:ind w:left="720"/>
      <w:contextualSpacing/>
    </w:pPr>
  </w:style>
  <w:style w:type="character" w:styleId="IntenseEmphasis">
    <w:name w:val="Intense Emphasis"/>
    <w:basedOn w:val="DefaultParagraphFont"/>
    <w:uiPriority w:val="21"/>
    <w:qFormat/>
    <w:rsid w:val="00E811FA"/>
    <w:rPr>
      <w:i/>
      <w:iCs/>
      <w:color w:val="0F4761" w:themeColor="accent1" w:themeShade="BF"/>
    </w:rPr>
  </w:style>
  <w:style w:type="paragraph" w:styleId="IntenseQuote">
    <w:name w:val="Intense Quote"/>
    <w:basedOn w:val="Normal"/>
    <w:next w:val="Normal"/>
    <w:link w:val="IntenseQuoteChar"/>
    <w:uiPriority w:val="30"/>
    <w:qFormat/>
    <w:rsid w:val="00E811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11FA"/>
    <w:rPr>
      <w:i/>
      <w:iCs/>
      <w:color w:val="0F4761" w:themeColor="accent1" w:themeShade="BF"/>
    </w:rPr>
  </w:style>
  <w:style w:type="character" w:styleId="IntenseReference">
    <w:name w:val="Intense Reference"/>
    <w:basedOn w:val="DefaultParagraphFont"/>
    <w:uiPriority w:val="32"/>
    <w:qFormat/>
    <w:rsid w:val="00E811FA"/>
    <w:rPr>
      <w:b/>
      <w:bCs/>
      <w:smallCaps/>
      <w:color w:val="0F4761" w:themeColor="accent1" w:themeShade="BF"/>
      <w:spacing w:val="5"/>
    </w:rPr>
  </w:style>
  <w:style w:type="character" w:styleId="CommentReference">
    <w:name w:val="annotation reference"/>
    <w:basedOn w:val="DefaultParagraphFont"/>
    <w:uiPriority w:val="99"/>
    <w:semiHidden/>
    <w:unhideWhenUsed/>
    <w:rsid w:val="000E227E"/>
    <w:rPr>
      <w:sz w:val="16"/>
      <w:szCs w:val="16"/>
    </w:rPr>
  </w:style>
  <w:style w:type="paragraph" w:styleId="CommentText">
    <w:name w:val="annotation text"/>
    <w:basedOn w:val="Normal"/>
    <w:link w:val="CommentTextChar"/>
    <w:uiPriority w:val="99"/>
    <w:unhideWhenUsed/>
    <w:rsid w:val="000E227E"/>
    <w:pPr>
      <w:spacing w:line="240" w:lineRule="auto"/>
    </w:pPr>
    <w:rPr>
      <w:sz w:val="20"/>
      <w:szCs w:val="20"/>
    </w:rPr>
  </w:style>
  <w:style w:type="character" w:customStyle="1" w:styleId="CommentTextChar">
    <w:name w:val="Comment Text Char"/>
    <w:basedOn w:val="DefaultParagraphFont"/>
    <w:link w:val="CommentText"/>
    <w:uiPriority w:val="99"/>
    <w:rsid w:val="000E227E"/>
    <w:rPr>
      <w:sz w:val="20"/>
      <w:szCs w:val="20"/>
    </w:rPr>
  </w:style>
  <w:style w:type="paragraph" w:styleId="CommentSubject">
    <w:name w:val="annotation subject"/>
    <w:basedOn w:val="CommentText"/>
    <w:next w:val="CommentText"/>
    <w:link w:val="CommentSubjectChar"/>
    <w:uiPriority w:val="99"/>
    <w:semiHidden/>
    <w:unhideWhenUsed/>
    <w:rsid w:val="000E227E"/>
    <w:rPr>
      <w:b/>
      <w:bCs/>
    </w:rPr>
  </w:style>
  <w:style w:type="character" w:customStyle="1" w:styleId="CommentSubjectChar">
    <w:name w:val="Comment Subject Char"/>
    <w:basedOn w:val="CommentTextChar"/>
    <w:link w:val="CommentSubject"/>
    <w:uiPriority w:val="99"/>
    <w:semiHidden/>
    <w:rsid w:val="000E227E"/>
    <w:rPr>
      <w:b/>
      <w:bCs/>
      <w:sz w:val="20"/>
      <w:szCs w:val="20"/>
    </w:rPr>
  </w:style>
  <w:style w:type="paragraph" w:styleId="BalloonText">
    <w:name w:val="Balloon Text"/>
    <w:basedOn w:val="Normal"/>
    <w:link w:val="BalloonTextChar"/>
    <w:uiPriority w:val="99"/>
    <w:semiHidden/>
    <w:unhideWhenUsed/>
    <w:rsid w:val="00D54C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CB2"/>
    <w:rPr>
      <w:rFonts w:ascii="Segoe UI" w:hAnsi="Segoe UI" w:cs="Segoe UI"/>
      <w:sz w:val="18"/>
      <w:szCs w:val="18"/>
    </w:rPr>
  </w:style>
  <w:style w:type="paragraph" w:styleId="Revision">
    <w:name w:val="Revision"/>
    <w:hidden/>
    <w:uiPriority w:val="99"/>
    <w:semiHidden/>
    <w:rsid w:val="00FC2F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199225">
      <w:bodyDiv w:val="1"/>
      <w:marLeft w:val="0"/>
      <w:marRight w:val="0"/>
      <w:marTop w:val="0"/>
      <w:marBottom w:val="0"/>
      <w:divBdr>
        <w:top w:val="none" w:sz="0" w:space="0" w:color="auto"/>
        <w:left w:val="none" w:sz="0" w:space="0" w:color="auto"/>
        <w:bottom w:val="none" w:sz="0" w:space="0" w:color="auto"/>
        <w:right w:val="none" w:sz="0" w:space="0" w:color="auto"/>
      </w:divBdr>
    </w:div>
    <w:div w:id="375352936">
      <w:bodyDiv w:val="1"/>
      <w:marLeft w:val="0"/>
      <w:marRight w:val="0"/>
      <w:marTop w:val="0"/>
      <w:marBottom w:val="0"/>
      <w:divBdr>
        <w:top w:val="none" w:sz="0" w:space="0" w:color="auto"/>
        <w:left w:val="none" w:sz="0" w:space="0" w:color="auto"/>
        <w:bottom w:val="none" w:sz="0" w:space="0" w:color="auto"/>
        <w:right w:val="none" w:sz="0" w:space="0" w:color="auto"/>
      </w:divBdr>
    </w:div>
    <w:div w:id="449516400">
      <w:bodyDiv w:val="1"/>
      <w:marLeft w:val="0"/>
      <w:marRight w:val="0"/>
      <w:marTop w:val="0"/>
      <w:marBottom w:val="0"/>
      <w:divBdr>
        <w:top w:val="none" w:sz="0" w:space="0" w:color="auto"/>
        <w:left w:val="none" w:sz="0" w:space="0" w:color="auto"/>
        <w:bottom w:val="none" w:sz="0" w:space="0" w:color="auto"/>
        <w:right w:val="none" w:sz="0" w:space="0" w:color="auto"/>
      </w:divBdr>
    </w:div>
    <w:div w:id="901331123">
      <w:bodyDiv w:val="1"/>
      <w:marLeft w:val="0"/>
      <w:marRight w:val="0"/>
      <w:marTop w:val="0"/>
      <w:marBottom w:val="0"/>
      <w:divBdr>
        <w:top w:val="none" w:sz="0" w:space="0" w:color="auto"/>
        <w:left w:val="none" w:sz="0" w:space="0" w:color="auto"/>
        <w:bottom w:val="none" w:sz="0" w:space="0" w:color="auto"/>
        <w:right w:val="none" w:sz="0" w:space="0" w:color="auto"/>
      </w:divBdr>
    </w:div>
    <w:div w:id="1220361726">
      <w:bodyDiv w:val="1"/>
      <w:marLeft w:val="0"/>
      <w:marRight w:val="0"/>
      <w:marTop w:val="0"/>
      <w:marBottom w:val="0"/>
      <w:divBdr>
        <w:top w:val="none" w:sz="0" w:space="0" w:color="auto"/>
        <w:left w:val="none" w:sz="0" w:space="0" w:color="auto"/>
        <w:bottom w:val="none" w:sz="0" w:space="0" w:color="auto"/>
        <w:right w:val="none" w:sz="0" w:space="0" w:color="auto"/>
      </w:divBdr>
    </w:div>
    <w:div w:id="1497650571">
      <w:bodyDiv w:val="1"/>
      <w:marLeft w:val="0"/>
      <w:marRight w:val="0"/>
      <w:marTop w:val="0"/>
      <w:marBottom w:val="0"/>
      <w:divBdr>
        <w:top w:val="none" w:sz="0" w:space="0" w:color="auto"/>
        <w:left w:val="none" w:sz="0" w:space="0" w:color="auto"/>
        <w:bottom w:val="none" w:sz="0" w:space="0" w:color="auto"/>
        <w:right w:val="none" w:sz="0" w:space="0" w:color="auto"/>
      </w:divBdr>
    </w:div>
    <w:div w:id="1733498799">
      <w:bodyDiv w:val="1"/>
      <w:marLeft w:val="0"/>
      <w:marRight w:val="0"/>
      <w:marTop w:val="0"/>
      <w:marBottom w:val="0"/>
      <w:divBdr>
        <w:top w:val="none" w:sz="0" w:space="0" w:color="auto"/>
        <w:left w:val="none" w:sz="0" w:space="0" w:color="auto"/>
        <w:bottom w:val="none" w:sz="0" w:space="0" w:color="auto"/>
        <w:right w:val="none" w:sz="0" w:space="0" w:color="auto"/>
      </w:divBdr>
    </w:div>
    <w:div w:id="1819884431">
      <w:bodyDiv w:val="1"/>
      <w:marLeft w:val="0"/>
      <w:marRight w:val="0"/>
      <w:marTop w:val="0"/>
      <w:marBottom w:val="0"/>
      <w:divBdr>
        <w:top w:val="none" w:sz="0" w:space="0" w:color="auto"/>
        <w:left w:val="none" w:sz="0" w:space="0" w:color="auto"/>
        <w:bottom w:val="none" w:sz="0" w:space="0" w:color="auto"/>
        <w:right w:val="none" w:sz="0" w:space="0" w:color="auto"/>
      </w:divBdr>
    </w:div>
    <w:div w:id="2042969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0B979B-B3DE-42F3-A1A4-8E89A371C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10</Pages>
  <Words>2158</Words>
  <Characters>12306</Characters>
  <Application>Microsoft Office Word</Application>
  <DocSecurity>0</DocSecurity>
  <Lines>102</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Self</dc:creator>
  <cp:keywords/>
  <dc:description/>
  <cp:lastModifiedBy>Matthew Self</cp:lastModifiedBy>
  <cp:revision>4</cp:revision>
  <dcterms:created xsi:type="dcterms:W3CDTF">2024-11-17T13:09:00Z</dcterms:created>
  <dcterms:modified xsi:type="dcterms:W3CDTF">2024-11-17T14:39:00Z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zotero-version="7.0.9"&gt;&lt;session id="pEfqBHHM"/&gt;&lt;style id="http://www.zotero.org/styles/nature" hasBibliography="1" bibliographyStyleHasBeenSet="0"/&gt;&lt;prefs&gt;&lt;pref name="fieldType" value="Field"/&gt;&lt;pref name="automaticJournalAbbreviatio</vt:lpwstr>
  </property>
  <property fmtid="{D5CDD505-2E9C-101B-9397-08002B2CF9AE}" pid="3" name="ZOTERO_PREF_2">
    <vt:lpwstr>ns" value="true"/&gt;&lt;/prefs&gt;&lt;/data&gt;</vt:lpwstr>
  </property>
</Properties>
</file>