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49DC64">
      <w:pPr>
        <w:spacing w:line="360" w:lineRule="auto"/>
        <w:rPr>
          <w:rFonts w:ascii="Times New Roman" w:hAnsi="Times New Roman" w:eastAsia="等线" w:cs="Times New Roman"/>
          <w:b/>
          <w:bCs/>
          <w:sz w:val="24"/>
        </w:rPr>
      </w:pPr>
      <w:r>
        <w:rPr>
          <w:rFonts w:hint="eastAsia" w:ascii="Times New Roman" w:hAnsi="Times New Roman" w:eastAsia="宋体"/>
          <w:b/>
          <w:bCs/>
          <w:sz w:val="24"/>
        </w:rPr>
        <w:t xml:space="preserve">Table S1. </w:t>
      </w:r>
      <w:r>
        <w:rPr>
          <w:rFonts w:ascii="Times New Roman" w:hAnsi="Times New Roman" w:eastAsia="宋体"/>
          <w:b/>
          <w:bCs/>
          <w:sz w:val="24"/>
        </w:rPr>
        <w:t>Information on NP tissue specimens from included patients</w:t>
      </w:r>
      <w:r>
        <w:rPr>
          <w:rFonts w:hint="eastAsia" w:ascii="Times New Roman" w:hAnsi="Times New Roman" w:eastAsia="宋体"/>
          <w:b/>
          <w:bCs/>
          <w:sz w:val="24"/>
        </w:rPr>
        <w:t>.</w:t>
      </w:r>
    </w:p>
    <w:tbl>
      <w:tblPr>
        <w:tblStyle w:val="2"/>
        <w:tblW w:w="852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6"/>
        <w:gridCol w:w="1198"/>
        <w:gridCol w:w="1072"/>
        <w:gridCol w:w="2132"/>
        <w:gridCol w:w="1262"/>
        <w:gridCol w:w="1737"/>
      </w:tblGrid>
      <w:tr w14:paraId="313BA6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1126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</w:tcPr>
          <w:p w14:paraId="5A989F66">
            <w:pPr>
              <w:jc w:val="center"/>
              <w:rPr>
                <w:rFonts w:ascii="Times New Roman" w:hAnsi="Times New Roman" w:eastAsia="等线" w:cs="Times New Roman"/>
                <w:szCs w:val="21"/>
              </w:rPr>
            </w:pPr>
            <w:r>
              <w:rPr>
                <w:rFonts w:ascii="Times New Roman" w:hAnsi="Times New Roman"/>
              </w:rPr>
              <w:t>Serial number</w:t>
            </w:r>
          </w:p>
        </w:tc>
        <w:tc>
          <w:tcPr>
            <w:tcW w:w="1198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</w:tcPr>
          <w:p w14:paraId="2C27F9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Sex</w:t>
            </w:r>
          </w:p>
        </w:tc>
        <w:tc>
          <w:tcPr>
            <w:tcW w:w="1072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</w:tcPr>
          <w:p w14:paraId="1493D2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Age (years)</w:t>
            </w:r>
          </w:p>
        </w:tc>
        <w:tc>
          <w:tcPr>
            <w:tcW w:w="2132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</w:tcPr>
          <w:p w14:paraId="05FA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Disease diagnosis</w:t>
            </w:r>
          </w:p>
        </w:tc>
        <w:tc>
          <w:tcPr>
            <w:tcW w:w="1262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</w:tcPr>
          <w:p w14:paraId="6C83C596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pecimen site</w:t>
            </w:r>
          </w:p>
        </w:tc>
        <w:tc>
          <w:tcPr>
            <w:tcW w:w="1737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</w:tcPr>
          <w:p w14:paraId="164006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Pfirrmann classification</w:t>
            </w:r>
          </w:p>
        </w:tc>
      </w:tr>
      <w:tr w14:paraId="38B421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1126" w:type="dxa"/>
            <w:tcBorders>
              <w:top w:val="single" w:color="000000" w:sz="12" w:space="0"/>
              <w:left w:val="nil"/>
              <w:bottom w:val="nil"/>
              <w:right w:val="nil"/>
            </w:tcBorders>
          </w:tcPr>
          <w:p w14:paraId="587FB35A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98" w:type="dxa"/>
            <w:tcBorders>
              <w:top w:val="single" w:color="000000" w:sz="12" w:space="0"/>
              <w:left w:val="nil"/>
              <w:bottom w:val="nil"/>
              <w:right w:val="nil"/>
            </w:tcBorders>
          </w:tcPr>
          <w:p w14:paraId="36107B0F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female</w:t>
            </w:r>
          </w:p>
        </w:tc>
        <w:tc>
          <w:tcPr>
            <w:tcW w:w="1072" w:type="dxa"/>
            <w:tcBorders>
              <w:top w:val="single" w:color="000000" w:sz="12" w:space="0"/>
              <w:left w:val="nil"/>
              <w:bottom w:val="nil"/>
              <w:right w:val="nil"/>
            </w:tcBorders>
          </w:tcPr>
          <w:p w14:paraId="314DAF7D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132" w:type="dxa"/>
            <w:tcBorders>
              <w:top w:val="single" w:color="000000" w:sz="12" w:space="0"/>
              <w:left w:val="nil"/>
              <w:bottom w:val="nil"/>
              <w:right w:val="nil"/>
            </w:tcBorders>
          </w:tcPr>
          <w:p w14:paraId="0C521B5D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idiopathic scoliosis</w:t>
            </w:r>
          </w:p>
        </w:tc>
        <w:tc>
          <w:tcPr>
            <w:tcW w:w="1262" w:type="dxa"/>
            <w:tcBorders>
              <w:top w:val="single" w:color="000000" w:sz="12" w:space="0"/>
              <w:left w:val="nil"/>
              <w:bottom w:val="nil"/>
              <w:right w:val="nil"/>
            </w:tcBorders>
          </w:tcPr>
          <w:p w14:paraId="44F0872A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T10-T11</w:t>
            </w:r>
          </w:p>
        </w:tc>
        <w:tc>
          <w:tcPr>
            <w:tcW w:w="1737" w:type="dxa"/>
            <w:tcBorders>
              <w:top w:val="single" w:color="000000" w:sz="12" w:space="0"/>
              <w:left w:val="nil"/>
              <w:bottom w:val="nil"/>
              <w:right w:val="nil"/>
            </w:tcBorders>
          </w:tcPr>
          <w:p w14:paraId="5A7E41EE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</w:tr>
      <w:tr w14:paraId="434C6E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7188377A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1C5445A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57DBDC1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2896CBA0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idiopathic scoliosis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C0E833B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T12-L1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13CD3A90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</w:tr>
      <w:tr w14:paraId="470E03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664247D7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7CAFFDD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61C68551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17F571EF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idiopathic scoliosis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E209AD1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L1-L2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3E01839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</w:tr>
      <w:tr w14:paraId="0EA61E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7FA703DA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54BC16C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06483690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1B61DC20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idiopathic scoliosis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44678BE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T11-T12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6E92BE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</w:tr>
      <w:tr w14:paraId="150E2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15E8A817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98531F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25DA2EF1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3E478A19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idiopathic scoliosis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989C3E9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L1-L2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152DB1E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</w:tr>
      <w:tr w14:paraId="418692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5C2FDA8A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2DFD1A6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4F7AAE43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307C1BD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idiopathic scoliosis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444658A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T8-T9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6EF82A95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</w:tr>
      <w:tr w14:paraId="4E46D8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62C0B285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58D7947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6F724DEA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0F2401E5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idiopathic scoliosis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36979A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L2-L3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06C8569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</w:tr>
      <w:tr w14:paraId="7751C8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0EE4BC92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822E229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6D4B36C7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7981621B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idiopathic scoliosis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39DA2B6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L3-L4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1781888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</w:t>
            </w:r>
          </w:p>
        </w:tc>
      </w:tr>
      <w:tr w14:paraId="5334D9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17985281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9A1CD8B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5F572D8D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2E7B752E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idiopathic scoliosis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14B4252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L1-L2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4F3C311C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</w:t>
            </w:r>
          </w:p>
        </w:tc>
      </w:tr>
      <w:tr w14:paraId="062BA2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2D8A38DC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AB40C77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584F021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6A0F92BA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idiopathic scoliosis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27CE520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L2-L3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C6EEA9F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</w:t>
            </w:r>
          </w:p>
        </w:tc>
      </w:tr>
      <w:tr w14:paraId="06B084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52F70FE5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B29AA77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387D951C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44CE3301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lumbar disc herniation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587936B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L3-L4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2D2F327C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</w:tr>
      <w:tr w14:paraId="6C0DBA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3CE690AB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448BD4B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2592E9E6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1023D5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lumbar disc herniation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9C54B02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L2-L3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0DB6711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</w:t>
            </w:r>
          </w:p>
        </w:tc>
      </w:tr>
      <w:tr w14:paraId="53C933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65C29E88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648C38F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60834453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26E11C4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lumbar spondylolisthesis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50616B3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L4-L5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75A19B21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</w:tr>
      <w:tr w14:paraId="212858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68C8BE23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833375A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5FDF7473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1A834A41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lumbar disc herniation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9C4575C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L4-L5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C5843A8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</w:tr>
      <w:tr w14:paraId="4F0AE9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23DFAE9C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73A5982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7488AAF6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3A139E4C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lumbar disc herniation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DAC9810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L5-S1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152581C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</w:tr>
      <w:tr w14:paraId="3AD0D4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70B7A606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0692FF6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6E61CCE7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38FEA045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lumbar spinal stenosis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B5755B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L3-L4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07F9DAE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</w:t>
            </w:r>
          </w:p>
        </w:tc>
      </w:tr>
      <w:tr w14:paraId="6BD3B1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78631D1B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D609730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4D94C203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5EE3C20F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lumbar disc herniation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298928A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L3-L4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123A90DA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</w:tr>
      <w:tr w14:paraId="59F6B8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333CCA05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E1EEA92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4319CB31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4F94DCB5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lumbar disc herniation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CE3F7A7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L5-S1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70A08AB8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</w:tr>
      <w:tr w14:paraId="39578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691EF895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4336776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2314F2F6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75B979B7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lumbar spondylolisthesis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77F641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L3-L4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1D2F442F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</w:tr>
      <w:tr w14:paraId="59EC64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126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 w14:paraId="6F084C65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 w14:paraId="2C67B395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female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 w14:paraId="21611C65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2132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 w14:paraId="258B0A30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lumbar disc herniation</w:t>
            </w:r>
          </w:p>
        </w:tc>
        <w:tc>
          <w:tcPr>
            <w:tcW w:w="1262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 w14:paraId="62128F7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L4-L5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 w14:paraId="7D1641EF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</w:tr>
    </w:tbl>
    <w:p w14:paraId="5CCA655C">
      <w:pPr>
        <w:rPr>
          <w:rFonts w:ascii="Times New Roman" w:hAnsi="Times New Roman" w:eastAsia="等线" w:cs="Times New Roman"/>
          <w:bCs/>
          <w:sz w:val="24"/>
          <w:lang w:bidi="ar"/>
        </w:rPr>
      </w:pPr>
    </w:p>
    <w:p w14:paraId="5B9F61AC">
      <w:pPr>
        <w:rPr>
          <w:rFonts w:ascii="Times New Roman" w:hAnsi="Times New Roman" w:eastAsia="等线" w:cs="Times New Roman"/>
          <w:bCs/>
          <w:sz w:val="24"/>
          <w:lang w:bidi="ar"/>
        </w:rPr>
      </w:pPr>
    </w:p>
    <w:p w14:paraId="0C72E8DE">
      <w:pPr>
        <w:rPr>
          <w:rFonts w:ascii="Times New Roman" w:hAnsi="Times New Roman" w:eastAsia="等线" w:cs="Times New Roman"/>
          <w:bCs/>
          <w:sz w:val="24"/>
          <w:lang w:bidi="ar"/>
        </w:rPr>
      </w:pPr>
    </w:p>
    <w:p w14:paraId="2F5C36E9">
      <w:pPr>
        <w:rPr>
          <w:rFonts w:ascii="Times New Roman" w:hAnsi="Times New Roman" w:eastAsia="等线" w:cs="Times New Roman"/>
          <w:bCs/>
          <w:sz w:val="24"/>
          <w:lang w:bidi="ar"/>
        </w:rPr>
      </w:pPr>
    </w:p>
    <w:p w14:paraId="7FB34D33">
      <w:pPr>
        <w:rPr>
          <w:rFonts w:ascii="Times New Roman" w:hAnsi="Times New Roman" w:eastAsia="等线" w:cs="Times New Roman"/>
          <w:bCs/>
          <w:sz w:val="24"/>
          <w:lang w:bidi="ar"/>
        </w:rPr>
      </w:pPr>
    </w:p>
    <w:p w14:paraId="1CA5A573">
      <w:pPr>
        <w:rPr>
          <w:rFonts w:hint="eastAsia" w:ascii="Times New Roman" w:hAnsi="Times New Roman" w:eastAsia="等线" w:cs="Times New Roman"/>
          <w:bCs/>
          <w:sz w:val="24"/>
          <w:lang w:eastAsia="zh-CN" w:bidi="ar"/>
        </w:rPr>
      </w:pPr>
      <w:r>
        <w:rPr>
          <w:rFonts w:hint="eastAsia" w:ascii="Times New Roman" w:hAnsi="Times New Roman" w:eastAsia="等线" w:cs="Times New Roman"/>
          <w:bCs/>
          <w:sz w:val="24"/>
          <w:lang w:eastAsia="zh-CN" w:bidi="ar"/>
        </w:rPr>
        <w:drawing>
          <wp:inline distT="0" distB="0" distL="114300" distR="114300">
            <wp:extent cx="5485765" cy="8115935"/>
            <wp:effectExtent l="0" t="0" r="635" b="8890"/>
            <wp:docPr id="1" name="图片 1" descr="Fig.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. 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F370">
      <w:pPr>
        <w:rPr>
          <w:rFonts w:hint="eastAsia" w:ascii="Times New Roman" w:hAnsi="Times New Roman" w:eastAsia="等线" w:cs="Times New Roman"/>
          <w:bCs/>
          <w:sz w:val="24"/>
          <w:lang w:val="en-US" w:eastAsia="zh-CN" w:bidi="ar"/>
        </w:rPr>
      </w:pPr>
      <w:r>
        <w:rPr>
          <w:rFonts w:ascii="Times New Roman" w:hAnsi="Times New Roman" w:eastAsia="等线" w:cs="Times New Roman"/>
          <w:b/>
          <w:sz w:val="24"/>
          <w:lang w:bidi="ar"/>
        </w:rPr>
        <w:t>Fig. S1</w:t>
      </w:r>
      <w:r>
        <w:rPr>
          <w:rFonts w:hint="eastAsia" w:ascii="Times New Roman" w:hAnsi="Times New Roman" w:eastAsia="等线" w:cs="Times New Roman"/>
          <w:b/>
          <w:sz w:val="24"/>
          <w:lang w:bidi="ar"/>
        </w:rPr>
        <w:t xml:space="preserve">. </w:t>
      </w:r>
      <w:r>
        <w:rPr>
          <w:rFonts w:ascii="Times New Roman" w:hAnsi="Times New Roman" w:eastAsia="等线" w:cs="Times New Roman"/>
          <w:b/>
          <w:sz w:val="24"/>
          <w:lang w:bidi="ar"/>
        </w:rPr>
        <w:t>Bioinformatics analysis of differential genes and expression validation of mRNAs for key genes</w:t>
      </w:r>
      <w:r>
        <w:rPr>
          <w:rFonts w:hint="eastAsia" w:ascii="Times New Roman" w:hAnsi="Times New Roman" w:eastAsia="等线" w:cs="Times New Roman"/>
          <w:bCs/>
          <w:sz w:val="24"/>
          <w:lang w:bidi="ar"/>
        </w:rPr>
        <w:t xml:space="preserve">. (A) </w:t>
      </w:r>
      <w:r>
        <w:rPr>
          <w:rFonts w:ascii="Times New Roman" w:hAnsi="Times New Roman" w:eastAsia="等线" w:cs="Times New Roman"/>
          <w:bCs/>
          <w:sz w:val="24"/>
          <w:lang w:bidi="ar"/>
        </w:rPr>
        <w:t>PCA analysis plots of different intervention groups.</w:t>
      </w:r>
      <w:r>
        <w:rPr>
          <w:rFonts w:hint="eastAsia" w:ascii="Times New Roman" w:hAnsi="Times New Roman" w:eastAsia="等线" w:cs="Times New Roman"/>
          <w:bCs/>
          <w:sz w:val="24"/>
          <w:lang w:bidi="ar"/>
        </w:rPr>
        <w:t xml:space="preserve"> </w:t>
      </w:r>
      <w:r>
        <w:rPr>
          <w:rFonts w:ascii="Times New Roman" w:hAnsi="Times New Roman" w:eastAsia="等线" w:cs="Times New Roman"/>
          <w:bCs/>
          <w:sz w:val="24"/>
          <w:lang w:bidi="ar"/>
        </w:rPr>
        <w:t>(</w:t>
      </w:r>
      <w:r>
        <w:rPr>
          <w:rFonts w:hint="eastAsia" w:ascii="Times New Roman" w:hAnsi="Times New Roman" w:eastAsia="等线" w:cs="Times New Roman"/>
          <w:bCs/>
          <w:sz w:val="24"/>
          <w:lang w:val="en-US" w:eastAsia="zh-CN" w:bidi="ar"/>
        </w:rPr>
        <w:t>B</w:t>
      </w:r>
      <w:r>
        <w:rPr>
          <w:rFonts w:ascii="Times New Roman" w:hAnsi="Times New Roman" w:eastAsia="等线" w:cs="Times New Roman"/>
          <w:bCs/>
          <w:sz w:val="24"/>
          <w:lang w:bidi="ar"/>
        </w:rPr>
        <w:t>) GO enrichment and KEGG pathway enrichment of the differential genes.</w:t>
      </w:r>
      <w:r>
        <w:rPr>
          <w:rFonts w:hint="eastAsia" w:ascii="Times New Roman" w:hAnsi="Times New Roman" w:eastAsia="等线" w:cs="Times New Roman"/>
          <w:bCs/>
          <w:sz w:val="24"/>
          <w:lang w:val="en-US" w:eastAsia="zh-CN" w:bidi="ar"/>
        </w:rPr>
        <w:t xml:space="preserve"> </w:t>
      </w:r>
      <w:r>
        <w:rPr>
          <w:rFonts w:hint="eastAsia" w:ascii="Times New Roman" w:hAnsi="Times New Roman" w:eastAsia="等线" w:cs="Times New Roman"/>
          <w:bCs/>
          <w:sz w:val="24"/>
          <w:lang w:bidi="ar"/>
        </w:rPr>
        <w:t>(</w:t>
      </w:r>
      <w:r>
        <w:rPr>
          <w:rFonts w:hint="eastAsia" w:ascii="Times New Roman" w:hAnsi="Times New Roman" w:eastAsia="等线" w:cs="Times New Roman"/>
          <w:bCs/>
          <w:sz w:val="24"/>
          <w:lang w:val="en-US" w:eastAsia="zh-CN" w:bidi="ar"/>
        </w:rPr>
        <w:t>C</w:t>
      </w:r>
      <w:r>
        <w:rPr>
          <w:rFonts w:hint="eastAsia" w:ascii="Times New Roman" w:hAnsi="Times New Roman" w:eastAsia="等线" w:cs="Times New Roman"/>
          <w:bCs/>
          <w:sz w:val="24"/>
          <w:lang w:bidi="ar"/>
        </w:rPr>
        <w:t xml:space="preserve">) </w:t>
      </w:r>
      <w:r>
        <w:rPr>
          <w:rFonts w:ascii="Times New Roman" w:hAnsi="Times New Roman" w:eastAsia="等线" w:cs="Times New Roman"/>
          <w:bCs/>
          <w:sz w:val="24"/>
          <w:lang w:bidi="ar"/>
        </w:rPr>
        <w:t>qRT-PCR assay of the 11 key genes for senescenc</w:t>
      </w:r>
      <w:bookmarkStart w:id="0" w:name="_GoBack"/>
      <w:bookmarkEnd w:id="0"/>
      <w:r>
        <w:rPr>
          <w:rFonts w:ascii="Times New Roman" w:hAnsi="Times New Roman" w:eastAsia="等线" w:cs="Times New Roman"/>
          <w:bCs/>
          <w:sz w:val="24"/>
          <w:lang w:bidi="ar"/>
        </w:rPr>
        <w:t>e.</w:t>
      </w:r>
    </w:p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O1AAJDIwNTS0tLAyUdpeDU4uLM/DyQAuNaAOLsUBQsAAAA"/>
    <w:docVar w:name="commondata" w:val="eyJoZGlkIjoiNDNmZmZmYzRhNmU5ZjBjMzJmMjZiZDNhZjQ5NmViNDYifQ=="/>
  </w:docVars>
  <w:rsids>
    <w:rsidRoot w:val="00190245"/>
    <w:rsid w:val="000E44D2"/>
    <w:rsid w:val="00190245"/>
    <w:rsid w:val="005C7462"/>
    <w:rsid w:val="0067685E"/>
    <w:rsid w:val="006D5C66"/>
    <w:rsid w:val="00935A01"/>
    <w:rsid w:val="00A10C59"/>
    <w:rsid w:val="00B155E4"/>
    <w:rsid w:val="00B765EB"/>
    <w:rsid w:val="00D54595"/>
    <w:rsid w:val="05567F59"/>
    <w:rsid w:val="313857CB"/>
    <w:rsid w:val="3F6D4D79"/>
    <w:rsid w:val="48204D8D"/>
    <w:rsid w:val="6A5B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213</Words>
  <Characters>1085</Characters>
  <Lines>9</Lines>
  <Paragraphs>2</Paragraphs>
  <TotalTime>1</TotalTime>
  <ScaleCrop>false</ScaleCrop>
  <LinksUpToDate>false</LinksUpToDate>
  <CharactersWithSpaces>1170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2024-11-12T03:40:00Z</dcterms:created>
  <dc:creator>Lenovo</dc:creator>
  <cp:lastModifiedBy>木子三石</cp:lastModifiedBy>
  <dcterms:modified xsi:type="dcterms:W3CDTF">2025-03-24T10:00:44Z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C74BADC251054326932FA76E8DE0779F_12</vt:lpwstr>
  </property>
  <property fmtid="{D5CDD505-2E9C-101B-9397-08002B2CF9AE}" pid="4" name="KSOTemplateDocerSaveRecord">
    <vt:lpwstr>eyJoZGlkIjoiNDNmZmZmYzRhNmU5ZjBjMzJmMjZiZDNhZjQ5NmViNDYiLCJ1c2VySWQiOiIyNDY5Mzg1NzYifQ==</vt:lpwstr>
  </property>
</Properties>
</file>