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0E0CC7" w14:textId="77777777" w:rsidR="005D2A94" w:rsidRPr="00DB5468" w:rsidRDefault="005D2A94" w:rsidP="005D2A94">
      <w:pPr>
        <w:pStyle w:val="Heading2"/>
      </w:pPr>
      <w:r>
        <w:t xml:space="preserve">Extended Data </w:t>
      </w:r>
    </w:p>
    <w:p w14:paraId="300D0A4E" w14:textId="77777777" w:rsidR="005D2A94" w:rsidRDefault="005D2A94" w:rsidP="005D2A94"/>
    <w:p w14:paraId="7F512E45" w14:textId="77777777" w:rsidR="005D2A94" w:rsidRDefault="005D2A94" w:rsidP="005D2A94"/>
    <w:tbl>
      <w:tblPr>
        <w:tblStyle w:val="PlainTable5"/>
        <w:tblW w:w="10485" w:type="dxa"/>
        <w:tblLook w:val="04A0" w:firstRow="1" w:lastRow="0" w:firstColumn="1" w:lastColumn="0" w:noHBand="0" w:noVBand="1"/>
      </w:tblPr>
      <w:tblGrid>
        <w:gridCol w:w="1696"/>
        <w:gridCol w:w="1464"/>
        <w:gridCol w:w="1465"/>
        <w:gridCol w:w="1465"/>
        <w:gridCol w:w="1465"/>
        <w:gridCol w:w="1465"/>
        <w:gridCol w:w="1465"/>
      </w:tblGrid>
      <w:tr w:rsidR="005D2A94" w:rsidRPr="008F5D8E" w14:paraId="1EBBC5E6" w14:textId="77777777" w:rsidTr="004A40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bottom w:val="single" w:sz="18" w:space="0" w:color="404040"/>
              <w:right w:val="single" w:sz="18" w:space="0" w:color="404040"/>
            </w:tcBorders>
          </w:tcPr>
          <w:p w14:paraId="68690865" w14:textId="77777777" w:rsidR="005D2A94" w:rsidRPr="00AD1482" w:rsidRDefault="005D2A94" w:rsidP="004A40B8">
            <w:pPr>
              <w:rPr>
                <w:rFonts w:cstheme="minorHAnsi"/>
                <w:b/>
              </w:rPr>
            </w:pPr>
            <w:r w:rsidRPr="00AD1482">
              <w:rPr>
                <w:rFonts w:cstheme="minorHAnsi"/>
                <w:b/>
              </w:rPr>
              <w:t>Scenario Dimensions</w:t>
            </w:r>
          </w:p>
        </w:tc>
        <w:tc>
          <w:tcPr>
            <w:tcW w:w="8789" w:type="dxa"/>
            <w:gridSpan w:val="6"/>
            <w:tcBorders>
              <w:left w:val="single" w:sz="18" w:space="0" w:color="404040"/>
              <w:bottom w:val="single" w:sz="18" w:space="0" w:color="404040"/>
            </w:tcBorders>
          </w:tcPr>
          <w:p w14:paraId="20740A4C" w14:textId="77777777" w:rsidR="005D2A94" w:rsidRPr="00AD1482" w:rsidRDefault="005D2A94" w:rsidP="004A40B8">
            <w:pPr>
              <w:jc w:val="center"/>
              <w:cnfStyle w:val="100000000000" w:firstRow="1" w:lastRow="0" w:firstColumn="0" w:lastColumn="0" w:oddVBand="0" w:evenVBand="0" w:oddHBand="0" w:evenHBand="0" w:firstRowFirstColumn="0" w:firstRowLastColumn="0" w:lastRowFirstColumn="0" w:lastRowLastColumn="0"/>
              <w:rPr>
                <w:rFonts w:cstheme="minorHAnsi"/>
                <w:b/>
              </w:rPr>
            </w:pPr>
            <w:r w:rsidRPr="00AD1482">
              <w:rPr>
                <w:rFonts w:cstheme="minorHAnsi"/>
                <w:b/>
              </w:rPr>
              <w:t>CCS and CDR Assumptions</w:t>
            </w:r>
          </w:p>
        </w:tc>
      </w:tr>
      <w:tr w:rsidR="005D2A94" w14:paraId="6EF83AB0" w14:textId="77777777" w:rsidTr="004A40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18" w:space="0" w:color="404040"/>
              <w:right w:val="single" w:sz="18" w:space="0" w:color="404040"/>
            </w:tcBorders>
          </w:tcPr>
          <w:p w14:paraId="24A3DC8D" w14:textId="77777777" w:rsidR="005D2A94" w:rsidRPr="00AD1482" w:rsidRDefault="005D2A94" w:rsidP="004A40B8">
            <w:pPr>
              <w:rPr>
                <w:rFonts w:asciiTheme="minorHAnsi" w:hAnsiTheme="minorHAnsi" w:cstheme="minorHAnsi"/>
              </w:rPr>
            </w:pPr>
            <w:r w:rsidRPr="00AD1482">
              <w:rPr>
                <w:rFonts w:asciiTheme="minorHAnsi" w:hAnsiTheme="minorHAnsi" w:cstheme="minorHAnsi"/>
              </w:rPr>
              <w:t>Max. EU CCS (MtCO2/yr)</w:t>
            </w:r>
          </w:p>
        </w:tc>
        <w:tc>
          <w:tcPr>
            <w:tcW w:w="1464" w:type="dxa"/>
            <w:tcBorders>
              <w:top w:val="single" w:sz="18" w:space="0" w:color="404040"/>
              <w:left w:val="single" w:sz="18" w:space="0" w:color="404040"/>
            </w:tcBorders>
          </w:tcPr>
          <w:p w14:paraId="3D50D873"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D1482">
              <w:rPr>
                <w:rFonts w:asciiTheme="minorHAnsi" w:hAnsiTheme="minorHAnsi" w:cstheme="minorHAnsi"/>
              </w:rPr>
              <w:t>110</w:t>
            </w:r>
          </w:p>
        </w:tc>
        <w:tc>
          <w:tcPr>
            <w:tcW w:w="1465" w:type="dxa"/>
            <w:tcBorders>
              <w:top w:val="single" w:sz="18" w:space="0" w:color="404040"/>
            </w:tcBorders>
          </w:tcPr>
          <w:p w14:paraId="618C9BB3"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D1482">
              <w:rPr>
                <w:rFonts w:asciiTheme="minorHAnsi" w:hAnsiTheme="minorHAnsi" w:cstheme="minorHAnsi"/>
              </w:rPr>
              <w:t>130</w:t>
            </w:r>
          </w:p>
        </w:tc>
        <w:tc>
          <w:tcPr>
            <w:tcW w:w="1465" w:type="dxa"/>
            <w:tcBorders>
              <w:top w:val="single" w:sz="18" w:space="0" w:color="404040"/>
            </w:tcBorders>
          </w:tcPr>
          <w:p w14:paraId="6A3E1FC1"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D1482">
              <w:rPr>
                <w:rFonts w:asciiTheme="minorHAnsi" w:hAnsiTheme="minorHAnsi" w:cstheme="minorHAnsi"/>
              </w:rPr>
              <w:t>180</w:t>
            </w:r>
          </w:p>
        </w:tc>
        <w:tc>
          <w:tcPr>
            <w:tcW w:w="1465" w:type="dxa"/>
            <w:tcBorders>
              <w:top w:val="single" w:sz="18" w:space="0" w:color="404040"/>
            </w:tcBorders>
          </w:tcPr>
          <w:p w14:paraId="6C55275F"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D1482">
              <w:rPr>
                <w:rFonts w:asciiTheme="minorHAnsi" w:hAnsiTheme="minorHAnsi" w:cstheme="minorHAnsi"/>
              </w:rPr>
              <w:t>350</w:t>
            </w:r>
          </w:p>
        </w:tc>
        <w:tc>
          <w:tcPr>
            <w:tcW w:w="1465" w:type="dxa"/>
            <w:tcBorders>
              <w:top w:val="single" w:sz="18" w:space="0" w:color="404040"/>
            </w:tcBorders>
          </w:tcPr>
          <w:p w14:paraId="19D455CF"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D1482">
              <w:rPr>
                <w:rFonts w:asciiTheme="minorHAnsi" w:hAnsiTheme="minorHAnsi" w:cstheme="minorHAnsi"/>
              </w:rPr>
              <w:t>2000</w:t>
            </w:r>
          </w:p>
        </w:tc>
        <w:tc>
          <w:tcPr>
            <w:tcW w:w="1465" w:type="dxa"/>
            <w:tcBorders>
              <w:top w:val="single" w:sz="18" w:space="0" w:color="404040"/>
            </w:tcBorders>
          </w:tcPr>
          <w:p w14:paraId="01ECA811"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D1482">
              <w:rPr>
                <w:rFonts w:asciiTheme="minorHAnsi" w:hAnsiTheme="minorHAnsi" w:cstheme="minorHAnsi"/>
              </w:rPr>
              <w:t>2000</w:t>
            </w:r>
          </w:p>
        </w:tc>
      </w:tr>
      <w:tr w:rsidR="005D2A94" w14:paraId="07108F96" w14:textId="77777777" w:rsidTr="004A40B8">
        <w:tc>
          <w:tcPr>
            <w:cnfStyle w:val="001000000000" w:firstRow="0" w:lastRow="0" w:firstColumn="1" w:lastColumn="0" w:oddVBand="0" w:evenVBand="0" w:oddHBand="0" w:evenHBand="0" w:firstRowFirstColumn="0" w:firstRowLastColumn="0" w:lastRowFirstColumn="0" w:lastRowLastColumn="0"/>
            <w:tcW w:w="1696" w:type="dxa"/>
            <w:tcBorders>
              <w:bottom w:val="single" w:sz="18" w:space="0" w:color="000000"/>
              <w:right w:val="single" w:sz="18" w:space="0" w:color="404040"/>
            </w:tcBorders>
          </w:tcPr>
          <w:p w14:paraId="43F059B7" w14:textId="77777777" w:rsidR="005D2A94" w:rsidRPr="00AD1482" w:rsidRDefault="005D2A94" w:rsidP="004A40B8">
            <w:pPr>
              <w:rPr>
                <w:rFonts w:cstheme="minorHAnsi"/>
              </w:rPr>
            </w:pPr>
            <w:r w:rsidRPr="00AD1482">
              <w:rPr>
                <w:rFonts w:cstheme="minorHAnsi"/>
              </w:rPr>
              <w:t>2050 EU Land Sink (MtCO2/yr)</w:t>
            </w:r>
          </w:p>
        </w:tc>
        <w:tc>
          <w:tcPr>
            <w:tcW w:w="1464" w:type="dxa"/>
            <w:tcBorders>
              <w:left w:val="single" w:sz="18" w:space="0" w:color="404040"/>
              <w:bottom w:val="single" w:sz="18" w:space="0" w:color="000000"/>
            </w:tcBorders>
          </w:tcPr>
          <w:p w14:paraId="76AEA1E9"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AD1482">
              <w:rPr>
                <w:rFonts w:cstheme="minorHAnsi"/>
              </w:rPr>
              <w:t>240</w:t>
            </w:r>
          </w:p>
        </w:tc>
        <w:tc>
          <w:tcPr>
            <w:tcW w:w="1465" w:type="dxa"/>
            <w:tcBorders>
              <w:bottom w:val="single" w:sz="18" w:space="0" w:color="000000"/>
            </w:tcBorders>
          </w:tcPr>
          <w:p w14:paraId="24865F15"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AD1482">
              <w:rPr>
                <w:rFonts w:cstheme="minorHAnsi"/>
              </w:rPr>
              <w:t>240</w:t>
            </w:r>
          </w:p>
        </w:tc>
        <w:tc>
          <w:tcPr>
            <w:tcW w:w="1465" w:type="dxa"/>
            <w:tcBorders>
              <w:bottom w:val="single" w:sz="18" w:space="0" w:color="000000"/>
            </w:tcBorders>
          </w:tcPr>
          <w:p w14:paraId="51FA70C9"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AD1482">
              <w:rPr>
                <w:rFonts w:cstheme="minorHAnsi"/>
              </w:rPr>
              <w:t>240</w:t>
            </w:r>
          </w:p>
        </w:tc>
        <w:tc>
          <w:tcPr>
            <w:tcW w:w="1465" w:type="dxa"/>
            <w:tcBorders>
              <w:bottom w:val="single" w:sz="18" w:space="0" w:color="000000"/>
            </w:tcBorders>
          </w:tcPr>
          <w:p w14:paraId="0FC5A5CA"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AD1482">
              <w:rPr>
                <w:rFonts w:cstheme="minorHAnsi"/>
              </w:rPr>
              <w:t>240</w:t>
            </w:r>
          </w:p>
        </w:tc>
        <w:tc>
          <w:tcPr>
            <w:tcW w:w="1465" w:type="dxa"/>
            <w:tcBorders>
              <w:bottom w:val="single" w:sz="18" w:space="0" w:color="000000"/>
            </w:tcBorders>
          </w:tcPr>
          <w:p w14:paraId="2C75F6E6"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AD1482">
              <w:rPr>
                <w:rFonts w:cstheme="minorHAnsi"/>
              </w:rPr>
              <w:t>240</w:t>
            </w:r>
          </w:p>
        </w:tc>
        <w:tc>
          <w:tcPr>
            <w:tcW w:w="1465" w:type="dxa"/>
            <w:tcBorders>
              <w:bottom w:val="single" w:sz="18" w:space="0" w:color="000000"/>
            </w:tcBorders>
          </w:tcPr>
          <w:p w14:paraId="448D9817"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AD1482">
              <w:rPr>
                <w:rFonts w:cstheme="minorHAnsi"/>
              </w:rPr>
              <w:t>370</w:t>
            </w:r>
          </w:p>
        </w:tc>
      </w:tr>
      <w:tr w:rsidR="005D2A94" w14:paraId="7211D246" w14:textId="77777777" w:rsidTr="004A40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18" w:space="0" w:color="000000"/>
              <w:right w:val="single" w:sz="18" w:space="0" w:color="404040"/>
            </w:tcBorders>
          </w:tcPr>
          <w:p w14:paraId="2161302E" w14:textId="77777777" w:rsidR="005D2A94" w:rsidRPr="00AD1482" w:rsidRDefault="005D2A94" w:rsidP="004A40B8">
            <w:pPr>
              <w:rPr>
                <w:rFonts w:asciiTheme="minorHAnsi" w:hAnsiTheme="minorHAnsi" w:cstheme="minorHAnsi"/>
                <w:b/>
              </w:rPr>
            </w:pPr>
            <w:r w:rsidRPr="00AD1482">
              <w:rPr>
                <w:rFonts w:asciiTheme="minorHAnsi" w:hAnsiTheme="minorHAnsi" w:cstheme="minorHAnsi"/>
                <w:b/>
              </w:rPr>
              <w:t>Standard</w:t>
            </w:r>
          </w:p>
        </w:tc>
        <w:tc>
          <w:tcPr>
            <w:tcW w:w="1464" w:type="dxa"/>
            <w:tcBorders>
              <w:top w:val="single" w:sz="18" w:space="0" w:color="000000"/>
              <w:left w:val="single" w:sz="18" w:space="0" w:color="404040"/>
            </w:tcBorders>
          </w:tcPr>
          <w:p w14:paraId="28822184" w14:textId="77777777" w:rsidR="005D2A94" w:rsidRDefault="005D2A94" w:rsidP="004A40B8">
            <w:pPr>
              <w:cnfStyle w:val="000000100000" w:firstRow="0" w:lastRow="0" w:firstColumn="0" w:lastColumn="0" w:oddVBand="0" w:evenVBand="0" w:oddHBand="1" w:evenHBand="0" w:firstRowFirstColumn="0" w:firstRowLastColumn="0" w:lastRowFirstColumn="0" w:lastRowLastColumn="0"/>
              <w:rPr>
                <w:rFonts w:cstheme="minorHAnsi"/>
                <w:i/>
              </w:rPr>
            </w:pPr>
            <w:r w:rsidRPr="00AD1482">
              <w:rPr>
                <w:rFonts w:asciiTheme="minorHAnsi" w:hAnsiTheme="minorHAnsi" w:cstheme="minorHAnsi"/>
                <w:i/>
              </w:rPr>
              <w:t>FosFree-NZ</w:t>
            </w:r>
          </w:p>
          <w:p w14:paraId="234C7F66"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Pr>
                <w:rFonts w:asciiTheme="minorHAnsi" w:hAnsiTheme="minorHAnsi" w:cstheme="minorHAnsi"/>
                <w:i/>
              </w:rPr>
              <w:t>(core)</w:t>
            </w:r>
          </w:p>
        </w:tc>
        <w:tc>
          <w:tcPr>
            <w:tcW w:w="1465" w:type="dxa"/>
            <w:tcBorders>
              <w:top w:val="single" w:sz="18" w:space="0" w:color="000000"/>
            </w:tcBorders>
          </w:tcPr>
          <w:p w14:paraId="48C0399B"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Intm4-NZ</w:t>
            </w:r>
          </w:p>
        </w:tc>
        <w:tc>
          <w:tcPr>
            <w:tcW w:w="1465" w:type="dxa"/>
            <w:tcBorders>
              <w:top w:val="single" w:sz="18" w:space="0" w:color="000000"/>
            </w:tcBorders>
          </w:tcPr>
          <w:p w14:paraId="116EC913"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Intm3-NZ</w:t>
            </w:r>
          </w:p>
        </w:tc>
        <w:tc>
          <w:tcPr>
            <w:tcW w:w="1465" w:type="dxa"/>
            <w:tcBorders>
              <w:top w:val="single" w:sz="18" w:space="0" w:color="000000"/>
            </w:tcBorders>
          </w:tcPr>
          <w:p w14:paraId="6224A89B"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Intm2-NZ</w:t>
            </w:r>
          </w:p>
        </w:tc>
        <w:tc>
          <w:tcPr>
            <w:tcW w:w="1465" w:type="dxa"/>
            <w:tcBorders>
              <w:top w:val="single" w:sz="18" w:space="0" w:color="000000"/>
            </w:tcBorders>
          </w:tcPr>
          <w:p w14:paraId="33651FD2"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Intm1-NZ</w:t>
            </w:r>
          </w:p>
        </w:tc>
        <w:tc>
          <w:tcPr>
            <w:tcW w:w="1465" w:type="dxa"/>
            <w:tcBorders>
              <w:top w:val="single" w:sz="18" w:space="0" w:color="000000"/>
            </w:tcBorders>
          </w:tcPr>
          <w:p w14:paraId="49828924" w14:textId="77777777" w:rsidR="005D2A94" w:rsidRDefault="005D2A94" w:rsidP="004A40B8">
            <w:pPr>
              <w:cnfStyle w:val="000000100000" w:firstRow="0" w:lastRow="0" w:firstColumn="0" w:lastColumn="0" w:oddVBand="0" w:evenVBand="0" w:oddHBand="1" w:evenHBand="0" w:firstRowFirstColumn="0" w:firstRowLastColumn="0" w:lastRowFirstColumn="0" w:lastRowLastColumn="0"/>
              <w:rPr>
                <w:rFonts w:cstheme="minorHAnsi"/>
                <w:i/>
              </w:rPr>
            </w:pPr>
            <w:r>
              <w:rPr>
                <w:rFonts w:asciiTheme="minorHAnsi" w:hAnsiTheme="minorHAnsi" w:cstheme="minorHAnsi"/>
                <w:i/>
              </w:rPr>
              <w:t>LeastCost</w:t>
            </w:r>
            <w:r w:rsidRPr="00AD1482">
              <w:rPr>
                <w:rFonts w:asciiTheme="minorHAnsi" w:hAnsiTheme="minorHAnsi" w:cstheme="minorHAnsi"/>
                <w:i/>
              </w:rPr>
              <w:t>-NZ</w:t>
            </w:r>
          </w:p>
          <w:p w14:paraId="2FD3F95B"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Pr>
                <w:rFonts w:asciiTheme="minorHAnsi" w:hAnsiTheme="minorHAnsi" w:cstheme="minorHAnsi"/>
                <w:i/>
              </w:rPr>
              <w:t>(core)</w:t>
            </w:r>
          </w:p>
        </w:tc>
      </w:tr>
      <w:tr w:rsidR="005D2A94" w14:paraId="1941278B" w14:textId="77777777" w:rsidTr="004A40B8">
        <w:tc>
          <w:tcPr>
            <w:cnfStyle w:val="001000000000" w:firstRow="0" w:lastRow="0" w:firstColumn="1" w:lastColumn="0" w:oddVBand="0" w:evenVBand="0" w:oddHBand="0" w:evenHBand="0" w:firstRowFirstColumn="0" w:firstRowLastColumn="0" w:lastRowFirstColumn="0" w:lastRowLastColumn="0"/>
            <w:tcW w:w="1696" w:type="dxa"/>
            <w:tcBorders>
              <w:right w:val="single" w:sz="18" w:space="0" w:color="404040"/>
            </w:tcBorders>
          </w:tcPr>
          <w:p w14:paraId="30BCCCCE" w14:textId="77777777" w:rsidR="005D2A94" w:rsidRPr="00AD1482" w:rsidRDefault="005D2A94" w:rsidP="004A40B8">
            <w:pPr>
              <w:rPr>
                <w:rFonts w:cstheme="minorHAnsi"/>
                <w:b/>
              </w:rPr>
            </w:pPr>
            <w:r w:rsidRPr="00AD1482">
              <w:rPr>
                <w:rFonts w:cstheme="minorHAnsi"/>
                <w:b/>
              </w:rPr>
              <w:t>HighBio</w:t>
            </w:r>
          </w:p>
        </w:tc>
        <w:tc>
          <w:tcPr>
            <w:tcW w:w="1464" w:type="dxa"/>
            <w:tcBorders>
              <w:left w:val="single" w:sz="18" w:space="0" w:color="404040"/>
            </w:tcBorders>
          </w:tcPr>
          <w:p w14:paraId="5609BA99"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FosFree-NZ-HighBio</w:t>
            </w:r>
          </w:p>
        </w:tc>
        <w:tc>
          <w:tcPr>
            <w:tcW w:w="1465" w:type="dxa"/>
          </w:tcPr>
          <w:p w14:paraId="4E486F86"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p>
        </w:tc>
        <w:tc>
          <w:tcPr>
            <w:tcW w:w="1465" w:type="dxa"/>
          </w:tcPr>
          <w:p w14:paraId="4BEB4FC1"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Intm3-NZ-HighBio</w:t>
            </w:r>
          </w:p>
        </w:tc>
        <w:tc>
          <w:tcPr>
            <w:tcW w:w="1465" w:type="dxa"/>
          </w:tcPr>
          <w:p w14:paraId="1D5F846B"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p>
        </w:tc>
        <w:tc>
          <w:tcPr>
            <w:tcW w:w="1465" w:type="dxa"/>
          </w:tcPr>
          <w:p w14:paraId="7467C686"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Intm1-NZ-HighBio</w:t>
            </w:r>
          </w:p>
        </w:tc>
        <w:tc>
          <w:tcPr>
            <w:tcW w:w="1465" w:type="dxa"/>
          </w:tcPr>
          <w:p w14:paraId="4C37F1B9"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LeastCost</w:t>
            </w:r>
            <w:r w:rsidRPr="00AD1482">
              <w:rPr>
                <w:rFonts w:cstheme="minorHAnsi"/>
                <w:i/>
              </w:rPr>
              <w:t>-NZ-HighBio</w:t>
            </w:r>
          </w:p>
        </w:tc>
      </w:tr>
      <w:tr w:rsidR="005D2A94" w14:paraId="31D33A3C" w14:textId="77777777" w:rsidTr="004A40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right w:val="single" w:sz="18" w:space="0" w:color="404040"/>
            </w:tcBorders>
          </w:tcPr>
          <w:p w14:paraId="7396B119" w14:textId="77777777" w:rsidR="005D2A94" w:rsidRPr="00AD1482" w:rsidRDefault="005D2A94" w:rsidP="004A40B8">
            <w:pPr>
              <w:rPr>
                <w:rFonts w:asciiTheme="minorHAnsi" w:hAnsiTheme="minorHAnsi" w:cstheme="minorHAnsi"/>
                <w:b/>
              </w:rPr>
            </w:pPr>
            <w:r w:rsidRPr="00AD1482">
              <w:rPr>
                <w:rFonts w:asciiTheme="minorHAnsi" w:hAnsiTheme="minorHAnsi" w:cstheme="minorHAnsi"/>
                <w:b/>
              </w:rPr>
              <w:t>CheapDAC</w:t>
            </w:r>
          </w:p>
        </w:tc>
        <w:tc>
          <w:tcPr>
            <w:tcW w:w="1464" w:type="dxa"/>
            <w:tcBorders>
              <w:left w:val="single" w:sz="18" w:space="0" w:color="404040"/>
            </w:tcBorders>
          </w:tcPr>
          <w:p w14:paraId="7714EF5C"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FosFree-NZ-HighBio</w:t>
            </w:r>
          </w:p>
        </w:tc>
        <w:tc>
          <w:tcPr>
            <w:tcW w:w="1465" w:type="dxa"/>
          </w:tcPr>
          <w:p w14:paraId="792F902F"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p>
        </w:tc>
        <w:tc>
          <w:tcPr>
            <w:tcW w:w="1465" w:type="dxa"/>
          </w:tcPr>
          <w:p w14:paraId="30BB4D57"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Intm3-NZ-HighBio</w:t>
            </w:r>
          </w:p>
        </w:tc>
        <w:tc>
          <w:tcPr>
            <w:tcW w:w="1465" w:type="dxa"/>
          </w:tcPr>
          <w:p w14:paraId="1C92DC99"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p>
        </w:tc>
        <w:tc>
          <w:tcPr>
            <w:tcW w:w="1465" w:type="dxa"/>
          </w:tcPr>
          <w:p w14:paraId="492592D4"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Intm1-NZ-HighBio</w:t>
            </w:r>
          </w:p>
        </w:tc>
        <w:tc>
          <w:tcPr>
            <w:tcW w:w="1465" w:type="dxa"/>
          </w:tcPr>
          <w:p w14:paraId="417EA02A"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Pr>
                <w:rFonts w:asciiTheme="minorHAnsi" w:hAnsiTheme="minorHAnsi" w:cstheme="minorHAnsi"/>
                <w:i/>
              </w:rPr>
              <w:t>LeastCost</w:t>
            </w:r>
            <w:r w:rsidRPr="00AD1482">
              <w:rPr>
                <w:rFonts w:asciiTheme="minorHAnsi" w:hAnsiTheme="minorHAnsi" w:cstheme="minorHAnsi"/>
                <w:i/>
              </w:rPr>
              <w:t>-NZ-HighBio</w:t>
            </w:r>
          </w:p>
        </w:tc>
      </w:tr>
      <w:tr w:rsidR="005D2A94" w14:paraId="46492876" w14:textId="77777777" w:rsidTr="004A40B8">
        <w:tc>
          <w:tcPr>
            <w:cnfStyle w:val="001000000000" w:firstRow="0" w:lastRow="0" w:firstColumn="1" w:lastColumn="0" w:oddVBand="0" w:evenVBand="0" w:oddHBand="0" w:evenHBand="0" w:firstRowFirstColumn="0" w:firstRowLastColumn="0" w:lastRowFirstColumn="0" w:lastRowLastColumn="0"/>
            <w:tcW w:w="1696" w:type="dxa"/>
            <w:tcBorders>
              <w:right w:val="single" w:sz="18" w:space="0" w:color="404040"/>
            </w:tcBorders>
          </w:tcPr>
          <w:p w14:paraId="0F6DD482" w14:textId="77777777" w:rsidR="005D2A94" w:rsidRPr="00AD1482" w:rsidRDefault="005D2A94" w:rsidP="004A40B8">
            <w:pPr>
              <w:rPr>
                <w:rFonts w:cstheme="minorHAnsi"/>
                <w:b/>
              </w:rPr>
            </w:pPr>
            <w:r w:rsidRPr="00AD1482">
              <w:rPr>
                <w:rFonts w:cstheme="minorHAnsi"/>
                <w:b/>
              </w:rPr>
              <w:t>ExpH2</w:t>
            </w:r>
          </w:p>
        </w:tc>
        <w:tc>
          <w:tcPr>
            <w:tcW w:w="1464" w:type="dxa"/>
            <w:tcBorders>
              <w:left w:val="single" w:sz="18" w:space="0" w:color="404040"/>
            </w:tcBorders>
          </w:tcPr>
          <w:p w14:paraId="037E485C"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FosFree-NZ-expH2</w:t>
            </w:r>
          </w:p>
        </w:tc>
        <w:tc>
          <w:tcPr>
            <w:tcW w:w="1465" w:type="dxa"/>
          </w:tcPr>
          <w:p w14:paraId="1EAAAFB1"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p>
        </w:tc>
        <w:tc>
          <w:tcPr>
            <w:tcW w:w="1465" w:type="dxa"/>
          </w:tcPr>
          <w:p w14:paraId="1522CA9B"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Intm3-NZ- expH2</w:t>
            </w:r>
          </w:p>
        </w:tc>
        <w:tc>
          <w:tcPr>
            <w:tcW w:w="1465" w:type="dxa"/>
          </w:tcPr>
          <w:p w14:paraId="72C363B6"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p>
        </w:tc>
        <w:tc>
          <w:tcPr>
            <w:tcW w:w="1465" w:type="dxa"/>
          </w:tcPr>
          <w:p w14:paraId="4CD5414A"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Intm1-NZ- expH2</w:t>
            </w:r>
          </w:p>
        </w:tc>
        <w:tc>
          <w:tcPr>
            <w:tcW w:w="1465" w:type="dxa"/>
          </w:tcPr>
          <w:p w14:paraId="2C369D9C"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LeastCost</w:t>
            </w:r>
            <w:r w:rsidRPr="00AD1482">
              <w:rPr>
                <w:rFonts w:cstheme="minorHAnsi"/>
                <w:i/>
              </w:rPr>
              <w:t>-NZ- expH2</w:t>
            </w:r>
          </w:p>
        </w:tc>
      </w:tr>
      <w:tr w:rsidR="005D2A94" w14:paraId="6D9FB4DE" w14:textId="77777777" w:rsidTr="004A40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right w:val="single" w:sz="18" w:space="0" w:color="404040"/>
            </w:tcBorders>
          </w:tcPr>
          <w:p w14:paraId="7FA218F2" w14:textId="77777777" w:rsidR="005D2A94" w:rsidRPr="00AD1482" w:rsidRDefault="005D2A94" w:rsidP="004A40B8">
            <w:pPr>
              <w:rPr>
                <w:rFonts w:asciiTheme="minorHAnsi" w:hAnsiTheme="minorHAnsi" w:cstheme="minorHAnsi"/>
                <w:b/>
              </w:rPr>
            </w:pPr>
            <w:r w:rsidRPr="00AD1482">
              <w:rPr>
                <w:rFonts w:asciiTheme="minorHAnsi" w:hAnsiTheme="minorHAnsi" w:cstheme="minorHAnsi"/>
                <w:b/>
              </w:rPr>
              <w:t>HighImp</w:t>
            </w:r>
          </w:p>
        </w:tc>
        <w:tc>
          <w:tcPr>
            <w:tcW w:w="1464" w:type="dxa"/>
            <w:tcBorders>
              <w:left w:val="single" w:sz="18" w:space="0" w:color="404040"/>
            </w:tcBorders>
          </w:tcPr>
          <w:p w14:paraId="08A3F334"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FosFree-NZ-HighImp</w:t>
            </w:r>
          </w:p>
        </w:tc>
        <w:tc>
          <w:tcPr>
            <w:tcW w:w="1465" w:type="dxa"/>
          </w:tcPr>
          <w:p w14:paraId="14B5CBF7"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p>
        </w:tc>
        <w:tc>
          <w:tcPr>
            <w:tcW w:w="1465" w:type="dxa"/>
          </w:tcPr>
          <w:p w14:paraId="1D5E6D71"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Intm3-NZ- HighImp</w:t>
            </w:r>
          </w:p>
        </w:tc>
        <w:tc>
          <w:tcPr>
            <w:tcW w:w="1465" w:type="dxa"/>
          </w:tcPr>
          <w:p w14:paraId="4A99500E"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p>
        </w:tc>
        <w:tc>
          <w:tcPr>
            <w:tcW w:w="1465" w:type="dxa"/>
          </w:tcPr>
          <w:p w14:paraId="76A11847"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AD1482">
              <w:rPr>
                <w:rFonts w:asciiTheme="minorHAnsi" w:hAnsiTheme="minorHAnsi" w:cstheme="minorHAnsi"/>
                <w:i/>
              </w:rPr>
              <w:t>Intm1-NZ- HighImp</w:t>
            </w:r>
          </w:p>
        </w:tc>
        <w:tc>
          <w:tcPr>
            <w:tcW w:w="1465" w:type="dxa"/>
          </w:tcPr>
          <w:p w14:paraId="1D2D4AEA" w14:textId="77777777" w:rsidR="005D2A94" w:rsidRPr="00AD1482"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Pr>
                <w:rFonts w:asciiTheme="minorHAnsi" w:hAnsiTheme="minorHAnsi" w:cstheme="minorHAnsi"/>
                <w:i/>
              </w:rPr>
              <w:t>LeastCost</w:t>
            </w:r>
            <w:r w:rsidRPr="00AD1482">
              <w:rPr>
                <w:rFonts w:asciiTheme="minorHAnsi" w:hAnsiTheme="minorHAnsi" w:cstheme="minorHAnsi"/>
                <w:i/>
              </w:rPr>
              <w:t>-NZ- HighImp</w:t>
            </w:r>
          </w:p>
        </w:tc>
      </w:tr>
      <w:tr w:rsidR="005D2A94" w14:paraId="34DCF1E7" w14:textId="77777777" w:rsidTr="004A40B8">
        <w:tc>
          <w:tcPr>
            <w:cnfStyle w:val="001000000000" w:firstRow="0" w:lastRow="0" w:firstColumn="1" w:lastColumn="0" w:oddVBand="0" w:evenVBand="0" w:oddHBand="0" w:evenHBand="0" w:firstRowFirstColumn="0" w:firstRowLastColumn="0" w:lastRowFirstColumn="0" w:lastRowLastColumn="0"/>
            <w:tcW w:w="1696" w:type="dxa"/>
            <w:tcBorders>
              <w:right w:val="single" w:sz="18" w:space="0" w:color="404040"/>
            </w:tcBorders>
          </w:tcPr>
          <w:p w14:paraId="22EA9BE4" w14:textId="77777777" w:rsidR="005D2A94" w:rsidRPr="00AD1482" w:rsidRDefault="005D2A94" w:rsidP="004A40B8">
            <w:pPr>
              <w:rPr>
                <w:rFonts w:cstheme="minorHAnsi"/>
                <w:b/>
              </w:rPr>
            </w:pPr>
            <w:r w:rsidRPr="00AD1482">
              <w:rPr>
                <w:rFonts w:cstheme="minorHAnsi"/>
                <w:b/>
              </w:rPr>
              <w:t>NoImp</w:t>
            </w:r>
          </w:p>
        </w:tc>
        <w:tc>
          <w:tcPr>
            <w:tcW w:w="1464" w:type="dxa"/>
            <w:tcBorders>
              <w:left w:val="single" w:sz="18" w:space="0" w:color="404040"/>
            </w:tcBorders>
          </w:tcPr>
          <w:p w14:paraId="1D6B3B65"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FosFree-NZ-noImp</w:t>
            </w:r>
          </w:p>
        </w:tc>
        <w:tc>
          <w:tcPr>
            <w:tcW w:w="1465" w:type="dxa"/>
          </w:tcPr>
          <w:p w14:paraId="35D242B2"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p>
        </w:tc>
        <w:tc>
          <w:tcPr>
            <w:tcW w:w="1465" w:type="dxa"/>
          </w:tcPr>
          <w:p w14:paraId="5E55788F"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Intm3-NZ- noImp</w:t>
            </w:r>
          </w:p>
        </w:tc>
        <w:tc>
          <w:tcPr>
            <w:tcW w:w="1465" w:type="dxa"/>
          </w:tcPr>
          <w:p w14:paraId="0FFEF43F"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p>
        </w:tc>
        <w:tc>
          <w:tcPr>
            <w:tcW w:w="1465" w:type="dxa"/>
          </w:tcPr>
          <w:p w14:paraId="42ECD6C0"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sidRPr="00AD1482">
              <w:rPr>
                <w:rFonts w:cstheme="minorHAnsi"/>
                <w:i/>
              </w:rPr>
              <w:t>Intm1-NZ- noImp</w:t>
            </w:r>
          </w:p>
        </w:tc>
        <w:tc>
          <w:tcPr>
            <w:tcW w:w="1465" w:type="dxa"/>
          </w:tcPr>
          <w:p w14:paraId="12F750A1" w14:textId="77777777" w:rsidR="005D2A94" w:rsidRPr="00AD1482"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LeastCost</w:t>
            </w:r>
            <w:r w:rsidRPr="00AD1482">
              <w:rPr>
                <w:rFonts w:cstheme="minorHAnsi"/>
                <w:i/>
              </w:rPr>
              <w:t>-NZ- noImp</w:t>
            </w:r>
          </w:p>
        </w:tc>
      </w:tr>
    </w:tbl>
    <w:p w14:paraId="1B38F45A" w14:textId="77777777" w:rsidR="005D2A94" w:rsidRDefault="005D2A94" w:rsidP="005D2A94">
      <w:pPr>
        <w:pStyle w:val="Caption"/>
      </w:pPr>
      <w:bookmarkStart w:id="0" w:name="_Ref181020938"/>
      <w:r>
        <w:t xml:space="preserve">Ext Data Table </w:t>
      </w:r>
      <w:r>
        <w:fldChar w:fldCharType="begin"/>
      </w:r>
      <w:r>
        <w:instrText xml:space="preserve"> SEQ Ext_Data_Table \* ARABIC </w:instrText>
      </w:r>
      <w:r>
        <w:fldChar w:fldCharType="separate"/>
      </w:r>
      <w:r>
        <w:rPr>
          <w:noProof/>
        </w:rPr>
        <w:t>1</w:t>
      </w:r>
      <w:r>
        <w:fldChar w:fldCharType="end"/>
      </w:r>
      <w:bookmarkEnd w:id="0"/>
      <w:r>
        <w:t xml:space="preserve">: Overview about all EU net-zero scenarios investigated in this study.  There are two main dimensions of scenario assumptions: First, variations of assumptions related to maximum possible CCS deployment and the 2050 land carbon sink in the EU generate net-zero scenarios with different amounts of residual fossil energy use (columns). Second, variations of technology-related assumptions generate the sensitivity scenarios of the HighBio, cheapDAC, expH2, HighImp and noImp categories (rows). For details on the assumptions in the sensitivity scenarios, please refer to </w:t>
      </w:r>
      <w:r>
        <w:fldChar w:fldCharType="begin"/>
      </w:r>
      <w:r>
        <w:instrText xml:space="preserve"> REF _Ref181021034 \h </w:instrText>
      </w:r>
      <w:r>
        <w:fldChar w:fldCharType="separate"/>
      </w:r>
      <w:r>
        <w:t xml:space="preserve">Ext Data Table </w:t>
      </w:r>
      <w:r>
        <w:rPr>
          <w:noProof/>
        </w:rPr>
        <w:t>2</w:t>
      </w:r>
      <w:r>
        <w:fldChar w:fldCharType="end"/>
      </w:r>
      <w:r>
        <w:t>.</w:t>
      </w:r>
    </w:p>
    <w:p w14:paraId="7302D478" w14:textId="77777777" w:rsidR="005D2A94" w:rsidRDefault="005D2A94" w:rsidP="005D2A94"/>
    <w:p w14:paraId="4E9DED23" w14:textId="77777777" w:rsidR="005D2A94" w:rsidRDefault="005D2A94" w:rsidP="005D2A94"/>
    <w:p w14:paraId="1B9F4723" w14:textId="77777777" w:rsidR="005D2A94" w:rsidRDefault="005D2A94" w:rsidP="005D2A94">
      <w:pPr>
        <w:spacing w:after="160" w:line="259" w:lineRule="auto"/>
      </w:pPr>
      <w:r>
        <w:br w:type="page"/>
      </w:r>
    </w:p>
    <w:tbl>
      <w:tblPr>
        <w:tblStyle w:val="PlainTable5"/>
        <w:tblW w:w="0" w:type="auto"/>
        <w:tblLook w:val="04A0" w:firstRow="1" w:lastRow="0" w:firstColumn="1" w:lastColumn="0" w:noHBand="0" w:noVBand="1"/>
      </w:tblPr>
      <w:tblGrid>
        <w:gridCol w:w="1324"/>
        <w:gridCol w:w="1556"/>
        <w:gridCol w:w="2538"/>
        <w:gridCol w:w="2258"/>
        <w:gridCol w:w="2790"/>
      </w:tblGrid>
      <w:tr w:rsidR="005D2A94" w14:paraId="2335E3AC" w14:textId="77777777" w:rsidTr="004A40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4878C103" w14:textId="77777777" w:rsidR="005D2A94" w:rsidRPr="004A264C" w:rsidRDefault="005D2A94" w:rsidP="004A40B8">
            <w:pPr>
              <w:rPr>
                <w:rFonts w:cstheme="minorHAnsi"/>
                <w:b/>
              </w:rPr>
            </w:pPr>
            <w:r w:rsidRPr="004A264C">
              <w:rPr>
                <w:rFonts w:cstheme="minorHAnsi"/>
                <w:b/>
              </w:rPr>
              <w:lastRenderedPageBreak/>
              <w:t xml:space="preserve">Sensitivity </w:t>
            </w:r>
          </w:p>
          <w:p w14:paraId="5B916BE0" w14:textId="77777777" w:rsidR="005D2A94" w:rsidRPr="004A264C" w:rsidRDefault="005D2A94" w:rsidP="004A40B8">
            <w:pPr>
              <w:rPr>
                <w:rFonts w:cstheme="minorHAnsi"/>
                <w:b/>
              </w:rPr>
            </w:pPr>
            <w:r w:rsidRPr="004A264C">
              <w:rPr>
                <w:rFonts w:cstheme="minorHAnsi"/>
                <w:b/>
              </w:rPr>
              <w:t>scenarios</w:t>
            </w:r>
          </w:p>
        </w:tc>
        <w:tc>
          <w:tcPr>
            <w:tcW w:w="1559" w:type="dxa"/>
          </w:tcPr>
          <w:p w14:paraId="74E45DC4" w14:textId="77777777" w:rsidR="005D2A94" w:rsidRPr="004A264C" w:rsidRDefault="005D2A94" w:rsidP="004A40B8">
            <w:pPr>
              <w:cnfStyle w:val="100000000000" w:firstRow="1" w:lastRow="0" w:firstColumn="0" w:lastColumn="0" w:oddVBand="0" w:evenVBand="0" w:oddHBand="0" w:evenHBand="0" w:firstRowFirstColumn="0" w:firstRowLastColumn="0" w:lastRowFirstColumn="0" w:lastRowLastColumn="0"/>
              <w:rPr>
                <w:rFonts w:cstheme="minorHAnsi"/>
                <w:b/>
              </w:rPr>
            </w:pPr>
            <w:r w:rsidRPr="004A264C">
              <w:rPr>
                <w:rFonts w:cstheme="minorHAnsi"/>
                <w:b/>
              </w:rPr>
              <w:t>Parameter</w:t>
            </w:r>
          </w:p>
        </w:tc>
        <w:tc>
          <w:tcPr>
            <w:tcW w:w="2552" w:type="dxa"/>
          </w:tcPr>
          <w:p w14:paraId="77EE2FE5" w14:textId="77777777" w:rsidR="005D2A94" w:rsidRPr="004A264C" w:rsidRDefault="005D2A94" w:rsidP="004A40B8">
            <w:pPr>
              <w:cnfStyle w:val="100000000000" w:firstRow="1" w:lastRow="0" w:firstColumn="0" w:lastColumn="0" w:oddVBand="0" w:evenVBand="0" w:oddHBand="0" w:evenHBand="0" w:firstRowFirstColumn="0" w:firstRowLastColumn="0" w:lastRowFirstColumn="0" w:lastRowLastColumn="0"/>
              <w:rPr>
                <w:rFonts w:cstheme="minorHAnsi"/>
                <w:b/>
              </w:rPr>
            </w:pPr>
            <w:r w:rsidRPr="004A264C">
              <w:rPr>
                <w:rFonts w:cstheme="minorHAnsi"/>
                <w:b/>
              </w:rPr>
              <w:t>Default Assumption</w:t>
            </w:r>
          </w:p>
        </w:tc>
        <w:tc>
          <w:tcPr>
            <w:tcW w:w="2268" w:type="dxa"/>
          </w:tcPr>
          <w:p w14:paraId="07B06299" w14:textId="77777777" w:rsidR="005D2A94" w:rsidRPr="004A264C" w:rsidRDefault="005D2A94" w:rsidP="004A40B8">
            <w:pPr>
              <w:cnfStyle w:val="100000000000" w:firstRow="1" w:lastRow="0" w:firstColumn="0" w:lastColumn="0" w:oddVBand="0" w:evenVBand="0" w:oddHBand="0" w:evenHBand="0" w:firstRowFirstColumn="0" w:firstRowLastColumn="0" w:lastRowFirstColumn="0" w:lastRowLastColumn="0"/>
              <w:rPr>
                <w:b/>
                <w:bCs/>
              </w:rPr>
            </w:pPr>
            <w:r w:rsidRPr="4A189824">
              <w:rPr>
                <w:b/>
                <w:bCs/>
              </w:rPr>
              <w:t>New Assumption in sensitivity scenario</w:t>
            </w:r>
          </w:p>
        </w:tc>
        <w:tc>
          <w:tcPr>
            <w:tcW w:w="2801" w:type="dxa"/>
          </w:tcPr>
          <w:p w14:paraId="14C34B8C" w14:textId="77777777" w:rsidR="005D2A94" w:rsidRPr="004A264C" w:rsidRDefault="005D2A94" w:rsidP="004A40B8">
            <w:pPr>
              <w:cnfStyle w:val="100000000000" w:firstRow="1" w:lastRow="0" w:firstColumn="0" w:lastColumn="0" w:oddVBand="0" w:evenVBand="0" w:oddHBand="0" w:evenHBand="0" w:firstRowFirstColumn="0" w:firstRowLastColumn="0" w:lastRowFirstColumn="0" w:lastRowLastColumn="0"/>
              <w:rPr>
                <w:rFonts w:cstheme="minorHAnsi"/>
                <w:b/>
              </w:rPr>
            </w:pPr>
            <w:r w:rsidRPr="004A264C">
              <w:rPr>
                <w:rFonts w:cstheme="minorHAnsi"/>
                <w:b/>
              </w:rPr>
              <w:t>Description</w:t>
            </w:r>
          </w:p>
        </w:tc>
      </w:tr>
      <w:tr w:rsidR="005D2A94" w14:paraId="2B6CAB9C" w14:textId="77777777" w:rsidTr="004A40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656BFE98" w14:textId="77777777" w:rsidR="005D2A94" w:rsidRPr="004A264C" w:rsidRDefault="005D2A94" w:rsidP="004A40B8">
            <w:pPr>
              <w:rPr>
                <w:rFonts w:asciiTheme="minorHAnsi" w:hAnsiTheme="minorHAnsi" w:cstheme="minorHAnsi"/>
                <w:b/>
              </w:rPr>
            </w:pPr>
            <w:r w:rsidRPr="004A264C">
              <w:rPr>
                <w:rFonts w:asciiTheme="minorHAnsi" w:hAnsiTheme="minorHAnsi" w:cstheme="minorHAnsi"/>
                <w:b/>
              </w:rPr>
              <w:t>HighBio</w:t>
            </w:r>
          </w:p>
        </w:tc>
        <w:tc>
          <w:tcPr>
            <w:tcW w:w="1559" w:type="dxa"/>
          </w:tcPr>
          <w:p w14:paraId="7B130780"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EU bioenergy potential</w:t>
            </w:r>
          </w:p>
        </w:tc>
        <w:tc>
          <w:tcPr>
            <w:tcW w:w="2552" w:type="dxa"/>
          </w:tcPr>
          <w:p w14:paraId="2413A420"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 xml:space="preserve">7.5 EJ/yr primary energy biomass </w:t>
            </w:r>
          </w:p>
        </w:tc>
        <w:tc>
          <w:tcPr>
            <w:tcW w:w="2268" w:type="dxa"/>
          </w:tcPr>
          <w:p w14:paraId="208C2563"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 xml:space="preserve">12.5 EJ/yr primary energy biomass </w:t>
            </w:r>
          </w:p>
        </w:tc>
        <w:tc>
          <w:tcPr>
            <w:tcW w:w="2801" w:type="dxa"/>
          </w:tcPr>
          <w:p w14:paraId="3B82FE90"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 xml:space="preserve">Based on low scenario (default) and reference scenario (HighBio) in Ruiz et al. </w:t>
            </w:r>
            <w:r w:rsidRPr="004A264C">
              <w:rPr>
                <w:rFonts w:cstheme="minorHAnsi"/>
              </w:rPr>
              <w:fldChar w:fldCharType="begin"/>
            </w:r>
            <w:r w:rsidRPr="004A264C">
              <w:rPr>
                <w:rFonts w:asciiTheme="minorHAnsi" w:hAnsiTheme="minorHAnsi" w:cstheme="minorHAnsi"/>
              </w:rPr>
              <w:instrText xml:space="preserve"> ADDIN ZOTERO_ITEM CSL_CITATION {"citationID":"POA2K8Dl","properties":{"formattedCitation":"(2019)","plainCitation":"(2019)","noteIndex":0},"citationItems":[{"id":14044,"uris":["http://zotero.org/groups/52011/items/33ANP257","http://zotero.org/groups/52011/items/GNQ57GDZ"],"itemData":{"id":14044,"type":"article-journal","abstract":"Data on the potential generation of energy from wind, solar and biomass is crucial for analysing their development, as it sets the limits on how much additional capacity it is feasible to install. This paper presents the methodologies used for the development of ENSPRESO, ENergy System Potentials for Renewable Energy SOurces, an EU-28 wide, open dataset for energy models on renewable energy potentials, at national and regional levels for the 2010–2050 period. In ENSPRESO, coherent GIS-based land-restriction scenarios are developed. For wind, resource evaluation also considers setback distances, as well as high resolution geo-spatial wind speed data. For solar, potentials are derived from irradiation data and available area for solar applications. Both wind and solar have separately a potential electricity production which is equivalent to three times the EU's 2016 electricity demand, with wind onshore and solar requiring 16% and 1.4% of total land, respectively. For biomass, agriculture, forestry and waste sectors are considered. Their respective sustainable potentials are equivalent to a minimum 10%, 1.5% and 1% of the total EU primary energy use. ENSPRESO can enrich the results of any energy model (e.g. JRC-EU-TIMES) by improving its analyses of the competition and complementarity of energy technologies.","container-title":"Energy Strategy Reviews","DOI":"10.1016/j.esr.2019.100379","ISSN":"2211467X","journalAbbreviation":"Energy Strategy Reviews","language":"en","page":"100379","source":"DOI.org (Crossref)","title":"ENSPRESO - an open, EU-28 wide, transparent and coherent database of wind, solar and biomass energy potentials","URL":"https://linkinghub.elsevier.com/retrieve/pii/S2211467X19300720","volume":"26","author":[{"family":"Ruiz","given":"P."},{"family":"Nijs","given":"W."},{"family":"Tarvydas","given":"D."},{"family":"Sgobbi","given":"A."},{"family":"Zucker","given":"A."},{"family":"Pilli","given":"R."},{"family":"Jonsson","given":"R."},{"family":"Camia","given":"A."},{"family":"Thiel","given":"C."},{"family":"Hoyer-Klick","given":"C."},{"family":"Dalla Longa","given":"F."},{"family":"Kober","given":"T."},{"family":"Badger","given":"J."},{"family":"Volker","given":"P."},{"family":"Elbersen","given":"B.S."},{"family":"Brosowski","given":"A."},{"family":"Thrän","given":"D."}],"accessed":{"date-parts":[["2019",10,2]]},"issued":{"date-parts":[["2019",11]]}},"label":"page","suppress-author":true}],"schema":"https://github.com/citation-style-language/schema/raw/master/csl-citation.json"} </w:instrText>
            </w:r>
            <w:r w:rsidRPr="004A264C">
              <w:rPr>
                <w:rFonts w:cstheme="minorHAnsi"/>
              </w:rPr>
              <w:fldChar w:fldCharType="separate"/>
            </w:r>
            <w:r w:rsidRPr="004A264C">
              <w:rPr>
                <w:rFonts w:asciiTheme="minorHAnsi" w:hAnsiTheme="minorHAnsi" w:cstheme="minorHAnsi"/>
              </w:rPr>
              <w:t>(2019)</w:t>
            </w:r>
            <w:r w:rsidRPr="004A264C">
              <w:rPr>
                <w:rFonts w:cstheme="minorHAnsi"/>
              </w:rPr>
              <w:fldChar w:fldCharType="end"/>
            </w:r>
            <w:r w:rsidRPr="004A264C">
              <w:rPr>
                <w:rFonts w:asciiTheme="minorHAnsi" w:hAnsiTheme="minorHAnsi" w:cstheme="minorHAnsi"/>
              </w:rPr>
              <w:t>.</w:t>
            </w:r>
          </w:p>
        </w:tc>
      </w:tr>
      <w:tr w:rsidR="005D2A94" w14:paraId="695D5038" w14:textId="77777777" w:rsidTr="004A40B8">
        <w:tc>
          <w:tcPr>
            <w:cnfStyle w:val="001000000000" w:firstRow="0" w:lastRow="0" w:firstColumn="1" w:lastColumn="0" w:oddVBand="0" w:evenVBand="0" w:oddHBand="0" w:evenHBand="0" w:firstRowFirstColumn="0" w:firstRowLastColumn="0" w:lastRowFirstColumn="0" w:lastRowLastColumn="0"/>
            <w:tcW w:w="1276" w:type="dxa"/>
          </w:tcPr>
          <w:p w14:paraId="03005C96" w14:textId="77777777" w:rsidR="005D2A94" w:rsidRPr="004A264C" w:rsidRDefault="005D2A94" w:rsidP="004A40B8">
            <w:pPr>
              <w:rPr>
                <w:rFonts w:cstheme="minorHAnsi"/>
                <w:b/>
              </w:rPr>
            </w:pPr>
            <w:r w:rsidRPr="004A264C">
              <w:rPr>
                <w:rFonts w:cstheme="minorHAnsi"/>
                <w:b/>
              </w:rPr>
              <w:t>CheapDAC</w:t>
            </w:r>
          </w:p>
        </w:tc>
        <w:tc>
          <w:tcPr>
            <w:tcW w:w="1559" w:type="dxa"/>
          </w:tcPr>
          <w:p w14:paraId="3FECA2F6"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DAC learning</w:t>
            </w:r>
          </w:p>
        </w:tc>
        <w:tc>
          <w:tcPr>
            <w:tcW w:w="2552" w:type="dxa"/>
          </w:tcPr>
          <w:p w14:paraId="7434813F"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Learning rate: 15%</w:t>
            </w:r>
          </w:p>
          <w:p w14:paraId="1D4F427A"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p>
          <w:p w14:paraId="04B60E14"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p>
        </w:tc>
        <w:tc>
          <w:tcPr>
            <w:tcW w:w="2268" w:type="dxa"/>
          </w:tcPr>
          <w:p w14:paraId="5746BAE1"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Learning rate: 25%</w:t>
            </w:r>
          </w:p>
          <w:p w14:paraId="4F7C2A9F"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p>
          <w:p w14:paraId="697BEA47"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p>
          <w:p w14:paraId="51D7A1CC"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p>
          <w:p w14:paraId="5867008D"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p>
          <w:p w14:paraId="028CFB37"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p>
        </w:tc>
        <w:tc>
          <w:tcPr>
            <w:tcW w:w="2801" w:type="dxa"/>
          </w:tcPr>
          <w:p w14:paraId="758E2639"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Sensitivity with optimistic DAC cost assumptions. The standard learning rate</w:t>
            </w:r>
            <w:r>
              <w:rPr>
                <w:rFonts w:cstheme="minorHAnsi"/>
              </w:rPr>
              <w:t xml:space="preserve"> of</w:t>
            </w:r>
            <w:r w:rsidRPr="004A264C">
              <w:rPr>
                <w:rFonts w:cstheme="minorHAnsi"/>
              </w:rPr>
              <w:t xml:space="preserve"> 15% </w:t>
            </w:r>
            <w:r>
              <w:rPr>
                <w:rFonts w:cstheme="minorHAnsi"/>
              </w:rPr>
              <w:t xml:space="preserve">also used for renewable technologies </w:t>
            </w:r>
            <w:r w:rsidRPr="004A264C">
              <w:rPr>
                <w:rFonts w:cstheme="minorHAnsi"/>
              </w:rPr>
              <w:t xml:space="preserve">is increased to 25%. </w:t>
            </w:r>
          </w:p>
        </w:tc>
      </w:tr>
      <w:tr w:rsidR="005D2A94" w14:paraId="670F033B" w14:textId="77777777" w:rsidTr="004A40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3BDB5A52" w14:textId="77777777" w:rsidR="005D2A94" w:rsidRPr="004A264C" w:rsidRDefault="005D2A94" w:rsidP="004A40B8">
            <w:pPr>
              <w:rPr>
                <w:rFonts w:asciiTheme="minorHAnsi" w:hAnsiTheme="minorHAnsi" w:cstheme="minorHAnsi"/>
                <w:b/>
              </w:rPr>
            </w:pPr>
          </w:p>
        </w:tc>
        <w:tc>
          <w:tcPr>
            <w:tcW w:w="1559" w:type="dxa"/>
          </w:tcPr>
          <w:p w14:paraId="6924DDCB"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 xml:space="preserve">DAC Energy Demand: </w:t>
            </w:r>
          </w:p>
        </w:tc>
        <w:tc>
          <w:tcPr>
            <w:tcW w:w="2552" w:type="dxa"/>
          </w:tcPr>
          <w:p w14:paraId="465DA510"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5.8 GJ/tCO2 heat, 1.4 GJ/tCO2 electricity</w:t>
            </w:r>
          </w:p>
        </w:tc>
        <w:tc>
          <w:tcPr>
            <w:tcW w:w="2268" w:type="dxa"/>
          </w:tcPr>
          <w:p w14:paraId="11923B5F"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 xml:space="preserve">2.9 GJ/tCO2 heat, 0.7 GJ/tCO2 electricity </w:t>
            </w:r>
          </w:p>
          <w:p w14:paraId="31FC55D9"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(-50% rel. to default)</w:t>
            </w:r>
          </w:p>
          <w:p w14:paraId="3876315C"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2801" w:type="dxa"/>
          </w:tcPr>
          <w:p w14:paraId="295073DC"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 xml:space="preserve">Default DAC energy demand based on Beuttler et al. </w:t>
            </w:r>
            <w:r w:rsidRPr="004A264C">
              <w:rPr>
                <w:rFonts w:cstheme="minorHAnsi"/>
              </w:rPr>
              <w:fldChar w:fldCharType="begin"/>
            </w:r>
            <w:r w:rsidRPr="004A264C">
              <w:rPr>
                <w:rFonts w:asciiTheme="minorHAnsi" w:hAnsiTheme="minorHAnsi" w:cstheme="minorHAnsi"/>
              </w:rPr>
              <w:instrText xml:space="preserve"> ADDIN ZOTERO_ITEM CSL_CITATION {"citationID":"OQrPGkQR","properties":{"formattedCitation":"(2019)","plainCitation":"(2019)","noteIndex":0},"citationItems":[{"id":2235,"uris":["http://zotero.org/groups/52011/items/K4FFX96V"],"itemData":{"id":2235,"type":"article-journal","container-title":"Frontiers in Climate","DOI":"10.3389/fclim.2019.00010","ISSN":"2624-9553","journalAbbreviation":"Front. Clim.","page":"10","source":"DOI.org (Crossref)","title":"The Role of Direct Air Capture in Mitigation of Anthropogenic Greenhouse Gas Emissions","URL":"https://www.frontiersin.org/article/10.3389/fclim.2019.00010/full","volume":"1","author":[{"family":"Beuttler","given":"Christoph"},{"family":"Charles","given":"Louise"},{"family":"Wurzbacher","given":"Jan"}],"accessed":{"date-parts":[["2020",11,16]]},"issued":{"date-parts":[["2019",11,21]]}},"label":"page","suppress-author":true}],"schema":"https://github.com/citation-style-language/schema/raw/master/csl-citation.json"} </w:instrText>
            </w:r>
            <w:r w:rsidRPr="004A264C">
              <w:rPr>
                <w:rFonts w:cstheme="minorHAnsi"/>
              </w:rPr>
              <w:fldChar w:fldCharType="separate"/>
            </w:r>
            <w:r w:rsidRPr="004A264C">
              <w:rPr>
                <w:rFonts w:asciiTheme="minorHAnsi" w:hAnsiTheme="minorHAnsi" w:cstheme="minorHAnsi"/>
              </w:rPr>
              <w:t>(2019)</w:t>
            </w:r>
            <w:r w:rsidRPr="004A264C">
              <w:rPr>
                <w:rFonts w:cstheme="minorHAnsi"/>
              </w:rPr>
              <w:fldChar w:fldCharType="end"/>
            </w:r>
            <w:r w:rsidRPr="004A264C">
              <w:rPr>
                <w:rFonts w:asciiTheme="minorHAnsi" w:hAnsiTheme="minorHAnsi" w:cstheme="minorHAnsi"/>
              </w:rPr>
              <w:t xml:space="preserve"> is halved. </w:t>
            </w:r>
          </w:p>
          <w:p w14:paraId="0E7985CF"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5D2A94" w14:paraId="7E0FFCDA" w14:textId="77777777" w:rsidTr="004A40B8">
        <w:tc>
          <w:tcPr>
            <w:cnfStyle w:val="001000000000" w:firstRow="0" w:lastRow="0" w:firstColumn="1" w:lastColumn="0" w:oddVBand="0" w:evenVBand="0" w:oddHBand="0" w:evenHBand="0" w:firstRowFirstColumn="0" w:firstRowLastColumn="0" w:lastRowFirstColumn="0" w:lastRowLastColumn="0"/>
            <w:tcW w:w="1276" w:type="dxa"/>
          </w:tcPr>
          <w:p w14:paraId="45FBCEA4" w14:textId="77777777" w:rsidR="005D2A94" w:rsidRPr="004A264C" w:rsidRDefault="005D2A94" w:rsidP="004A40B8">
            <w:pPr>
              <w:rPr>
                <w:rFonts w:cstheme="minorHAnsi"/>
                <w:b/>
              </w:rPr>
            </w:pPr>
          </w:p>
        </w:tc>
        <w:tc>
          <w:tcPr>
            <w:tcW w:w="1559" w:type="dxa"/>
          </w:tcPr>
          <w:p w14:paraId="68334C1B"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DAC deployment</w:t>
            </w:r>
          </w:p>
        </w:tc>
        <w:tc>
          <w:tcPr>
            <w:tcW w:w="2552" w:type="dxa"/>
          </w:tcPr>
          <w:p w14:paraId="12FBA28B"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No minimum DAC capacity</w:t>
            </w:r>
          </w:p>
        </w:tc>
        <w:tc>
          <w:tcPr>
            <w:tcW w:w="2268" w:type="dxa"/>
          </w:tcPr>
          <w:p w14:paraId="5A977634"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At least 100 MtCO2/yr global capacity in 2040</w:t>
            </w:r>
          </w:p>
        </w:tc>
        <w:tc>
          <w:tcPr>
            <w:tcW w:w="2801" w:type="dxa"/>
          </w:tcPr>
          <w:p w14:paraId="7F9E7C35"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Force some global DAC deployment to have lower CAPEX in the EU in 2050.</w:t>
            </w:r>
          </w:p>
        </w:tc>
      </w:tr>
      <w:tr w:rsidR="005D2A94" w14:paraId="3E4F1E23" w14:textId="77777777" w:rsidTr="004A40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46644449" w14:textId="77777777" w:rsidR="005D2A94" w:rsidRPr="004A264C" w:rsidRDefault="005D2A94" w:rsidP="004A40B8">
            <w:pPr>
              <w:rPr>
                <w:rFonts w:asciiTheme="minorHAnsi" w:hAnsiTheme="minorHAnsi" w:cstheme="minorHAnsi"/>
                <w:b/>
              </w:rPr>
            </w:pPr>
            <w:r w:rsidRPr="004A264C">
              <w:rPr>
                <w:rFonts w:asciiTheme="minorHAnsi" w:hAnsiTheme="minorHAnsi" w:cstheme="minorHAnsi"/>
                <w:b/>
              </w:rPr>
              <w:t>ExpH2</w:t>
            </w:r>
          </w:p>
          <w:p w14:paraId="0F9C7F90" w14:textId="77777777" w:rsidR="005D2A94" w:rsidRPr="004A264C" w:rsidRDefault="005D2A94" w:rsidP="004A40B8">
            <w:pPr>
              <w:rPr>
                <w:rFonts w:asciiTheme="minorHAnsi" w:hAnsiTheme="minorHAnsi" w:cstheme="minorHAnsi"/>
                <w:b/>
              </w:rPr>
            </w:pPr>
          </w:p>
        </w:tc>
        <w:tc>
          <w:tcPr>
            <w:tcW w:w="1559" w:type="dxa"/>
          </w:tcPr>
          <w:p w14:paraId="01D65F07"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Electrolysis floor costs</w:t>
            </w:r>
          </w:p>
        </w:tc>
        <w:tc>
          <w:tcPr>
            <w:tcW w:w="2552" w:type="dxa"/>
          </w:tcPr>
          <w:p w14:paraId="18084D5D"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100 €/kW(el)</w:t>
            </w:r>
          </w:p>
        </w:tc>
        <w:tc>
          <w:tcPr>
            <w:tcW w:w="2268" w:type="dxa"/>
          </w:tcPr>
          <w:p w14:paraId="118C96A6"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300 €/kW(el)</w:t>
            </w:r>
          </w:p>
        </w:tc>
        <w:tc>
          <w:tcPr>
            <w:tcW w:w="2801" w:type="dxa"/>
          </w:tcPr>
          <w:p w14:paraId="597C08B6"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Increase floor cost of electrolysis learning parameterization.</w:t>
            </w:r>
          </w:p>
          <w:p w14:paraId="066726FB"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5D2A94" w14:paraId="4D5075D1" w14:textId="77777777" w:rsidTr="004A40B8">
        <w:tc>
          <w:tcPr>
            <w:cnfStyle w:val="001000000000" w:firstRow="0" w:lastRow="0" w:firstColumn="1" w:lastColumn="0" w:oddVBand="0" w:evenVBand="0" w:oddHBand="0" w:evenHBand="0" w:firstRowFirstColumn="0" w:firstRowLastColumn="0" w:lastRowFirstColumn="0" w:lastRowLastColumn="0"/>
            <w:tcW w:w="1276" w:type="dxa"/>
          </w:tcPr>
          <w:p w14:paraId="7C43EBF8" w14:textId="77777777" w:rsidR="005D2A94" w:rsidRPr="004A264C" w:rsidRDefault="005D2A94" w:rsidP="004A40B8">
            <w:pPr>
              <w:rPr>
                <w:rFonts w:cstheme="minorHAnsi"/>
                <w:b/>
              </w:rPr>
            </w:pPr>
          </w:p>
        </w:tc>
        <w:tc>
          <w:tcPr>
            <w:tcW w:w="1559" w:type="dxa"/>
          </w:tcPr>
          <w:p w14:paraId="54C07F54"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Electrolysis electricity price</w:t>
            </w:r>
          </w:p>
        </w:tc>
        <w:tc>
          <w:tcPr>
            <w:tcW w:w="2552" w:type="dxa"/>
          </w:tcPr>
          <w:p w14:paraId="77E1ABA1"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20-35 €/MWh(el)</w:t>
            </w:r>
          </w:p>
        </w:tc>
        <w:tc>
          <w:tcPr>
            <w:tcW w:w="2268" w:type="dxa"/>
          </w:tcPr>
          <w:p w14:paraId="278231D5"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30-50 €/MWh(el)</w:t>
            </w:r>
          </w:p>
        </w:tc>
        <w:tc>
          <w:tcPr>
            <w:tcW w:w="2801" w:type="dxa"/>
          </w:tcPr>
          <w:p w14:paraId="48BE730C"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 xml:space="preserve">To capture uncertainty about electricity prices. Note: The price is endogenous. Ranges are indicative. The parameter we vary is the slope of the price duration curve. </w:t>
            </w:r>
          </w:p>
        </w:tc>
      </w:tr>
      <w:tr w:rsidR="005D2A94" w14:paraId="297EDDE2" w14:textId="77777777" w:rsidTr="004A40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22C4A054" w14:textId="77777777" w:rsidR="005D2A94" w:rsidRPr="004A264C" w:rsidRDefault="005D2A94" w:rsidP="004A40B8">
            <w:pPr>
              <w:rPr>
                <w:rFonts w:asciiTheme="minorHAnsi" w:hAnsiTheme="minorHAnsi" w:cstheme="minorHAnsi"/>
                <w:b/>
              </w:rPr>
            </w:pPr>
            <w:r w:rsidRPr="004A264C">
              <w:rPr>
                <w:rFonts w:asciiTheme="minorHAnsi" w:hAnsiTheme="minorHAnsi" w:cstheme="minorHAnsi"/>
                <w:b/>
              </w:rPr>
              <w:t>HighImp</w:t>
            </w:r>
          </w:p>
        </w:tc>
        <w:tc>
          <w:tcPr>
            <w:tcW w:w="1559" w:type="dxa"/>
          </w:tcPr>
          <w:p w14:paraId="6C478257"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E-fuel Imports</w:t>
            </w:r>
          </w:p>
        </w:tc>
        <w:tc>
          <w:tcPr>
            <w:tcW w:w="2552" w:type="dxa"/>
          </w:tcPr>
          <w:p w14:paraId="0E603CEB"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50% of e-liquids demand is always imported</w:t>
            </w:r>
          </w:p>
        </w:tc>
        <w:tc>
          <w:tcPr>
            <w:tcW w:w="2268" w:type="dxa"/>
          </w:tcPr>
          <w:p w14:paraId="1D0DB9D9"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E-liquids and e-gas can be imported at fix price of 150 EUR/MWh in 2050 to EU</w:t>
            </w:r>
          </w:p>
        </w:tc>
        <w:tc>
          <w:tcPr>
            <w:tcW w:w="2801" w:type="dxa"/>
          </w:tcPr>
          <w:p w14:paraId="329F6F55" w14:textId="77777777" w:rsidR="005D2A94" w:rsidRPr="004A264C" w:rsidRDefault="005D2A94" w:rsidP="004A40B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4A264C">
              <w:rPr>
                <w:rFonts w:asciiTheme="minorHAnsi" w:hAnsiTheme="minorHAnsi" w:cstheme="minorHAnsi"/>
              </w:rPr>
              <w:t xml:space="preserve">Sensitivity with abundant imports at fixed price at a level indicated by Hampp et al. </w:t>
            </w:r>
            <w:r w:rsidRPr="004A264C">
              <w:rPr>
                <w:rFonts w:cstheme="minorHAnsi"/>
              </w:rPr>
              <w:fldChar w:fldCharType="begin"/>
            </w:r>
            <w:r w:rsidRPr="004A264C">
              <w:rPr>
                <w:rFonts w:asciiTheme="minorHAnsi" w:hAnsiTheme="minorHAnsi" w:cstheme="minorHAnsi"/>
              </w:rPr>
              <w:instrText xml:space="preserve"> ADDIN ZOTERO_ITEM CSL_CITATION {"citationID":"h7aRsm6o","properties":{"formattedCitation":"(2023)","plainCitation":"(2023)","noteIndex":0},"citationItems":[{"id":1039,"uris":["http://zotero.org/groups/52011/items/FGZTAWK3"],"itemData":{"id":1039,"type":"article-journal","abstract":"Import and export of fossil energy carriers are cornerstones of energy systems world-wide. If energy systems are to become climate neutral and sustainable, fossil carriers need to be substituted with carbon neutral alternatives or electrified if possible. We investigate synthetic chemical energy carriers, hydrogen, methane, methanol, ammonia and Fischer-Tropsch fuels, produced using electricity from Renewable Energy Source (RES) as fossil substitutes. RES potentials are obtained from GIS-analysis and hourly resolved time-series are derived using reanalysis weather data. We model the sourcing of feedstock chemicals, synthesis and transport along nine different Energy Supply Chains to Germany and compare import options for seven locations around the world against each other and with domestically sourced alternatives on the basis of their respective cost per unit of hydrogen and energy delivered. We find that for each type of chemical energy carrier, there is an import option with lower costs compared to domestic production in Germany. No single exporting country or energy carrier has a unique cost advantage, since for each energy carrier and country there are cost-competitive alternatives. This allows exporter and infrastructure decisions to be made based on other criteria than energy and cost. The lowest cost means for importing of energy and hydrogen are by hydrogen pipeline from Denmark, Spain and Western Asia and Northern Africa starting at 36 EUR/MWh\n              LHV\n              to 42 EUR/MWh\n              LHV\n              or 1.0 EUR/kg\n              H2\n              to 1.3 EUR/kg\n              H2\n              (in 2050, assuming 5% p.a. capital cost). For complex energy carriers derived from hydrogen like methane, ammonia, methanol or Fischer-Tropsch fuels, imports from Argentina by ship to Germany are lower cost than closer exporters in the European Union or Western Asia and Northern Africa. For meeting hydrogen demand, direct hydrogen imports are more attractive than indirect routes using methane, methanol or ammonia imports and subsequent decomposition to hydrogen because of high capital investment costs and energetic losses of the indirect routes. We make our model and data available under open licenses for adaptation and reuse.","container-title":"PLOS ONE","DOI":"10.1371/journal.pone.0281380","ISSN":"1932-6203","issue":"2","journalAbbreviation":"PLoS ONE","language":"en","page":"e0262340","source":"DOI.org (Crossref)","title":"Import options for chemical energy carriers from renewable sources to Germany","URL":"https://dx.plos.org/10.1371/journal.pone.0281380","volume":"18","author":[{"family":"Hampp","given":"Johannes"},{"family":"Düren","given":"Michael"},{"family":"Brown","given":"Tom"}],"editor":[{"family":"Trinidad Segovia","given":"J E."}],"accessed":{"date-parts":[["2023",3,2]]},"issued":{"date-parts":[["2023",2,9]]}},"label":"page","suppress-author":true}],"schema":"https://github.com/citation-style-language/schema/raw/master/csl-citation.json"} </w:instrText>
            </w:r>
            <w:r w:rsidRPr="004A264C">
              <w:rPr>
                <w:rFonts w:cstheme="minorHAnsi"/>
              </w:rPr>
              <w:fldChar w:fldCharType="separate"/>
            </w:r>
            <w:r w:rsidRPr="004A264C">
              <w:rPr>
                <w:rFonts w:asciiTheme="minorHAnsi" w:hAnsiTheme="minorHAnsi" w:cstheme="minorHAnsi"/>
              </w:rPr>
              <w:t>(2023)</w:t>
            </w:r>
            <w:r w:rsidRPr="004A264C">
              <w:rPr>
                <w:rFonts w:cstheme="minorHAnsi"/>
              </w:rPr>
              <w:fldChar w:fldCharType="end"/>
            </w:r>
            <w:r w:rsidRPr="004A264C">
              <w:rPr>
                <w:rFonts w:asciiTheme="minorHAnsi" w:hAnsiTheme="minorHAnsi" w:cstheme="minorHAnsi"/>
              </w:rPr>
              <w:t xml:space="preserve">, Pfennig et al. </w:t>
            </w:r>
            <w:r w:rsidRPr="004A264C">
              <w:rPr>
                <w:rFonts w:cstheme="minorHAnsi"/>
              </w:rPr>
              <w:fldChar w:fldCharType="begin"/>
            </w:r>
            <w:r w:rsidRPr="004A264C">
              <w:rPr>
                <w:rFonts w:asciiTheme="minorHAnsi" w:hAnsiTheme="minorHAnsi" w:cstheme="minorHAnsi"/>
              </w:rPr>
              <w:instrText xml:space="preserve"> ADDIN ZOTERO_ITEM CSL_CITATION {"citationID":"8SePjLr2","properties":{"formattedCitation":"(2023)","plainCitation":"(2023)","noteIndex":0},"citationItems":[{"id":64940,"uris":["http://zotero.org/groups/52011/items/GN4SCILX"],"itemData":{"id":64940,"type":"article-journal","container-title":"Applied Energy","DOI":"10.1016/j.apenergy.2023.121289","ISSN":"03062619","journalAbbreviation":"Applied Energy","language":"en","page":"121289","source":"DOI.org (Crossref)","title":"Global GIS-based potential analysis and cost assessment of Power-to-X fuels in 2050","URL":"https://linkinghub.elsevier.com/retrieve/pii/S0306261923006530","volume":"347","author":[{"family":"Pfennig","given":"Maximilian"},{"family":"Böttger","given":"Diana"},{"family":"Häckner","given":"Benedikt"},{"family":"Geiger","given":"David"},{"family":"Zink","given":"Christoph"},{"family":"Bisevic","given":"André"},{"family":"Jansen","given":"Lukas"}],"accessed":{"date-parts":[["2024",10,9]]},"issued":{"date-parts":[["2023",10]]}},"label":"page","suppress-author":true}],"schema":"https://github.com/citation-style-language/schema/raw/master/csl-citation.json"} </w:instrText>
            </w:r>
            <w:r w:rsidRPr="004A264C">
              <w:rPr>
                <w:rFonts w:cstheme="minorHAnsi"/>
              </w:rPr>
              <w:fldChar w:fldCharType="separate"/>
            </w:r>
            <w:r w:rsidRPr="004A264C">
              <w:rPr>
                <w:rFonts w:asciiTheme="minorHAnsi" w:hAnsiTheme="minorHAnsi" w:cstheme="minorHAnsi"/>
              </w:rPr>
              <w:t>(2023)</w:t>
            </w:r>
            <w:r w:rsidRPr="004A264C">
              <w:rPr>
                <w:rFonts w:cstheme="minorHAnsi"/>
              </w:rPr>
              <w:fldChar w:fldCharType="end"/>
            </w:r>
          </w:p>
        </w:tc>
      </w:tr>
      <w:tr w:rsidR="005D2A94" w14:paraId="1D8EF205" w14:textId="77777777" w:rsidTr="004A40B8">
        <w:tc>
          <w:tcPr>
            <w:cnfStyle w:val="001000000000" w:firstRow="0" w:lastRow="0" w:firstColumn="1" w:lastColumn="0" w:oddVBand="0" w:evenVBand="0" w:oddHBand="0" w:evenHBand="0" w:firstRowFirstColumn="0" w:firstRowLastColumn="0" w:lastRowFirstColumn="0" w:lastRowLastColumn="0"/>
            <w:tcW w:w="1276" w:type="dxa"/>
          </w:tcPr>
          <w:p w14:paraId="0312DDF4" w14:textId="77777777" w:rsidR="005D2A94" w:rsidRPr="004A264C" w:rsidRDefault="005D2A94" w:rsidP="004A40B8">
            <w:pPr>
              <w:rPr>
                <w:rFonts w:cstheme="minorHAnsi"/>
                <w:b/>
              </w:rPr>
            </w:pPr>
            <w:r w:rsidRPr="004A264C">
              <w:rPr>
                <w:rFonts w:cstheme="minorHAnsi"/>
                <w:b/>
              </w:rPr>
              <w:t>NoImp</w:t>
            </w:r>
          </w:p>
        </w:tc>
        <w:tc>
          <w:tcPr>
            <w:tcW w:w="1559" w:type="dxa"/>
          </w:tcPr>
          <w:p w14:paraId="05D98B9F"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E-fuel Imports</w:t>
            </w:r>
          </w:p>
        </w:tc>
        <w:tc>
          <w:tcPr>
            <w:tcW w:w="2552" w:type="dxa"/>
          </w:tcPr>
          <w:p w14:paraId="05CE0C2A"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50% of e-liquids demand is always imported</w:t>
            </w:r>
          </w:p>
        </w:tc>
        <w:tc>
          <w:tcPr>
            <w:tcW w:w="2268" w:type="dxa"/>
          </w:tcPr>
          <w:p w14:paraId="4CB5509C" w14:textId="77777777" w:rsidR="005D2A94" w:rsidRPr="004A264C" w:rsidRDefault="005D2A94" w:rsidP="004A40B8">
            <w:pPr>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No e-liquids or e-gas imports</w:t>
            </w:r>
          </w:p>
        </w:tc>
        <w:tc>
          <w:tcPr>
            <w:tcW w:w="2801" w:type="dxa"/>
          </w:tcPr>
          <w:p w14:paraId="62E24571" w14:textId="77777777" w:rsidR="005D2A94" w:rsidRPr="004A264C" w:rsidRDefault="005D2A94" w:rsidP="004A40B8">
            <w:pPr>
              <w:keepNext/>
              <w:cnfStyle w:val="000000000000" w:firstRow="0" w:lastRow="0" w:firstColumn="0" w:lastColumn="0" w:oddVBand="0" w:evenVBand="0" w:oddHBand="0" w:evenHBand="0" w:firstRowFirstColumn="0" w:firstRowLastColumn="0" w:lastRowFirstColumn="0" w:lastRowLastColumn="0"/>
              <w:rPr>
                <w:rFonts w:cstheme="minorHAnsi"/>
              </w:rPr>
            </w:pPr>
            <w:r w:rsidRPr="004A264C">
              <w:rPr>
                <w:rFonts w:cstheme="minorHAnsi"/>
              </w:rPr>
              <w:t xml:space="preserve">Sensitivity without e-fuel imports. </w:t>
            </w:r>
          </w:p>
        </w:tc>
      </w:tr>
    </w:tbl>
    <w:p w14:paraId="0FE767DC" w14:textId="77777777" w:rsidR="005D2A94" w:rsidRPr="000F343B" w:rsidRDefault="005D2A94" w:rsidP="005D2A94">
      <w:pPr>
        <w:pStyle w:val="Caption"/>
      </w:pPr>
      <w:bookmarkStart w:id="1" w:name="_Ref181021034"/>
      <w:r>
        <w:t xml:space="preserve">Ext Data Table </w:t>
      </w:r>
      <w:r>
        <w:fldChar w:fldCharType="begin"/>
      </w:r>
      <w:r>
        <w:instrText xml:space="preserve"> SEQ Ext_Data_Table \* ARABIC </w:instrText>
      </w:r>
      <w:r>
        <w:fldChar w:fldCharType="separate"/>
      </w:r>
      <w:r>
        <w:rPr>
          <w:noProof/>
        </w:rPr>
        <w:t>2</w:t>
      </w:r>
      <w:r>
        <w:fldChar w:fldCharType="end"/>
      </w:r>
      <w:bookmarkEnd w:id="1"/>
      <w:r>
        <w:t xml:space="preserve">: Sensitivity scenarios and their assumptions. Default assumptions refer to the parameters used for all standard scenarios (see </w:t>
      </w:r>
      <w:r>
        <w:fldChar w:fldCharType="begin"/>
      </w:r>
      <w:r>
        <w:instrText xml:space="preserve"> REF _Ref181020938 \h </w:instrText>
      </w:r>
      <w:r>
        <w:fldChar w:fldCharType="separate"/>
      </w:r>
      <w:r>
        <w:t xml:space="preserve">Ext Data Table </w:t>
      </w:r>
      <w:r>
        <w:rPr>
          <w:noProof/>
        </w:rPr>
        <w:t>1</w:t>
      </w:r>
      <w:r>
        <w:fldChar w:fldCharType="end"/>
      </w:r>
      <w:r>
        <w:t xml:space="preserve">). New assumptions refer to the parameters used for the respective category of sensitivity scenarios (first column). </w:t>
      </w:r>
    </w:p>
    <w:p w14:paraId="3B8825AF" w14:textId="77777777" w:rsidR="005D2A94" w:rsidRDefault="005D2A94" w:rsidP="005D2A94">
      <w:pPr>
        <w:pStyle w:val="Caption"/>
      </w:pPr>
    </w:p>
    <w:p w14:paraId="711A7E57" w14:textId="77777777" w:rsidR="005D2A94" w:rsidRPr="000F343B" w:rsidRDefault="005D2A94" w:rsidP="005D2A94"/>
    <w:p w14:paraId="206DD2A8" w14:textId="77777777" w:rsidR="005D2A94" w:rsidRDefault="005D2A94" w:rsidP="005D2A94">
      <w:pPr>
        <w:pStyle w:val="Caption"/>
      </w:pPr>
    </w:p>
    <w:p w14:paraId="30374508" w14:textId="77777777" w:rsidR="005D2A94" w:rsidRPr="00307A6C" w:rsidRDefault="005D2A94" w:rsidP="005D2A94">
      <w:pPr>
        <w:pStyle w:val="Caption"/>
      </w:pPr>
    </w:p>
    <w:p w14:paraId="5360211E" w14:textId="77777777" w:rsidR="005D2A94" w:rsidRDefault="005D2A94" w:rsidP="005D2A94"/>
    <w:p w14:paraId="29E3543E" w14:textId="77777777" w:rsidR="005D2A94" w:rsidRDefault="005D2A94" w:rsidP="005D2A94"/>
    <w:p w14:paraId="112387EC" w14:textId="77777777" w:rsidR="005D2A94" w:rsidRDefault="005D2A94" w:rsidP="005D2A94">
      <w:pPr>
        <w:keepNext/>
      </w:pPr>
      <w:r>
        <w:rPr>
          <w:noProof/>
        </w:rPr>
        <w:drawing>
          <wp:inline distT="0" distB="0" distL="0" distR="0" wp14:anchorId="580DC5E1" wp14:editId="5F3C0D1A">
            <wp:extent cx="6645910" cy="4984433"/>
            <wp:effectExtent l="0" t="0" r="2540" b="6985"/>
            <wp:docPr id="19" name="Picture 19"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graph of different colored bars&#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645910" cy="4984433"/>
                    </a:xfrm>
                    <a:prstGeom prst="rect">
                      <a:avLst/>
                    </a:prstGeom>
                    <a:noFill/>
                    <a:ln>
                      <a:noFill/>
                    </a:ln>
                  </pic:spPr>
                </pic:pic>
              </a:graphicData>
            </a:graphic>
          </wp:inline>
        </w:drawing>
      </w:r>
    </w:p>
    <w:p w14:paraId="1B222175" w14:textId="77777777" w:rsidR="005D2A94" w:rsidRDefault="005D2A94" w:rsidP="005D2A94">
      <w:pPr>
        <w:pStyle w:val="Caption"/>
      </w:pPr>
      <w:bookmarkStart w:id="2" w:name="_Ref180503191"/>
      <w:r>
        <w:t xml:space="preserve">Ext Data Fig </w:t>
      </w:r>
      <w:r>
        <w:fldChar w:fldCharType="begin"/>
      </w:r>
      <w:r>
        <w:instrText xml:space="preserve"> SEQ Ext_Data_Fig \* ARABIC </w:instrText>
      </w:r>
      <w:r>
        <w:fldChar w:fldCharType="separate"/>
      </w:r>
      <w:r>
        <w:rPr>
          <w:noProof/>
        </w:rPr>
        <w:t>1</w:t>
      </w:r>
      <w:r>
        <w:fldChar w:fldCharType="end"/>
      </w:r>
      <w:bookmarkEnd w:id="2"/>
      <w:r>
        <w:t xml:space="preserve">: Evolution of final energy mix in the EU up to 2050 in the FosFree-NZ and LeastCost-NZ scenarios. </w:t>
      </w:r>
    </w:p>
    <w:p w14:paraId="076A4C3D" w14:textId="77777777" w:rsidR="005D2A94" w:rsidRPr="00F3267E" w:rsidRDefault="005D2A94" w:rsidP="005D2A94"/>
    <w:p w14:paraId="13FB859F" w14:textId="77777777" w:rsidR="005D2A94" w:rsidRDefault="005D2A94" w:rsidP="005D2A94">
      <w:pPr>
        <w:spacing w:after="160" w:line="259" w:lineRule="auto"/>
      </w:pPr>
    </w:p>
    <w:p w14:paraId="3341E6D9" w14:textId="77777777" w:rsidR="005D2A94" w:rsidRDefault="005D2A94" w:rsidP="005D2A94">
      <w:pPr>
        <w:spacing w:after="160" w:line="259" w:lineRule="auto"/>
      </w:pPr>
      <w:r>
        <w:rPr>
          <w:noProof/>
        </w:rPr>
        <w:lastRenderedPageBreak/>
        <w:drawing>
          <wp:inline distT="0" distB="0" distL="0" distR="0" wp14:anchorId="315225B5" wp14:editId="066802B2">
            <wp:extent cx="6645910" cy="4984433"/>
            <wp:effectExtent l="0" t="0" r="2540"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45910" cy="4984433"/>
                    </a:xfrm>
                    <a:prstGeom prst="rect">
                      <a:avLst/>
                    </a:prstGeom>
                    <a:noFill/>
                    <a:ln>
                      <a:noFill/>
                    </a:ln>
                  </pic:spPr>
                </pic:pic>
              </a:graphicData>
            </a:graphic>
          </wp:inline>
        </w:drawing>
      </w:r>
    </w:p>
    <w:p w14:paraId="0241F49E" w14:textId="77777777" w:rsidR="005D2A94" w:rsidRDefault="005D2A94" w:rsidP="005D2A94">
      <w:pPr>
        <w:pStyle w:val="Caption"/>
      </w:pPr>
      <w:bookmarkStart w:id="3" w:name="_Ref180505362"/>
      <w:r>
        <w:t xml:space="preserve">Ext Data Fig </w:t>
      </w:r>
      <w:r>
        <w:fldChar w:fldCharType="begin"/>
      </w:r>
      <w:r>
        <w:instrText xml:space="preserve"> SEQ Ext_Data_Fig \* ARABIC </w:instrText>
      </w:r>
      <w:r>
        <w:fldChar w:fldCharType="separate"/>
      </w:r>
      <w:r>
        <w:rPr>
          <w:noProof/>
        </w:rPr>
        <w:t>2</w:t>
      </w:r>
      <w:r>
        <w:fldChar w:fldCharType="end"/>
      </w:r>
      <w:bookmarkEnd w:id="3"/>
      <w:r>
        <w:t xml:space="preserve">: Evolution of electricity generation across technologies (positive bars) and electricity demand across sectors (negative bars) in the EU for the FosFree-NZ and the LeastCost-NZ scenario. </w:t>
      </w:r>
    </w:p>
    <w:p w14:paraId="37520673" w14:textId="77777777" w:rsidR="005D2A94" w:rsidRDefault="005D2A94" w:rsidP="005D2A94"/>
    <w:p w14:paraId="60CE3455" w14:textId="77777777" w:rsidR="005D2A94" w:rsidRPr="00BC294E" w:rsidRDefault="005D2A94" w:rsidP="005D2A94"/>
    <w:p w14:paraId="61BA8774" w14:textId="77777777" w:rsidR="005D2A94" w:rsidRDefault="005D2A94" w:rsidP="005D2A94">
      <w:pPr>
        <w:spacing w:after="160" w:line="259" w:lineRule="auto"/>
      </w:pPr>
      <w:r>
        <w:br w:type="page"/>
      </w:r>
    </w:p>
    <w:p w14:paraId="4BEB6088" w14:textId="77777777" w:rsidR="005D2A94" w:rsidRDefault="005D2A94" w:rsidP="005D2A94"/>
    <w:p w14:paraId="1FE310C2" w14:textId="77777777" w:rsidR="005D2A94" w:rsidRDefault="005D2A94" w:rsidP="005D2A94">
      <w:pPr>
        <w:keepNext/>
      </w:pPr>
      <w:r>
        <w:rPr>
          <w:noProof/>
        </w:rPr>
        <w:drawing>
          <wp:inline distT="0" distB="0" distL="0" distR="0" wp14:anchorId="618BD998" wp14:editId="18761DF5">
            <wp:extent cx="6645910" cy="4984433"/>
            <wp:effectExtent l="0" t="0" r="2540" b="6985"/>
            <wp:docPr id="22" name="Picture 22"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graph of different colored bars&#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5910" cy="4984433"/>
                    </a:xfrm>
                    <a:prstGeom prst="rect">
                      <a:avLst/>
                    </a:prstGeom>
                    <a:noFill/>
                    <a:ln>
                      <a:noFill/>
                    </a:ln>
                  </pic:spPr>
                </pic:pic>
              </a:graphicData>
            </a:graphic>
          </wp:inline>
        </w:drawing>
      </w:r>
    </w:p>
    <w:p w14:paraId="6506A3AA" w14:textId="77777777" w:rsidR="005D2A94" w:rsidRDefault="005D2A94" w:rsidP="005D2A94">
      <w:pPr>
        <w:pStyle w:val="Caption"/>
      </w:pPr>
      <w:bookmarkStart w:id="4" w:name="_Ref180503867"/>
      <w:r>
        <w:t xml:space="preserve">Ext Data Fig </w:t>
      </w:r>
      <w:r>
        <w:fldChar w:fldCharType="begin"/>
      </w:r>
      <w:r>
        <w:instrText xml:space="preserve"> SEQ Ext_Data_Fig \* ARABIC </w:instrText>
      </w:r>
      <w:r>
        <w:fldChar w:fldCharType="separate"/>
      </w:r>
      <w:r>
        <w:rPr>
          <w:noProof/>
        </w:rPr>
        <w:t>3</w:t>
      </w:r>
      <w:r>
        <w:fldChar w:fldCharType="end"/>
      </w:r>
      <w:bookmarkEnd w:id="4"/>
      <w:r>
        <w:t xml:space="preserve">: </w:t>
      </w:r>
      <w:r w:rsidRPr="0082491B">
        <w:t>Fossil energy s</w:t>
      </w:r>
      <w:r>
        <w:t xml:space="preserve">upply across energy carriers (positive bars) and fossil energy demand across sectors (negative bars) in the EU in the FosFree-NZ and LeastCost-NZ scenario. </w:t>
      </w:r>
    </w:p>
    <w:p w14:paraId="4AC18BA5" w14:textId="77777777" w:rsidR="005D2A94" w:rsidRDefault="005D2A94" w:rsidP="005D2A94"/>
    <w:p w14:paraId="7E171F71" w14:textId="77777777" w:rsidR="005D2A94" w:rsidRDefault="005D2A94" w:rsidP="005D2A94">
      <w:pPr>
        <w:keepNext/>
      </w:pPr>
      <w:r>
        <w:rPr>
          <w:noProof/>
        </w:rPr>
        <w:lastRenderedPageBreak/>
        <w:drawing>
          <wp:inline distT="0" distB="0" distL="0" distR="0" wp14:anchorId="032A329A" wp14:editId="0525DC03">
            <wp:extent cx="5398770" cy="539877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8770" cy="5398770"/>
                    </a:xfrm>
                    <a:prstGeom prst="rect">
                      <a:avLst/>
                    </a:prstGeom>
                    <a:noFill/>
                    <a:ln>
                      <a:noFill/>
                    </a:ln>
                  </pic:spPr>
                </pic:pic>
              </a:graphicData>
            </a:graphic>
          </wp:inline>
        </w:drawing>
      </w:r>
    </w:p>
    <w:p w14:paraId="581E1E79" w14:textId="77777777" w:rsidR="005D2A94" w:rsidRPr="00C36EE1" w:rsidRDefault="005D2A94" w:rsidP="005D2A94">
      <w:pPr>
        <w:pStyle w:val="Caption"/>
      </w:pPr>
      <w:bookmarkStart w:id="5" w:name="_Ref183009645"/>
      <w:r>
        <w:t xml:space="preserve">Ext Data Fig </w:t>
      </w:r>
      <w:r>
        <w:fldChar w:fldCharType="begin"/>
      </w:r>
      <w:r>
        <w:instrText xml:space="preserve"> SEQ Ext_Data_Fig \* ARABIC </w:instrText>
      </w:r>
      <w:r>
        <w:fldChar w:fldCharType="separate"/>
      </w:r>
      <w:r>
        <w:rPr>
          <w:noProof/>
        </w:rPr>
        <w:t>4</w:t>
      </w:r>
      <w:r>
        <w:fldChar w:fldCharType="end"/>
      </w:r>
      <w:bookmarkEnd w:id="5"/>
      <w:r>
        <w:t xml:space="preserve">: Final energy hydrocarbons across sectors and scenarios in the EU in 2050. </w:t>
      </w:r>
      <w:r w:rsidRPr="000C6180">
        <w:rPr>
          <w:b w:val="0"/>
        </w:rPr>
        <w:t xml:space="preserve">Next to the two net-zero scenarios </w:t>
      </w:r>
      <w:r>
        <w:rPr>
          <w:b w:val="0"/>
        </w:rPr>
        <w:t>LeastCost</w:t>
      </w:r>
      <w:r w:rsidRPr="000C6180">
        <w:rPr>
          <w:b w:val="0"/>
        </w:rPr>
        <w:t xml:space="preserve">-NZ and FosFree-NZ, the Weak Policy is shown for 2050, which represents a scenario with a continued low co2 price  (see section </w:t>
      </w:r>
      <w:r w:rsidRPr="000C6180">
        <w:rPr>
          <w:b w:val="0"/>
        </w:rPr>
        <w:fldChar w:fldCharType="begin"/>
      </w:r>
      <w:r w:rsidRPr="000C6180">
        <w:rPr>
          <w:b w:val="0"/>
        </w:rPr>
        <w:instrText xml:space="preserve"> REF _Ref180508884 \h </w:instrText>
      </w:r>
      <w:r>
        <w:rPr>
          <w:b w:val="0"/>
        </w:rPr>
        <w:instrText xml:space="preserve"> \* MERGEFORMAT </w:instrText>
      </w:r>
      <w:r w:rsidRPr="000C6180">
        <w:rPr>
          <w:b w:val="0"/>
        </w:rPr>
      </w:r>
      <w:r w:rsidRPr="000C6180">
        <w:rPr>
          <w:b w:val="0"/>
        </w:rPr>
        <w:fldChar w:fldCharType="separate"/>
      </w:r>
      <w:r w:rsidRPr="00A46D03">
        <w:rPr>
          <w:b w:val="0"/>
        </w:rPr>
        <w:t>M5 Weak Policy Scenario and Calculation of Consumption Losses</w:t>
      </w:r>
      <w:r w:rsidRPr="000C6180">
        <w:rPr>
          <w:b w:val="0"/>
        </w:rPr>
        <w:fldChar w:fldCharType="end"/>
      </w:r>
      <w:r w:rsidRPr="000C6180">
        <w:rPr>
          <w:b w:val="0"/>
        </w:rPr>
        <w:t xml:space="preserve"> for details). </w:t>
      </w:r>
    </w:p>
    <w:p w14:paraId="1683DB81" w14:textId="77777777" w:rsidR="005D2A94" w:rsidRDefault="005D2A94" w:rsidP="005D2A94"/>
    <w:p w14:paraId="5B88ABA5" w14:textId="77777777" w:rsidR="005D2A94" w:rsidRDefault="005D2A94" w:rsidP="005D2A94"/>
    <w:p w14:paraId="252DB33B" w14:textId="77777777" w:rsidR="005D2A94" w:rsidRDefault="005D2A94" w:rsidP="005D2A94">
      <w:pPr>
        <w:spacing w:after="160" w:line="259" w:lineRule="auto"/>
      </w:pPr>
      <w:r>
        <w:br w:type="page"/>
      </w:r>
    </w:p>
    <w:p w14:paraId="6541B38D" w14:textId="77777777" w:rsidR="005D2A94" w:rsidRPr="00BC294E" w:rsidRDefault="005D2A94" w:rsidP="005D2A94"/>
    <w:p w14:paraId="24920F40" w14:textId="77777777" w:rsidR="005D2A94" w:rsidRDefault="005D2A94" w:rsidP="005D2A94">
      <w:pPr>
        <w:keepNext/>
        <w:spacing w:after="160" w:line="259" w:lineRule="auto"/>
      </w:pPr>
      <w:r>
        <w:rPr>
          <w:noProof/>
        </w:rPr>
        <w:drawing>
          <wp:inline distT="0" distB="0" distL="0" distR="0" wp14:anchorId="360DE0CB" wp14:editId="535BD5CC">
            <wp:extent cx="6645910" cy="4984433"/>
            <wp:effectExtent l="0" t="0" r="2540" b="6985"/>
            <wp:docPr id="25" name="Picture 25" descr="A graph with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graph with different colored bar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4984433"/>
                    </a:xfrm>
                    <a:prstGeom prst="rect">
                      <a:avLst/>
                    </a:prstGeom>
                    <a:noFill/>
                    <a:ln>
                      <a:noFill/>
                    </a:ln>
                  </pic:spPr>
                </pic:pic>
              </a:graphicData>
            </a:graphic>
          </wp:inline>
        </w:drawing>
      </w:r>
    </w:p>
    <w:p w14:paraId="125FDABA" w14:textId="77777777" w:rsidR="005D2A94" w:rsidRDefault="005D2A94" w:rsidP="005D2A94">
      <w:pPr>
        <w:pStyle w:val="Caption"/>
      </w:pPr>
      <w:bookmarkStart w:id="6" w:name="_Ref180506410"/>
      <w:r>
        <w:t xml:space="preserve">Ext Data Fig </w:t>
      </w:r>
      <w:r>
        <w:fldChar w:fldCharType="begin"/>
      </w:r>
      <w:r>
        <w:instrText xml:space="preserve"> SEQ Ext_Data_Fig \* ARABIC </w:instrText>
      </w:r>
      <w:r>
        <w:fldChar w:fldCharType="separate"/>
      </w:r>
      <w:r>
        <w:rPr>
          <w:noProof/>
        </w:rPr>
        <w:t>5</w:t>
      </w:r>
      <w:r>
        <w:fldChar w:fldCharType="end"/>
      </w:r>
      <w:bookmarkEnd w:id="6"/>
      <w:r>
        <w:t>: Evolution of hydrogen production across technologies (positive bars) and hydrogen demand across sectors (negative bars) in the EU in the FosFree-NZ and LeastCost-NZ scenario.</w:t>
      </w:r>
    </w:p>
    <w:p w14:paraId="0256C832" w14:textId="77777777" w:rsidR="005D2A94" w:rsidRDefault="005D2A94" w:rsidP="005D2A94"/>
    <w:p w14:paraId="564AE999" w14:textId="77777777" w:rsidR="005D2A94" w:rsidRDefault="005D2A94" w:rsidP="005D2A94"/>
    <w:p w14:paraId="12F07EB5" w14:textId="77777777" w:rsidR="005D2A94" w:rsidRDefault="005D2A94" w:rsidP="005D2A94">
      <w:pPr>
        <w:spacing w:after="160" w:line="259" w:lineRule="auto"/>
      </w:pPr>
      <w:r>
        <w:br w:type="page"/>
      </w:r>
    </w:p>
    <w:p w14:paraId="2F39B45B" w14:textId="77777777" w:rsidR="005D2A94" w:rsidRDefault="005D2A94" w:rsidP="005D2A94">
      <w:pPr>
        <w:keepNext/>
      </w:pPr>
      <w:r>
        <w:rPr>
          <w:noProof/>
        </w:rPr>
        <w:lastRenderedPageBreak/>
        <w:drawing>
          <wp:inline distT="0" distB="0" distL="0" distR="0" wp14:anchorId="312DB164" wp14:editId="093863DD">
            <wp:extent cx="6645910" cy="6645910"/>
            <wp:effectExtent l="0" t="0" r="2540" b="25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45910" cy="6645910"/>
                    </a:xfrm>
                    <a:prstGeom prst="rect">
                      <a:avLst/>
                    </a:prstGeom>
                    <a:noFill/>
                    <a:ln>
                      <a:noFill/>
                    </a:ln>
                  </pic:spPr>
                </pic:pic>
              </a:graphicData>
            </a:graphic>
          </wp:inline>
        </w:drawing>
      </w:r>
    </w:p>
    <w:p w14:paraId="53C8CF4A" w14:textId="77777777" w:rsidR="005D2A94" w:rsidRDefault="005D2A94" w:rsidP="005D2A94">
      <w:pPr>
        <w:pStyle w:val="Caption"/>
      </w:pPr>
      <w:bookmarkStart w:id="7" w:name="_Ref180506429"/>
      <w:r>
        <w:t xml:space="preserve">Ext Data Fig </w:t>
      </w:r>
      <w:r>
        <w:fldChar w:fldCharType="begin"/>
      </w:r>
      <w:r>
        <w:instrText xml:space="preserve"> SEQ Ext_Data_Fig \* ARABIC </w:instrText>
      </w:r>
      <w:r>
        <w:fldChar w:fldCharType="separate"/>
      </w:r>
      <w:r>
        <w:rPr>
          <w:noProof/>
        </w:rPr>
        <w:t>6</w:t>
      </w:r>
      <w:r>
        <w:fldChar w:fldCharType="end"/>
      </w:r>
      <w:bookmarkEnd w:id="7"/>
      <w:r>
        <w:t xml:space="preserve">: Sources (positive bars) and sinks (negative bars of captured carbon) in the EU. </w:t>
      </w:r>
      <w:r w:rsidRPr="00F47159">
        <w:rPr>
          <w:b w:val="0"/>
        </w:rPr>
        <w:t xml:space="preserve">A) Evolution of captured carbon flows in the FosFree-NZ and the </w:t>
      </w:r>
      <w:r>
        <w:rPr>
          <w:b w:val="0"/>
        </w:rPr>
        <w:t>LeastCost</w:t>
      </w:r>
      <w:r w:rsidRPr="00F47159">
        <w:rPr>
          <w:b w:val="0"/>
        </w:rPr>
        <w:t xml:space="preserve">-NZ scenario up to 2050. B) As in A) but only for 2050 and across all net-zero scenarios including sensitivity scenarios. Note that in </w:t>
      </w:r>
      <w:r w:rsidRPr="00F47159">
        <w:rPr>
          <w:b w:val="0"/>
          <w:i/>
        </w:rPr>
        <w:t>cheapDAC</w:t>
      </w:r>
      <w:r w:rsidRPr="00F47159">
        <w:rPr>
          <w:b w:val="0"/>
        </w:rPr>
        <w:t xml:space="preserve"> scenarios some deployment of direct air capture (cyan) is forced. In the FosFree-NZ-cheapDAC scenario, for instance, direct air capture is only deployed up to the forced amount and such that this deployment is not an outcome of the optimization.</w:t>
      </w:r>
      <w:r>
        <w:t xml:space="preserve"> </w:t>
      </w:r>
    </w:p>
    <w:p w14:paraId="59C5279E" w14:textId="77777777" w:rsidR="005D2A94" w:rsidRDefault="005D2A94" w:rsidP="005D2A94"/>
    <w:p w14:paraId="7B8DBB27" w14:textId="77777777" w:rsidR="005D2A94" w:rsidRDefault="005D2A94" w:rsidP="005D2A94"/>
    <w:p w14:paraId="0751B072" w14:textId="77777777" w:rsidR="005D2A94" w:rsidRDefault="005D2A94" w:rsidP="005D2A94">
      <w:pPr>
        <w:spacing w:after="160" w:line="259" w:lineRule="auto"/>
      </w:pPr>
      <w:r>
        <w:br w:type="page"/>
      </w:r>
    </w:p>
    <w:p w14:paraId="63EAC0D5" w14:textId="77777777" w:rsidR="005D2A94" w:rsidRDefault="005D2A94" w:rsidP="005D2A94"/>
    <w:p w14:paraId="3FF486CB" w14:textId="77777777" w:rsidR="005D2A94" w:rsidRDefault="005D2A94" w:rsidP="005D2A94">
      <w:pPr>
        <w:keepNext/>
      </w:pPr>
      <w:r>
        <w:rPr>
          <w:noProof/>
        </w:rPr>
        <w:drawing>
          <wp:inline distT="0" distB="0" distL="0" distR="0" wp14:anchorId="7D83DA29" wp14:editId="5213720A">
            <wp:extent cx="6645910" cy="4984433"/>
            <wp:effectExtent l="0" t="0" r="2540" b="6985"/>
            <wp:docPr id="27" name="Picture 27"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graph of different colored bar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5910" cy="4984433"/>
                    </a:xfrm>
                    <a:prstGeom prst="rect">
                      <a:avLst/>
                    </a:prstGeom>
                    <a:noFill/>
                    <a:ln>
                      <a:noFill/>
                    </a:ln>
                  </pic:spPr>
                </pic:pic>
              </a:graphicData>
            </a:graphic>
          </wp:inline>
        </w:drawing>
      </w:r>
    </w:p>
    <w:p w14:paraId="22E3E44D" w14:textId="77777777" w:rsidR="005D2A94" w:rsidRDefault="005D2A94" w:rsidP="005D2A94">
      <w:pPr>
        <w:pStyle w:val="Caption"/>
      </w:pPr>
      <w:bookmarkStart w:id="8" w:name="_Ref180503004"/>
      <w:r>
        <w:t xml:space="preserve">Ext Data Fig </w:t>
      </w:r>
      <w:r>
        <w:fldChar w:fldCharType="begin"/>
      </w:r>
      <w:r>
        <w:instrText xml:space="preserve"> SEQ Ext_Data_Fig \* ARABIC </w:instrText>
      </w:r>
      <w:r>
        <w:fldChar w:fldCharType="separate"/>
      </w:r>
      <w:r>
        <w:rPr>
          <w:noProof/>
        </w:rPr>
        <w:t>7</w:t>
      </w:r>
      <w:r>
        <w:fldChar w:fldCharType="end"/>
      </w:r>
      <w:bookmarkEnd w:id="8"/>
      <w:r>
        <w:t xml:space="preserve">: Evolution of total GHG emissions in the EU across sectors up to 2050 in the FosFree-NZ and LeastCost-NZ scenarios. </w:t>
      </w:r>
    </w:p>
    <w:p w14:paraId="1BBA2D8D" w14:textId="77777777" w:rsidR="005D2A94" w:rsidRDefault="005D2A94" w:rsidP="005D2A94"/>
    <w:p w14:paraId="507229F4" w14:textId="77777777" w:rsidR="005D2A94" w:rsidRDefault="005D2A94" w:rsidP="005D2A94"/>
    <w:p w14:paraId="46C0442A" w14:textId="77777777" w:rsidR="005D2A94" w:rsidRDefault="005D2A94" w:rsidP="005D2A94">
      <w:pPr>
        <w:spacing w:after="160" w:line="259" w:lineRule="auto"/>
        <w:rPr>
          <w:rFonts w:asciiTheme="majorHAnsi" w:eastAsia="Arial" w:hAnsiTheme="majorHAnsi" w:cstheme="majorHAnsi"/>
          <w:b/>
          <w:sz w:val="28"/>
        </w:rPr>
      </w:pPr>
      <w:r>
        <w:br w:type="page"/>
      </w:r>
    </w:p>
    <w:p w14:paraId="5903E6E2" w14:textId="77777777" w:rsidR="005D2A94" w:rsidRDefault="005D2A94" w:rsidP="005D2A94">
      <w:pPr>
        <w:pStyle w:val="Heading2"/>
      </w:pPr>
      <w:r w:rsidRPr="00DB5468">
        <w:lastRenderedPageBreak/>
        <w:t>Supplementary Information</w:t>
      </w:r>
    </w:p>
    <w:p w14:paraId="05BD4DF6" w14:textId="77777777" w:rsidR="005D2A94" w:rsidRPr="003868BE" w:rsidRDefault="005D2A94" w:rsidP="005D2A94"/>
    <w:p w14:paraId="4A649262" w14:textId="77777777" w:rsidR="005D2A94" w:rsidRDefault="005D2A94" w:rsidP="005D2A94">
      <w:pPr>
        <w:keepNext/>
      </w:pPr>
      <w:r>
        <w:rPr>
          <w:noProof/>
        </w:rPr>
        <w:drawing>
          <wp:inline distT="0" distB="0" distL="0" distR="0" wp14:anchorId="524BD3CB" wp14:editId="5293BFF8">
            <wp:extent cx="6645910" cy="4984433"/>
            <wp:effectExtent l="0" t="0" r="2540" b="6985"/>
            <wp:docPr id="31" name="Picture 31" descr="A chart of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chart of different color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45910" cy="4984433"/>
                    </a:xfrm>
                    <a:prstGeom prst="rect">
                      <a:avLst/>
                    </a:prstGeom>
                    <a:noFill/>
                    <a:ln>
                      <a:noFill/>
                    </a:ln>
                  </pic:spPr>
                </pic:pic>
              </a:graphicData>
            </a:graphic>
          </wp:inline>
        </w:drawing>
      </w:r>
    </w:p>
    <w:p w14:paraId="0F50A667" w14:textId="77777777" w:rsidR="005D2A94" w:rsidRDefault="005D2A94" w:rsidP="005D2A94">
      <w:pPr>
        <w:pStyle w:val="Caption"/>
      </w:pPr>
      <w:bookmarkStart w:id="9" w:name="_Ref183003894"/>
      <w:r>
        <w:t xml:space="preserve">SI Figure </w:t>
      </w:r>
      <w:r>
        <w:fldChar w:fldCharType="begin"/>
      </w:r>
      <w:r>
        <w:instrText xml:space="preserve"> SEQ SI_Figure \* ARABIC </w:instrText>
      </w:r>
      <w:r>
        <w:fldChar w:fldCharType="separate"/>
      </w:r>
      <w:r>
        <w:rPr>
          <w:noProof/>
        </w:rPr>
        <w:t>1</w:t>
      </w:r>
      <w:r>
        <w:fldChar w:fldCharType="end"/>
      </w:r>
      <w:bookmarkEnd w:id="9"/>
      <w:r>
        <w:t xml:space="preserve">: Biomass supply (positive bars) and biomass demand across energy carriers (negative bars) in 2050 in the EU for the standard scenarios. </w:t>
      </w:r>
      <w:r w:rsidRPr="00B6235E">
        <w:rPr>
          <w:b w:val="0"/>
        </w:rPr>
        <w:t>Biomass demand for solids, liquids and gases represents bioenergy used in the energy demand sectors (buildings, industry, transport), while biomass for electricity, heat and hydrogen represents bioenergy used in the energy supply sectors.</w:t>
      </w:r>
    </w:p>
    <w:p w14:paraId="240C6701" w14:textId="77777777" w:rsidR="005D2A94" w:rsidRDefault="005D2A94" w:rsidP="005D2A94">
      <w:pPr>
        <w:pStyle w:val="Caption"/>
      </w:pPr>
    </w:p>
    <w:p w14:paraId="0AD863F0" w14:textId="77777777" w:rsidR="005D2A94" w:rsidRDefault="005D2A94" w:rsidP="005D2A94">
      <w:pPr>
        <w:pStyle w:val="Caption"/>
      </w:pPr>
    </w:p>
    <w:p w14:paraId="2A7EA81C" w14:textId="77777777" w:rsidR="005D2A94" w:rsidRDefault="005D2A94" w:rsidP="005D2A94"/>
    <w:p w14:paraId="5803FD4E" w14:textId="77777777" w:rsidR="005D2A94" w:rsidRPr="004B6638" w:rsidRDefault="005D2A94" w:rsidP="005D2A94"/>
    <w:p w14:paraId="2C198FF3" w14:textId="77777777" w:rsidR="005D2A94" w:rsidRDefault="005D2A94" w:rsidP="005D2A94">
      <w:pPr>
        <w:keepNext/>
      </w:pPr>
      <w:r>
        <w:rPr>
          <w:noProof/>
        </w:rPr>
        <w:lastRenderedPageBreak/>
        <w:drawing>
          <wp:inline distT="0" distB="0" distL="0" distR="0" wp14:anchorId="6ADC2E80" wp14:editId="1BF0C802">
            <wp:extent cx="6645910" cy="3987546"/>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645910" cy="3987546"/>
                    </a:xfrm>
                    <a:prstGeom prst="rect">
                      <a:avLst/>
                    </a:prstGeom>
                    <a:noFill/>
                    <a:ln>
                      <a:noFill/>
                    </a:ln>
                  </pic:spPr>
                </pic:pic>
              </a:graphicData>
            </a:graphic>
          </wp:inline>
        </w:drawing>
      </w:r>
    </w:p>
    <w:p w14:paraId="6BB4255B" w14:textId="77777777" w:rsidR="005D2A94" w:rsidRDefault="005D2A94" w:rsidP="005D2A94">
      <w:pPr>
        <w:pStyle w:val="Caption"/>
      </w:pPr>
      <w:bookmarkStart w:id="10" w:name="_Ref181022683"/>
      <w:r>
        <w:t xml:space="preserve">SI Figure </w:t>
      </w:r>
      <w:r>
        <w:fldChar w:fldCharType="begin"/>
      </w:r>
      <w:r>
        <w:instrText xml:space="preserve"> SEQ SI_Figure \* ARABIC </w:instrText>
      </w:r>
      <w:r>
        <w:fldChar w:fldCharType="separate"/>
      </w:r>
      <w:r>
        <w:rPr>
          <w:noProof/>
        </w:rPr>
        <w:t>2</w:t>
      </w:r>
      <w:r>
        <w:fldChar w:fldCharType="end"/>
      </w:r>
      <w:bookmarkEnd w:id="10"/>
      <w:r>
        <w:t xml:space="preserve">: </w:t>
      </w:r>
      <w:r w:rsidRPr="00B6235E">
        <w:t>Marginal abatement cost and fuel-switching CO2 prices across sensitivity scenarios.</w:t>
      </w:r>
      <w:r>
        <w:t xml:space="preserve"> </w:t>
      </w:r>
      <w:r w:rsidRPr="00B6235E">
        <w:rPr>
          <w:b w:val="0"/>
        </w:rPr>
        <w:t xml:space="preserve">Marginal abatement cost by 2050 in the EU on the y-axis against fossil fuel carbon consumption on the x-axis across all net-zero scenarios including sensitivities (solid lines) and corresponding fuel-switching CO2 prices for replacing fossil liquid fuels by e-fuels derived from shadow prices of the model (dotted lines). For the calculation of fuel-switching CO2 prices see section </w:t>
      </w:r>
      <w:r w:rsidRPr="00B6235E">
        <w:rPr>
          <w:b w:val="0"/>
        </w:rPr>
        <w:fldChar w:fldCharType="begin"/>
      </w:r>
      <w:r w:rsidRPr="00B6235E">
        <w:rPr>
          <w:b w:val="0"/>
        </w:rPr>
        <w:instrText xml:space="preserve"> REF _Ref180508004 \h </w:instrText>
      </w:r>
      <w:r>
        <w:rPr>
          <w:b w:val="0"/>
        </w:rPr>
        <w:instrText xml:space="preserve"> \* MERGEFORMAT </w:instrText>
      </w:r>
      <w:r w:rsidRPr="00B6235E">
        <w:rPr>
          <w:b w:val="0"/>
        </w:rPr>
      </w:r>
      <w:r w:rsidRPr="00B6235E">
        <w:rPr>
          <w:b w:val="0"/>
        </w:rPr>
        <w:fldChar w:fldCharType="separate"/>
      </w:r>
      <w:r w:rsidRPr="00A46D03">
        <w:rPr>
          <w:b w:val="0"/>
        </w:rPr>
        <w:t>M4. Calculation of Fuel-switching CO2 Price</w:t>
      </w:r>
      <w:r w:rsidRPr="00B6235E">
        <w:rPr>
          <w:b w:val="0"/>
        </w:rPr>
        <w:fldChar w:fldCharType="end"/>
      </w:r>
      <w:r w:rsidRPr="00B6235E">
        <w:rPr>
          <w:b w:val="0"/>
        </w:rPr>
        <w:t>.</w:t>
      </w:r>
      <w:r>
        <w:t xml:space="preserve"> </w:t>
      </w:r>
    </w:p>
    <w:p w14:paraId="790A0A38" w14:textId="77777777" w:rsidR="005D2A94" w:rsidRDefault="005D2A94" w:rsidP="005D2A94">
      <w:pPr>
        <w:pStyle w:val="Caption"/>
      </w:pPr>
    </w:p>
    <w:p w14:paraId="1136F16B" w14:textId="77777777" w:rsidR="005D2A94" w:rsidRDefault="005D2A94" w:rsidP="005D2A94"/>
    <w:p w14:paraId="03D85F14" w14:textId="77777777" w:rsidR="005D2A94" w:rsidRDefault="005D2A94" w:rsidP="005D2A94">
      <w:pPr>
        <w:spacing w:after="160" w:line="259" w:lineRule="auto"/>
      </w:pPr>
      <w:r>
        <w:br w:type="page"/>
      </w:r>
    </w:p>
    <w:p w14:paraId="1EC44780" w14:textId="77777777" w:rsidR="005D2A94" w:rsidRDefault="005D2A94" w:rsidP="005D2A94">
      <w:pPr>
        <w:keepNext/>
      </w:pPr>
      <w:r>
        <w:rPr>
          <w:noProof/>
        </w:rPr>
        <w:lastRenderedPageBreak/>
        <w:drawing>
          <wp:inline distT="0" distB="0" distL="0" distR="0" wp14:anchorId="7F35B097" wp14:editId="65E9BA0F">
            <wp:extent cx="6645910" cy="4984433"/>
            <wp:effectExtent l="0" t="0" r="2540" b="698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645910" cy="4984433"/>
                    </a:xfrm>
                    <a:prstGeom prst="rect">
                      <a:avLst/>
                    </a:prstGeom>
                    <a:noFill/>
                    <a:ln>
                      <a:noFill/>
                    </a:ln>
                  </pic:spPr>
                </pic:pic>
              </a:graphicData>
            </a:graphic>
          </wp:inline>
        </w:drawing>
      </w:r>
    </w:p>
    <w:p w14:paraId="6AF7CD0B" w14:textId="77777777" w:rsidR="005D2A94" w:rsidRPr="00B6235E" w:rsidRDefault="005D2A94" w:rsidP="005D2A94">
      <w:pPr>
        <w:pStyle w:val="Caption"/>
        <w:rPr>
          <w:b w:val="0"/>
        </w:rPr>
      </w:pPr>
      <w:bookmarkStart w:id="11" w:name="_Ref181022696"/>
      <w:r>
        <w:t xml:space="preserve">SI Figure </w:t>
      </w:r>
      <w:r>
        <w:fldChar w:fldCharType="begin"/>
      </w:r>
      <w:r>
        <w:instrText xml:space="preserve"> SEQ SI_Figure \* ARABIC </w:instrText>
      </w:r>
      <w:r>
        <w:fldChar w:fldCharType="separate"/>
      </w:r>
      <w:r>
        <w:rPr>
          <w:noProof/>
        </w:rPr>
        <w:t>3</w:t>
      </w:r>
      <w:r>
        <w:fldChar w:fldCharType="end"/>
      </w:r>
      <w:bookmarkEnd w:id="11"/>
      <w:r>
        <w:t xml:space="preserve">: Producer prices of fossil liquids and liquid e-fuels in the EU in 2050 across standard scenarios. </w:t>
      </w:r>
      <w:r>
        <w:rPr>
          <w:b w:val="0"/>
        </w:rPr>
        <w:t xml:space="preserve">The plot </w:t>
      </w:r>
      <w:r w:rsidRPr="00B6235E">
        <w:rPr>
          <w:b w:val="0"/>
        </w:rPr>
        <w:t xml:space="preserve">2050 regional-average secondary energy price (producer level, i.e. before transport and taxes) of fossil liquid fuels (grey line) and liquid e-fuels (purple) in the EU against fossil fuel carbon consumption in 2050 for the standard scenarios. Only regions with more than 1 TWh/yr of fossil liquids demand were included in the averaging as model prices are not reliable for very low quantities. </w:t>
      </w:r>
    </w:p>
    <w:p w14:paraId="3F820D24" w14:textId="77777777" w:rsidR="005D2A94" w:rsidRDefault="005D2A94" w:rsidP="005D2A94"/>
    <w:p w14:paraId="7B3EF883" w14:textId="77777777" w:rsidR="005D2A94" w:rsidRPr="00774D57" w:rsidRDefault="005D2A94" w:rsidP="005D2A94"/>
    <w:p w14:paraId="39D0C302" w14:textId="77777777" w:rsidR="005D2A94" w:rsidRDefault="005D2A94" w:rsidP="005D2A94"/>
    <w:p w14:paraId="18D602AA" w14:textId="77777777" w:rsidR="005D2A94" w:rsidRDefault="005D2A94" w:rsidP="005D2A94">
      <w:pPr>
        <w:spacing w:after="160" w:line="259" w:lineRule="auto"/>
      </w:pPr>
      <w:r>
        <w:br w:type="page"/>
      </w:r>
    </w:p>
    <w:p w14:paraId="6530EC8D" w14:textId="77777777" w:rsidR="005D2A94" w:rsidRDefault="005D2A94" w:rsidP="005D2A94">
      <w:pPr>
        <w:keepNext/>
      </w:pPr>
      <w:r>
        <w:rPr>
          <w:noProof/>
        </w:rPr>
        <w:lastRenderedPageBreak/>
        <w:drawing>
          <wp:inline distT="0" distB="0" distL="0" distR="0" wp14:anchorId="15BE559C" wp14:editId="6E3E44FE">
            <wp:extent cx="6645910" cy="4984433"/>
            <wp:effectExtent l="0" t="0" r="2540" b="698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45910" cy="4984433"/>
                    </a:xfrm>
                    <a:prstGeom prst="rect">
                      <a:avLst/>
                    </a:prstGeom>
                    <a:noFill/>
                    <a:ln>
                      <a:noFill/>
                    </a:ln>
                  </pic:spPr>
                </pic:pic>
              </a:graphicData>
            </a:graphic>
          </wp:inline>
        </w:drawing>
      </w:r>
    </w:p>
    <w:p w14:paraId="20EFD14A" w14:textId="77777777" w:rsidR="005D2A94" w:rsidRPr="00BD20D5" w:rsidRDefault="005D2A94" w:rsidP="005D2A94">
      <w:pPr>
        <w:pStyle w:val="Caption"/>
      </w:pPr>
      <w:bookmarkStart w:id="12" w:name="_Ref181022713"/>
      <w:r>
        <w:t xml:space="preserve">SI Figure </w:t>
      </w:r>
      <w:r>
        <w:fldChar w:fldCharType="begin"/>
      </w:r>
      <w:r>
        <w:instrText xml:space="preserve"> SEQ SI_Figure \* ARABIC </w:instrText>
      </w:r>
      <w:r>
        <w:fldChar w:fldCharType="separate"/>
      </w:r>
      <w:r>
        <w:rPr>
          <w:noProof/>
        </w:rPr>
        <w:t>4</w:t>
      </w:r>
      <w:r>
        <w:fldChar w:fldCharType="end"/>
      </w:r>
      <w:bookmarkEnd w:id="12"/>
      <w:r>
        <w:t xml:space="preserve">: Consumer prices of selected energy carriers in the EU across standard scenarios up to 2050. </w:t>
      </w:r>
      <w:r w:rsidRPr="00032511">
        <w:rPr>
          <w:b w:val="0"/>
        </w:rPr>
        <w:t xml:space="preserve">The plot shows regional-averaged final energy prices (i.e. including transmission and distribution as well as taxes) in the EU for electricity, gases, liquid fuels and hydrogen in the end-use sectors (buildings, industry, transport) in the Weak Policy, FosFree-NZ and </w:t>
      </w:r>
      <w:r>
        <w:rPr>
          <w:b w:val="0"/>
        </w:rPr>
        <w:t>LeastCost</w:t>
      </w:r>
      <w:r w:rsidRPr="00032511">
        <w:rPr>
          <w:b w:val="0"/>
        </w:rPr>
        <w:t xml:space="preserve">-NZ scenario. The Weak Policy scenario represents a scenario with low ambition of EU climate policy shown as of before the regulation of the European Green Deal that fails to reach European climate targets for 2030 and 2050 (see also section </w:t>
      </w:r>
      <w:r w:rsidRPr="00032511">
        <w:rPr>
          <w:b w:val="0"/>
        </w:rPr>
        <w:fldChar w:fldCharType="begin"/>
      </w:r>
      <w:r w:rsidRPr="00032511">
        <w:rPr>
          <w:b w:val="0"/>
        </w:rPr>
        <w:instrText xml:space="preserve"> REF _Ref180508884 \h </w:instrText>
      </w:r>
      <w:r>
        <w:rPr>
          <w:b w:val="0"/>
        </w:rPr>
        <w:instrText xml:space="preserve"> \* MERGEFORMAT </w:instrText>
      </w:r>
      <w:r w:rsidRPr="00032511">
        <w:rPr>
          <w:b w:val="0"/>
        </w:rPr>
      </w:r>
      <w:r w:rsidRPr="00032511">
        <w:rPr>
          <w:b w:val="0"/>
        </w:rPr>
        <w:fldChar w:fldCharType="separate"/>
      </w:r>
      <w:r w:rsidRPr="00A46D03">
        <w:rPr>
          <w:b w:val="0"/>
        </w:rPr>
        <w:t>M5 Weak Policy Scenario and Calculation of Consumption Losses</w:t>
      </w:r>
      <w:r w:rsidRPr="00032511">
        <w:rPr>
          <w:b w:val="0"/>
        </w:rPr>
        <w:fldChar w:fldCharType="end"/>
      </w:r>
      <w:r w:rsidRPr="00032511">
        <w:rPr>
          <w:b w:val="0"/>
        </w:rPr>
        <w:t>).</w:t>
      </w:r>
      <w:r>
        <w:t xml:space="preserve"> </w:t>
      </w:r>
    </w:p>
    <w:p w14:paraId="2B3CC539" w14:textId="77777777" w:rsidR="005D2A94" w:rsidRPr="004601A4" w:rsidRDefault="005D2A94" w:rsidP="005D2A94">
      <w:pPr>
        <w:pStyle w:val="Caption"/>
      </w:pPr>
    </w:p>
    <w:p w14:paraId="5566DE2B" w14:textId="77777777" w:rsidR="005D2A94" w:rsidRDefault="005D2A94" w:rsidP="005D2A94">
      <w:pPr>
        <w:pStyle w:val="Caption"/>
      </w:pPr>
    </w:p>
    <w:p w14:paraId="6665F5E1" w14:textId="77777777" w:rsidR="005D2A94" w:rsidRPr="00BA15E0" w:rsidRDefault="005D2A94" w:rsidP="005D2A94"/>
    <w:p w14:paraId="7096A5E8" w14:textId="77777777" w:rsidR="005D2A94" w:rsidRPr="00DB5468" w:rsidRDefault="005D2A94" w:rsidP="005D2A94"/>
    <w:p w14:paraId="5E67A812" w14:textId="77777777" w:rsidR="005D2A94" w:rsidRDefault="005D2A94" w:rsidP="005D2A94"/>
    <w:p w14:paraId="49A79EDE" w14:textId="77777777" w:rsidR="005D2A94" w:rsidRDefault="005D2A94" w:rsidP="005D2A94"/>
    <w:p w14:paraId="3E868CCE" w14:textId="77777777" w:rsidR="005D2A94" w:rsidRDefault="005D2A94" w:rsidP="005D2A94"/>
    <w:p w14:paraId="4AD492BA" w14:textId="77777777" w:rsidR="005D2A94" w:rsidRPr="00516408" w:rsidRDefault="005D2A94" w:rsidP="005D2A94"/>
    <w:p w14:paraId="39DB5D3C" w14:textId="77777777" w:rsidR="00755780" w:rsidRDefault="00755780"/>
    <w:sectPr w:rsidR="00755780" w:rsidSect="005D2A94">
      <w:headerReference w:type="default" r:id="rId15"/>
      <w:footerReference w:type="default" r:id="rId16"/>
      <w:pgSz w:w="11906" w:h="16838"/>
      <w:pgMar w:top="720" w:right="720" w:bottom="720" w:left="720" w:header="0" w:footer="288"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3677407"/>
      <w:docPartObj>
        <w:docPartGallery w:val="Page Numbers (Bottom of Page)"/>
        <w:docPartUnique/>
      </w:docPartObj>
    </w:sdtPr>
    <w:sdtEndPr>
      <w:rPr>
        <w:noProof/>
      </w:rPr>
    </w:sdtEndPr>
    <w:sdtContent>
      <w:p w14:paraId="5A5F6072"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803EB5B"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485"/>
      <w:gridCol w:w="3485"/>
      <w:gridCol w:w="3485"/>
    </w:tblGrid>
    <w:tr w:rsidR="00947B11" w14:paraId="2DE732E0" w14:textId="77777777" w:rsidTr="00007E65">
      <w:trPr>
        <w:trHeight w:val="300"/>
      </w:trPr>
      <w:tc>
        <w:tcPr>
          <w:tcW w:w="3485" w:type="dxa"/>
        </w:tcPr>
        <w:p w14:paraId="553A9A42" w14:textId="77777777" w:rsidR="00000000" w:rsidRDefault="00000000" w:rsidP="00007E65">
          <w:pPr>
            <w:pStyle w:val="Header"/>
            <w:ind w:left="-115"/>
          </w:pPr>
        </w:p>
      </w:tc>
      <w:tc>
        <w:tcPr>
          <w:tcW w:w="3485" w:type="dxa"/>
        </w:tcPr>
        <w:p w14:paraId="443CC312" w14:textId="77777777" w:rsidR="00000000" w:rsidRDefault="00000000" w:rsidP="00007E65">
          <w:pPr>
            <w:pStyle w:val="Header"/>
            <w:jc w:val="center"/>
          </w:pPr>
        </w:p>
      </w:tc>
      <w:tc>
        <w:tcPr>
          <w:tcW w:w="3485" w:type="dxa"/>
        </w:tcPr>
        <w:p w14:paraId="6A14755C" w14:textId="77777777" w:rsidR="00000000" w:rsidRDefault="00000000" w:rsidP="00007E65">
          <w:pPr>
            <w:pStyle w:val="Header"/>
            <w:ind w:right="-115"/>
            <w:jc w:val="right"/>
          </w:pPr>
        </w:p>
      </w:tc>
    </w:tr>
  </w:tbl>
  <w:p w14:paraId="199776CC" w14:textId="77777777" w:rsidR="00000000" w:rsidRDefault="00000000" w:rsidP="00007E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A94"/>
    <w:rsid w:val="00331A6B"/>
    <w:rsid w:val="005D2A94"/>
    <w:rsid w:val="006E043A"/>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15E95"/>
  <w15:chartTrackingRefBased/>
  <w15:docId w15:val="{19E1C044-3135-4178-B975-F61A52D6C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A94"/>
    <w:pPr>
      <w:spacing w:after="0" w:line="312" w:lineRule="auto"/>
    </w:pPr>
    <w:rPr>
      <w:kern w:val="0"/>
      <w14:ligatures w14:val="none"/>
    </w:rPr>
  </w:style>
  <w:style w:type="paragraph" w:styleId="Heading1">
    <w:name w:val="heading 1"/>
    <w:basedOn w:val="Normal"/>
    <w:next w:val="Normal"/>
    <w:link w:val="Heading1Char"/>
    <w:uiPriority w:val="9"/>
    <w:qFormat/>
    <w:rsid w:val="005D2A94"/>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5D2A94"/>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D2A94"/>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D2A94"/>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D2A94"/>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D2A94"/>
    <w:pPr>
      <w:keepNext/>
      <w:keepLines/>
      <w:spacing w:before="4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D2A94"/>
    <w:pPr>
      <w:keepNext/>
      <w:keepLines/>
      <w:spacing w:before="4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D2A94"/>
    <w:pPr>
      <w:keepNext/>
      <w:keepLines/>
      <w:spacing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D2A94"/>
    <w:pPr>
      <w:keepNext/>
      <w:keepLines/>
      <w:spacing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A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D2A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2A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2A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2A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2A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2A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2A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2A94"/>
    <w:rPr>
      <w:rFonts w:eastAsiaTheme="majorEastAsia" w:cstheme="majorBidi"/>
      <w:color w:val="272727" w:themeColor="text1" w:themeTint="D8"/>
    </w:rPr>
  </w:style>
  <w:style w:type="paragraph" w:styleId="Title">
    <w:name w:val="Title"/>
    <w:basedOn w:val="Normal"/>
    <w:next w:val="Normal"/>
    <w:link w:val="TitleChar"/>
    <w:uiPriority w:val="10"/>
    <w:qFormat/>
    <w:rsid w:val="005D2A9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D2A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2A94"/>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D2A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2A94"/>
    <w:pPr>
      <w:spacing w:before="160" w:after="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5D2A94"/>
    <w:rPr>
      <w:i/>
      <w:iCs/>
      <w:color w:val="404040" w:themeColor="text1" w:themeTint="BF"/>
    </w:rPr>
  </w:style>
  <w:style w:type="paragraph" w:styleId="ListParagraph">
    <w:name w:val="List Paragraph"/>
    <w:basedOn w:val="Normal"/>
    <w:uiPriority w:val="34"/>
    <w:qFormat/>
    <w:rsid w:val="005D2A94"/>
    <w:pPr>
      <w:spacing w:after="160" w:line="259" w:lineRule="auto"/>
      <w:ind w:left="720"/>
      <w:contextualSpacing/>
    </w:pPr>
    <w:rPr>
      <w:kern w:val="2"/>
      <w14:ligatures w14:val="standardContextual"/>
    </w:rPr>
  </w:style>
  <w:style w:type="character" w:styleId="IntenseEmphasis">
    <w:name w:val="Intense Emphasis"/>
    <w:basedOn w:val="DefaultParagraphFont"/>
    <w:uiPriority w:val="21"/>
    <w:qFormat/>
    <w:rsid w:val="005D2A94"/>
    <w:rPr>
      <w:i/>
      <w:iCs/>
      <w:color w:val="0F4761" w:themeColor="accent1" w:themeShade="BF"/>
    </w:rPr>
  </w:style>
  <w:style w:type="paragraph" w:styleId="IntenseQuote">
    <w:name w:val="Intense Quote"/>
    <w:basedOn w:val="Normal"/>
    <w:next w:val="Normal"/>
    <w:link w:val="IntenseQuoteChar"/>
    <w:uiPriority w:val="30"/>
    <w:qFormat/>
    <w:rsid w:val="005D2A94"/>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D2A94"/>
    <w:rPr>
      <w:i/>
      <w:iCs/>
      <w:color w:val="0F4761" w:themeColor="accent1" w:themeShade="BF"/>
    </w:rPr>
  </w:style>
  <w:style w:type="character" w:styleId="IntenseReference">
    <w:name w:val="Intense Reference"/>
    <w:basedOn w:val="DefaultParagraphFont"/>
    <w:uiPriority w:val="32"/>
    <w:qFormat/>
    <w:rsid w:val="005D2A94"/>
    <w:rPr>
      <w:b/>
      <w:bCs/>
      <w:smallCaps/>
      <w:color w:val="0F4761" w:themeColor="accent1" w:themeShade="BF"/>
      <w:spacing w:val="5"/>
    </w:rPr>
  </w:style>
  <w:style w:type="paragraph" w:styleId="Header">
    <w:name w:val="header"/>
    <w:basedOn w:val="Normal"/>
    <w:link w:val="HeaderChar"/>
    <w:uiPriority w:val="99"/>
    <w:unhideWhenUsed/>
    <w:rsid w:val="005D2A94"/>
    <w:pPr>
      <w:tabs>
        <w:tab w:val="center" w:pos="7143"/>
        <w:tab w:val="right" w:pos="14287"/>
      </w:tabs>
      <w:spacing w:line="240" w:lineRule="auto"/>
    </w:pPr>
  </w:style>
  <w:style w:type="character" w:customStyle="1" w:styleId="HeaderChar">
    <w:name w:val="Header Char"/>
    <w:basedOn w:val="DefaultParagraphFont"/>
    <w:link w:val="Header"/>
    <w:uiPriority w:val="99"/>
    <w:rsid w:val="005D2A94"/>
    <w:rPr>
      <w:kern w:val="0"/>
      <w14:ligatures w14:val="none"/>
    </w:rPr>
  </w:style>
  <w:style w:type="paragraph" w:styleId="Footer">
    <w:name w:val="footer"/>
    <w:basedOn w:val="Normal"/>
    <w:link w:val="FooterChar1"/>
    <w:uiPriority w:val="99"/>
    <w:unhideWhenUsed/>
    <w:rsid w:val="005D2A94"/>
    <w:pPr>
      <w:tabs>
        <w:tab w:val="center" w:pos="7143"/>
        <w:tab w:val="right" w:pos="14287"/>
      </w:tabs>
      <w:spacing w:line="240" w:lineRule="auto"/>
    </w:pPr>
  </w:style>
  <w:style w:type="character" w:customStyle="1" w:styleId="FooterChar">
    <w:name w:val="Footer Char"/>
    <w:basedOn w:val="DefaultParagraphFont"/>
    <w:uiPriority w:val="99"/>
    <w:semiHidden/>
    <w:rsid w:val="005D2A94"/>
    <w:rPr>
      <w:kern w:val="0"/>
      <w14:ligatures w14:val="none"/>
    </w:rPr>
  </w:style>
  <w:style w:type="paragraph" w:styleId="Caption">
    <w:name w:val="caption"/>
    <w:basedOn w:val="Normal"/>
    <w:next w:val="Normal"/>
    <w:uiPriority w:val="35"/>
    <w:unhideWhenUsed/>
    <w:qFormat/>
    <w:rsid w:val="005D2A94"/>
    <w:pPr>
      <w:spacing w:line="276" w:lineRule="auto"/>
    </w:pPr>
    <w:rPr>
      <w:b/>
      <w:bCs/>
      <w:color w:val="156082" w:themeColor="accent1"/>
      <w:sz w:val="18"/>
      <w:szCs w:val="18"/>
    </w:rPr>
  </w:style>
  <w:style w:type="character" w:customStyle="1" w:styleId="FooterChar1">
    <w:name w:val="Footer Char1"/>
    <w:link w:val="Footer"/>
    <w:uiPriority w:val="99"/>
    <w:rsid w:val="005D2A94"/>
    <w:rPr>
      <w:kern w:val="0"/>
      <w14:ligatures w14:val="none"/>
    </w:rPr>
  </w:style>
  <w:style w:type="table" w:styleId="PlainTable5">
    <w:name w:val="Plain Table 5"/>
    <w:basedOn w:val="TableNormal"/>
    <w:uiPriority w:val="99"/>
    <w:rsid w:val="005D2A94"/>
    <w:pPr>
      <w:spacing w:after="0" w:line="240" w:lineRule="auto"/>
    </w:pPr>
    <w:rPr>
      <w:kern w:val="0"/>
      <w:lang w:val="de-DE"/>
      <w14:ligatures w14:val="none"/>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header" Target="header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2386</Words>
  <Characters>13604</Characters>
  <Application>Microsoft Office Word</Application>
  <DocSecurity>0</DocSecurity>
  <Lines>113</Lines>
  <Paragraphs>31</Paragraphs>
  <ScaleCrop>false</ScaleCrop>
  <Company>Springer Nature</Company>
  <LinksUpToDate>false</LinksUpToDate>
  <CharactersWithSpaces>15959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2025-01-09T06:43:00Z</dcterms:created>
  <dcterms:modified xsi:type="dcterms:W3CDTF">2025-01-09T06:44:00Z</dcterms:modified>
</cp:coreProperties>
</file>