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EB628" w14:textId="77777777" w:rsidR="00386795" w:rsidRPr="004E7287" w:rsidRDefault="00386795" w:rsidP="00386795">
      <w:pPr>
        <w:keepNext/>
        <w:keepLines/>
        <w:spacing w:before="240" w:line="276" w:lineRule="auto"/>
        <w:outlineLvl w:val="0"/>
        <w:rPr>
          <w:rFonts w:eastAsiaTheme="majorEastAsia" w:cs="Arial"/>
          <w:b/>
          <w:color w:val="auto"/>
          <w:sz w:val="32"/>
          <w:szCs w:val="32"/>
          <w:lang w:eastAsia="en-GB"/>
        </w:rPr>
      </w:pPr>
      <w:r w:rsidRPr="004E7287">
        <w:rPr>
          <w:rFonts w:eastAsiaTheme="majorEastAsia" w:cs="Arial"/>
          <w:b/>
          <w:color w:val="auto"/>
          <w:sz w:val="32"/>
          <w:szCs w:val="32"/>
          <w:lang w:eastAsia="en-GB"/>
        </w:rPr>
        <w:t>Appendix</w:t>
      </w:r>
      <w:r>
        <w:rPr>
          <w:rFonts w:eastAsiaTheme="majorEastAsia" w:cs="Arial"/>
          <w:b/>
          <w:color w:val="auto"/>
          <w:sz w:val="32"/>
          <w:szCs w:val="32"/>
          <w:lang w:eastAsia="en-GB"/>
        </w:rPr>
        <w:t xml:space="preserve"> A</w:t>
      </w:r>
    </w:p>
    <w:p w14:paraId="3C1F1DA2" w14:textId="77777777" w:rsidR="00386795" w:rsidRPr="004E7287" w:rsidRDefault="00386795" w:rsidP="00386795">
      <w:pPr>
        <w:spacing w:before="240" w:after="240" w:line="276" w:lineRule="auto"/>
        <w:rPr>
          <w:rFonts w:cs="Arial"/>
          <w:color w:val="auto"/>
          <w:lang w:eastAsia="en-GB"/>
        </w:rPr>
      </w:pPr>
      <w:r w:rsidRPr="004E7287">
        <w:rPr>
          <w:rFonts w:cs="Arial"/>
          <w:color w:val="auto"/>
          <w:lang w:eastAsia="en-GB"/>
        </w:rPr>
        <w:t>Table A: Full list of 21 reviewed papers (see references for full citation)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2263"/>
        <w:gridCol w:w="6748"/>
      </w:tblGrid>
      <w:tr w:rsidR="00386795" w:rsidRPr="004E7287" w14:paraId="6609D798" w14:textId="77777777" w:rsidTr="00550D81">
        <w:tc>
          <w:tcPr>
            <w:tcW w:w="2263" w:type="dxa"/>
          </w:tcPr>
          <w:p w14:paraId="10C0A87F" w14:textId="77777777" w:rsidR="00386795" w:rsidRPr="004E7287" w:rsidRDefault="00386795" w:rsidP="00550D81">
            <w:pPr>
              <w:jc w:val="center"/>
              <w:rPr>
                <w:rFonts w:cs="Arial"/>
                <w:b/>
                <w:bCs/>
                <w:color w:val="auto"/>
              </w:rPr>
            </w:pPr>
            <w:r w:rsidRPr="004E7287">
              <w:rPr>
                <w:rFonts w:cs="Arial"/>
                <w:b/>
                <w:bCs/>
                <w:color w:val="auto"/>
              </w:rPr>
              <w:t>Authors</w:t>
            </w:r>
          </w:p>
        </w:tc>
        <w:tc>
          <w:tcPr>
            <w:tcW w:w="6748" w:type="dxa"/>
          </w:tcPr>
          <w:p w14:paraId="4A0CBF0B" w14:textId="77777777" w:rsidR="00386795" w:rsidRPr="004E7287" w:rsidRDefault="00386795" w:rsidP="00550D81">
            <w:pPr>
              <w:jc w:val="center"/>
              <w:rPr>
                <w:rFonts w:cs="Arial"/>
                <w:b/>
                <w:bCs/>
                <w:color w:val="auto"/>
              </w:rPr>
            </w:pPr>
            <w:r w:rsidRPr="004E7287">
              <w:rPr>
                <w:rFonts w:cs="Arial"/>
                <w:b/>
                <w:bCs/>
                <w:color w:val="auto"/>
              </w:rPr>
              <w:t xml:space="preserve">Paper </w:t>
            </w:r>
            <w:r>
              <w:rPr>
                <w:rFonts w:cs="Arial"/>
                <w:b/>
                <w:bCs/>
                <w:color w:val="auto"/>
              </w:rPr>
              <w:t>title</w:t>
            </w:r>
          </w:p>
        </w:tc>
      </w:tr>
      <w:tr w:rsidR="00386795" w:rsidRPr="004E7287" w14:paraId="5C2C680F" w14:textId="77777777" w:rsidTr="00550D81">
        <w:tc>
          <w:tcPr>
            <w:tcW w:w="2263" w:type="dxa"/>
          </w:tcPr>
          <w:p w14:paraId="22A0D0D1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Becker et al., 2021</w:t>
            </w:r>
          </w:p>
        </w:tc>
        <w:tc>
          <w:tcPr>
            <w:tcW w:w="6748" w:type="dxa"/>
          </w:tcPr>
          <w:p w14:paraId="0E77994D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WIP: Detection of Student Misconceptions of Electrical Circuit Concepts </w:t>
            </w:r>
          </w:p>
          <w:p w14:paraId="1D40DB5E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in a Short Answer Question Using NLP </w:t>
            </w:r>
          </w:p>
        </w:tc>
      </w:tr>
      <w:tr w:rsidR="00386795" w:rsidRPr="004E7287" w14:paraId="7B90807E" w14:textId="77777777" w:rsidTr="00550D81">
        <w:tc>
          <w:tcPr>
            <w:tcW w:w="2263" w:type="dxa"/>
          </w:tcPr>
          <w:p w14:paraId="2EA0E928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Camus &amp; Filighera, 2020</w:t>
            </w:r>
          </w:p>
        </w:tc>
        <w:tc>
          <w:tcPr>
            <w:tcW w:w="6748" w:type="dxa"/>
          </w:tcPr>
          <w:p w14:paraId="6E1D77F9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Investigating Transformers for Automatic Short Answer Grading</w:t>
            </w:r>
          </w:p>
        </w:tc>
      </w:tr>
      <w:tr w:rsidR="00386795" w:rsidRPr="004E7287" w14:paraId="268C036B" w14:textId="77777777" w:rsidTr="00550D81">
        <w:tc>
          <w:tcPr>
            <w:tcW w:w="2263" w:type="dxa"/>
          </w:tcPr>
          <w:p w14:paraId="719E577C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Chang et al., 2021</w:t>
            </w:r>
          </w:p>
        </w:tc>
        <w:tc>
          <w:tcPr>
            <w:tcW w:w="6748" w:type="dxa"/>
          </w:tcPr>
          <w:p w14:paraId="628F17AC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Automatic Scoring Method of Short-Answer Questions in the Context of Low-Resource Corpora </w:t>
            </w:r>
          </w:p>
        </w:tc>
      </w:tr>
      <w:tr w:rsidR="00386795" w:rsidRPr="004E7287" w14:paraId="1275BE50" w14:textId="77777777" w:rsidTr="00550D81">
        <w:tc>
          <w:tcPr>
            <w:tcW w:w="2263" w:type="dxa"/>
          </w:tcPr>
          <w:p w14:paraId="646BE2DB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Chen &amp; Li, 2021</w:t>
            </w:r>
          </w:p>
          <w:p w14:paraId="19EAD43C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</w:p>
        </w:tc>
        <w:tc>
          <w:tcPr>
            <w:tcW w:w="6748" w:type="dxa"/>
          </w:tcPr>
          <w:p w14:paraId="60DCD21E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Incorporating Question Information to Enhance the Performance of Automatic Short Answer Grading</w:t>
            </w:r>
          </w:p>
        </w:tc>
      </w:tr>
      <w:tr w:rsidR="00386795" w:rsidRPr="004E7287" w14:paraId="55175BE9" w14:textId="77777777" w:rsidTr="00550D81">
        <w:tc>
          <w:tcPr>
            <w:tcW w:w="2263" w:type="dxa"/>
          </w:tcPr>
          <w:p w14:paraId="4A12CEBD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Cochran et al., 2023</w:t>
            </w:r>
          </w:p>
        </w:tc>
        <w:tc>
          <w:tcPr>
            <w:tcW w:w="6748" w:type="dxa"/>
          </w:tcPr>
          <w:p w14:paraId="4E921408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Improving Automated Evaluation of Student Text Responses Using GPT-3.5 for Text Data Augmentation </w:t>
            </w:r>
          </w:p>
        </w:tc>
      </w:tr>
      <w:tr w:rsidR="00386795" w:rsidRPr="004E7287" w14:paraId="238EB5B2" w14:textId="77777777" w:rsidTr="00550D81">
        <w:tc>
          <w:tcPr>
            <w:tcW w:w="2263" w:type="dxa"/>
          </w:tcPr>
          <w:p w14:paraId="7C2DCDC9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Condor et al., 2022</w:t>
            </w:r>
          </w:p>
        </w:tc>
        <w:tc>
          <w:tcPr>
            <w:tcW w:w="6748" w:type="dxa"/>
          </w:tcPr>
          <w:p w14:paraId="043C978D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Representing Scoring Rubrics as Graphs for Automatic Short Answer Grading</w:t>
            </w:r>
          </w:p>
        </w:tc>
      </w:tr>
      <w:tr w:rsidR="00386795" w:rsidRPr="004E7287" w14:paraId="3D9C9251" w14:textId="77777777" w:rsidTr="00550D81">
        <w:tc>
          <w:tcPr>
            <w:tcW w:w="2263" w:type="dxa"/>
          </w:tcPr>
          <w:p w14:paraId="34DD2D5B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Condor, 2020</w:t>
            </w:r>
          </w:p>
        </w:tc>
        <w:tc>
          <w:tcPr>
            <w:tcW w:w="6748" w:type="dxa"/>
          </w:tcPr>
          <w:p w14:paraId="2421BEAC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Exploring Automatic Short Answer Grading as a Tool to Assist in Human Rating</w:t>
            </w:r>
          </w:p>
        </w:tc>
      </w:tr>
      <w:tr w:rsidR="00386795" w:rsidRPr="004E7287" w14:paraId="75FEAD14" w14:textId="77777777" w:rsidTr="00550D81">
        <w:tc>
          <w:tcPr>
            <w:tcW w:w="2263" w:type="dxa"/>
          </w:tcPr>
          <w:p w14:paraId="3AA6125B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Filighera et al., 2023</w:t>
            </w:r>
          </w:p>
        </w:tc>
        <w:tc>
          <w:tcPr>
            <w:tcW w:w="6748" w:type="dxa"/>
          </w:tcPr>
          <w:p w14:paraId="101AFA3D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Cheating Automatic Short Answer Grading with the Adversarial Usage of Adjectives and Adverbs</w:t>
            </w:r>
          </w:p>
        </w:tc>
      </w:tr>
      <w:tr w:rsidR="00386795" w:rsidRPr="004E7287" w14:paraId="6A4414BE" w14:textId="77777777" w:rsidTr="00550D81">
        <w:tc>
          <w:tcPr>
            <w:tcW w:w="2263" w:type="dxa"/>
          </w:tcPr>
          <w:p w14:paraId="4642DDF0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Ghavidel et al., 2020 </w:t>
            </w:r>
          </w:p>
        </w:tc>
        <w:tc>
          <w:tcPr>
            <w:tcW w:w="6748" w:type="dxa"/>
          </w:tcPr>
          <w:p w14:paraId="0E491BD4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Using BERT and XLNET for the Automatic Short Answer Grading Task</w:t>
            </w:r>
          </w:p>
          <w:p w14:paraId="25BD4D1D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</w:p>
        </w:tc>
      </w:tr>
      <w:tr w:rsidR="00386795" w:rsidRPr="004E7287" w14:paraId="19B146A4" w14:textId="77777777" w:rsidTr="00550D81">
        <w:tc>
          <w:tcPr>
            <w:tcW w:w="2263" w:type="dxa"/>
          </w:tcPr>
          <w:p w14:paraId="50DCBA9A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Latif &amp; Zhai., 2024</w:t>
            </w:r>
          </w:p>
          <w:p w14:paraId="3EEF9045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</w:p>
        </w:tc>
        <w:tc>
          <w:tcPr>
            <w:tcW w:w="6748" w:type="dxa"/>
          </w:tcPr>
          <w:p w14:paraId="077E773E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Fine-tuning ChatGPT for automatic scoring</w:t>
            </w:r>
          </w:p>
        </w:tc>
      </w:tr>
      <w:tr w:rsidR="00386795" w:rsidRPr="004E7287" w14:paraId="1E6C5D82" w14:textId="77777777" w:rsidTr="00550D81">
        <w:tc>
          <w:tcPr>
            <w:tcW w:w="2263" w:type="dxa"/>
          </w:tcPr>
          <w:p w14:paraId="40EFAF23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Lee et al., 2024</w:t>
            </w:r>
          </w:p>
        </w:tc>
        <w:tc>
          <w:tcPr>
            <w:tcW w:w="6748" w:type="dxa"/>
          </w:tcPr>
          <w:p w14:paraId="461E95F9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Applying large language models and chain-of-thought for automatic scoring </w:t>
            </w:r>
          </w:p>
        </w:tc>
      </w:tr>
      <w:tr w:rsidR="00386795" w:rsidRPr="004E7287" w14:paraId="4A32355B" w14:textId="77777777" w:rsidTr="00550D81">
        <w:tc>
          <w:tcPr>
            <w:tcW w:w="2263" w:type="dxa"/>
          </w:tcPr>
          <w:p w14:paraId="3E4BF4DB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Li et al., 2023</w:t>
            </w:r>
          </w:p>
        </w:tc>
        <w:tc>
          <w:tcPr>
            <w:tcW w:w="6748" w:type="dxa"/>
          </w:tcPr>
          <w:p w14:paraId="02FD4AFB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Distilling ChatGPT for Explainable Automated Student Answer Assessment</w:t>
            </w:r>
          </w:p>
        </w:tc>
      </w:tr>
      <w:tr w:rsidR="00386795" w:rsidRPr="004E7287" w14:paraId="28350080" w14:textId="77777777" w:rsidTr="00550D81">
        <w:tc>
          <w:tcPr>
            <w:tcW w:w="2263" w:type="dxa"/>
          </w:tcPr>
          <w:p w14:paraId="0335CA6B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Liu et al., 2023</w:t>
            </w:r>
          </w:p>
        </w:tc>
        <w:tc>
          <w:tcPr>
            <w:tcW w:w="6748" w:type="dxa"/>
          </w:tcPr>
          <w:p w14:paraId="41A313A2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Context Matters: A Strategy to Pre-train Language Model for Science Education </w:t>
            </w:r>
          </w:p>
        </w:tc>
      </w:tr>
      <w:tr w:rsidR="00386795" w:rsidRPr="004E7287" w14:paraId="31EE9307" w14:textId="77777777" w:rsidTr="00550D81">
        <w:tc>
          <w:tcPr>
            <w:tcW w:w="2263" w:type="dxa"/>
          </w:tcPr>
          <w:p w14:paraId="14610665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Lun et al., 2020</w:t>
            </w:r>
          </w:p>
        </w:tc>
        <w:tc>
          <w:tcPr>
            <w:tcW w:w="6748" w:type="dxa"/>
          </w:tcPr>
          <w:p w14:paraId="693F06A3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Multiple Data Augmentation Strategies for Improving Performance on Automatic Short Answer Scoring</w:t>
            </w:r>
          </w:p>
        </w:tc>
      </w:tr>
      <w:tr w:rsidR="00386795" w:rsidRPr="004E7287" w14:paraId="650FC5FA" w14:textId="77777777" w:rsidTr="00550D81">
        <w:tc>
          <w:tcPr>
            <w:tcW w:w="2263" w:type="dxa"/>
          </w:tcPr>
          <w:p w14:paraId="288B3807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Lv et al., 2021</w:t>
            </w:r>
          </w:p>
        </w:tc>
        <w:tc>
          <w:tcPr>
            <w:tcW w:w="6748" w:type="dxa"/>
          </w:tcPr>
          <w:p w14:paraId="7FF13F21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Exploring the Effectiveness of Question for Neural Short Answer Scoring System</w:t>
            </w:r>
          </w:p>
        </w:tc>
      </w:tr>
      <w:tr w:rsidR="00386795" w:rsidRPr="004E7287" w14:paraId="161D4AE0" w14:textId="77777777" w:rsidTr="00550D81">
        <w:tc>
          <w:tcPr>
            <w:tcW w:w="2263" w:type="dxa"/>
          </w:tcPr>
          <w:p w14:paraId="292B04BA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Poulton &amp; Eliens, 2021</w:t>
            </w:r>
          </w:p>
        </w:tc>
        <w:tc>
          <w:tcPr>
            <w:tcW w:w="6748" w:type="dxa"/>
          </w:tcPr>
          <w:p w14:paraId="7261258A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Explaining transformer-based models for automatic short answer grading  </w:t>
            </w:r>
          </w:p>
          <w:p w14:paraId="13EA1466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</w:p>
        </w:tc>
      </w:tr>
      <w:tr w:rsidR="00386795" w:rsidRPr="004E7287" w14:paraId="1AE3AE86" w14:textId="77777777" w:rsidTr="00550D81">
        <w:tc>
          <w:tcPr>
            <w:tcW w:w="2263" w:type="dxa"/>
          </w:tcPr>
          <w:p w14:paraId="7CCE213A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lastRenderedPageBreak/>
              <w:t>Sayeed &amp; Gupta, 2022</w:t>
            </w:r>
          </w:p>
        </w:tc>
        <w:tc>
          <w:tcPr>
            <w:tcW w:w="6748" w:type="dxa"/>
          </w:tcPr>
          <w:p w14:paraId="0ADDB492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Automate Descriptive Answer Grading using Reference based Models</w:t>
            </w:r>
          </w:p>
          <w:p w14:paraId="7664FA4F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</w:p>
        </w:tc>
      </w:tr>
      <w:tr w:rsidR="00386795" w:rsidRPr="004E7287" w14:paraId="5D3DDD5E" w14:textId="77777777" w:rsidTr="00550D81">
        <w:tc>
          <w:tcPr>
            <w:tcW w:w="2263" w:type="dxa"/>
          </w:tcPr>
          <w:p w14:paraId="2BAB0E0B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Sung et al., 2019a</w:t>
            </w:r>
          </w:p>
        </w:tc>
        <w:tc>
          <w:tcPr>
            <w:tcW w:w="6748" w:type="dxa"/>
          </w:tcPr>
          <w:p w14:paraId="5C467AC9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Pre-Training BERT on Domain Resources for Short Answer Grading</w:t>
            </w:r>
          </w:p>
          <w:p w14:paraId="16E1531A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</w:p>
        </w:tc>
      </w:tr>
      <w:tr w:rsidR="00386795" w:rsidRPr="004E7287" w14:paraId="58609262" w14:textId="77777777" w:rsidTr="00550D81">
        <w:tc>
          <w:tcPr>
            <w:tcW w:w="2263" w:type="dxa"/>
          </w:tcPr>
          <w:p w14:paraId="29623F95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Sung et al., 2019b</w:t>
            </w:r>
          </w:p>
        </w:tc>
        <w:tc>
          <w:tcPr>
            <w:tcW w:w="6748" w:type="dxa"/>
          </w:tcPr>
          <w:p w14:paraId="392E0834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Improving Short Answer Grading Using Transformer-Based Pre-training </w:t>
            </w:r>
          </w:p>
          <w:p w14:paraId="35FD7AE6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</w:p>
        </w:tc>
      </w:tr>
      <w:tr w:rsidR="00386795" w:rsidRPr="004E7287" w14:paraId="0B4B368C" w14:textId="77777777" w:rsidTr="00550D81">
        <w:tc>
          <w:tcPr>
            <w:tcW w:w="2263" w:type="dxa"/>
          </w:tcPr>
          <w:p w14:paraId="0BDCA8B9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Wang et al., 2019 </w:t>
            </w:r>
          </w:p>
        </w:tc>
        <w:tc>
          <w:tcPr>
            <w:tcW w:w="6748" w:type="dxa"/>
          </w:tcPr>
          <w:p w14:paraId="2B4182FF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A Meta-Learning Augmented Bidirectional Transformer Model for Automatic Short Answer Grading</w:t>
            </w:r>
          </w:p>
        </w:tc>
      </w:tr>
      <w:tr w:rsidR="00386795" w:rsidRPr="004E7287" w14:paraId="3CE36A26" w14:textId="77777777" w:rsidTr="00550D81">
        <w:tc>
          <w:tcPr>
            <w:tcW w:w="2263" w:type="dxa"/>
          </w:tcPr>
          <w:p w14:paraId="5F785E64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Zhu et al., 2022</w:t>
            </w:r>
          </w:p>
        </w:tc>
        <w:tc>
          <w:tcPr>
            <w:tcW w:w="6748" w:type="dxa"/>
          </w:tcPr>
          <w:p w14:paraId="27CA11C0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Automatic Short-Answer Grading via BERT-Based Deep Neural Networks</w:t>
            </w:r>
          </w:p>
          <w:p w14:paraId="0E17AA0D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</w:p>
        </w:tc>
      </w:tr>
    </w:tbl>
    <w:p w14:paraId="7B6BFAD5" w14:textId="77777777" w:rsidR="00386795" w:rsidRPr="004E7287" w:rsidRDefault="00386795" w:rsidP="00386795">
      <w:pPr>
        <w:spacing w:after="0" w:line="276" w:lineRule="auto"/>
        <w:rPr>
          <w:rFonts w:cs="Arial"/>
          <w:color w:val="auto"/>
          <w:lang w:eastAsia="en-GB"/>
        </w:rPr>
      </w:pPr>
    </w:p>
    <w:p w14:paraId="7882C512" w14:textId="77777777" w:rsidR="00386795" w:rsidRPr="004E7287" w:rsidRDefault="00386795" w:rsidP="00386795">
      <w:pPr>
        <w:spacing w:after="0" w:line="276" w:lineRule="auto"/>
        <w:rPr>
          <w:rFonts w:cs="Arial"/>
          <w:color w:val="auto"/>
          <w:lang w:eastAsia="en-GB"/>
        </w:rPr>
      </w:pPr>
    </w:p>
    <w:p w14:paraId="4BCF41F1" w14:textId="77777777" w:rsidR="00386795" w:rsidRPr="004E7287" w:rsidRDefault="00386795" w:rsidP="00386795">
      <w:pPr>
        <w:spacing w:after="0" w:line="276" w:lineRule="auto"/>
        <w:rPr>
          <w:rFonts w:cs="Arial"/>
          <w:color w:val="auto"/>
          <w:lang w:eastAsia="en-GB"/>
        </w:rPr>
      </w:pPr>
      <w:r w:rsidRPr="004E7287">
        <w:rPr>
          <w:rFonts w:eastAsiaTheme="majorEastAsia" w:cs="Arial"/>
          <w:b/>
          <w:color w:val="auto"/>
          <w:sz w:val="32"/>
          <w:szCs w:val="32"/>
          <w:lang w:eastAsia="en-GB"/>
        </w:rPr>
        <w:t>Appendix</w:t>
      </w:r>
      <w:r>
        <w:rPr>
          <w:rFonts w:eastAsiaTheme="majorEastAsia" w:cs="Arial"/>
          <w:b/>
          <w:color w:val="auto"/>
          <w:sz w:val="32"/>
          <w:szCs w:val="32"/>
          <w:lang w:eastAsia="en-GB"/>
        </w:rPr>
        <w:t xml:space="preserve"> B</w:t>
      </w:r>
    </w:p>
    <w:p w14:paraId="6921A4DF" w14:textId="77777777" w:rsidR="00386795" w:rsidRPr="004E7287" w:rsidRDefault="00386795" w:rsidP="00386795">
      <w:pPr>
        <w:spacing w:before="240"/>
        <w:rPr>
          <w:rFonts w:cs="Arial"/>
          <w:color w:val="auto"/>
          <w:lang w:eastAsia="en-GB"/>
        </w:rPr>
      </w:pPr>
      <w:r w:rsidRPr="004E7287">
        <w:rPr>
          <w:rFonts w:cs="Arial"/>
          <w:color w:val="auto"/>
          <w:lang w:eastAsia="en-GB"/>
        </w:rPr>
        <w:t xml:space="preserve">Table B: Model names and papers where they were used 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480"/>
      </w:tblGrid>
      <w:tr w:rsidR="00386795" w:rsidRPr="004E7287" w14:paraId="73C42E29" w14:textId="77777777" w:rsidTr="00550D81">
        <w:trPr>
          <w:jc w:val="center"/>
        </w:trPr>
        <w:tc>
          <w:tcPr>
            <w:tcW w:w="4531" w:type="dxa"/>
          </w:tcPr>
          <w:p w14:paraId="4ABEF58C" w14:textId="77777777" w:rsidR="00386795" w:rsidRPr="004E7287" w:rsidRDefault="00386795" w:rsidP="00550D81">
            <w:pPr>
              <w:spacing w:line="276" w:lineRule="auto"/>
              <w:jc w:val="center"/>
              <w:rPr>
                <w:rFonts w:cs="Arial"/>
                <w:b/>
                <w:color w:val="auto"/>
              </w:rPr>
            </w:pPr>
            <w:r w:rsidRPr="004E7287">
              <w:rPr>
                <w:rFonts w:cs="Arial"/>
                <w:b/>
                <w:color w:val="auto"/>
              </w:rPr>
              <w:t>Model</w:t>
            </w:r>
          </w:p>
        </w:tc>
        <w:tc>
          <w:tcPr>
            <w:tcW w:w="4480" w:type="dxa"/>
          </w:tcPr>
          <w:p w14:paraId="1ADEE357" w14:textId="77777777" w:rsidR="00386795" w:rsidRPr="004E7287" w:rsidRDefault="00386795" w:rsidP="00550D81">
            <w:pPr>
              <w:spacing w:line="276" w:lineRule="auto"/>
              <w:jc w:val="center"/>
              <w:rPr>
                <w:rFonts w:cs="Arial"/>
                <w:b/>
                <w:color w:val="auto"/>
              </w:rPr>
            </w:pPr>
            <w:r w:rsidRPr="004E7287">
              <w:rPr>
                <w:rFonts w:cs="Arial"/>
                <w:b/>
                <w:color w:val="auto"/>
              </w:rPr>
              <w:t>Authors / papers</w:t>
            </w:r>
          </w:p>
        </w:tc>
      </w:tr>
      <w:tr w:rsidR="00386795" w:rsidRPr="004E7287" w14:paraId="52454513" w14:textId="77777777" w:rsidTr="00550D81">
        <w:trPr>
          <w:jc w:val="center"/>
        </w:trPr>
        <w:tc>
          <w:tcPr>
            <w:tcW w:w="9011" w:type="dxa"/>
            <w:gridSpan w:val="2"/>
          </w:tcPr>
          <w:p w14:paraId="482BC584" w14:textId="77777777" w:rsidR="00386795" w:rsidRPr="004E7287" w:rsidRDefault="00386795" w:rsidP="00550D81">
            <w:pPr>
              <w:spacing w:line="276" w:lineRule="auto"/>
              <w:jc w:val="center"/>
              <w:rPr>
                <w:rFonts w:cs="Arial"/>
                <w:b/>
                <w:color w:val="auto"/>
              </w:rPr>
            </w:pPr>
            <w:r w:rsidRPr="004E7287">
              <w:rPr>
                <w:rFonts w:cs="Arial"/>
                <w:b/>
                <w:color w:val="auto"/>
              </w:rPr>
              <w:t>GPT (5 distinct papers)</w:t>
            </w:r>
          </w:p>
        </w:tc>
      </w:tr>
      <w:tr w:rsidR="00386795" w:rsidRPr="004E7287" w14:paraId="0743430B" w14:textId="77777777" w:rsidTr="00550D81">
        <w:trPr>
          <w:jc w:val="center"/>
        </w:trPr>
        <w:tc>
          <w:tcPr>
            <w:tcW w:w="4531" w:type="dxa"/>
          </w:tcPr>
          <w:p w14:paraId="4677C7DD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GPT-4 </w:t>
            </w:r>
          </w:p>
        </w:tc>
        <w:tc>
          <w:tcPr>
            <w:tcW w:w="4480" w:type="dxa"/>
          </w:tcPr>
          <w:p w14:paraId="7C3B3A94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(Lee et al., 2024)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</w:tr>
      <w:tr w:rsidR="00386795" w:rsidRPr="00080C42" w14:paraId="651813C1" w14:textId="77777777" w:rsidTr="00550D81">
        <w:trPr>
          <w:jc w:val="center"/>
        </w:trPr>
        <w:tc>
          <w:tcPr>
            <w:tcW w:w="4531" w:type="dxa"/>
          </w:tcPr>
          <w:p w14:paraId="3A6FB977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GPT-3.5</w:t>
            </w:r>
          </w:p>
        </w:tc>
        <w:tc>
          <w:tcPr>
            <w:tcW w:w="4480" w:type="dxa"/>
          </w:tcPr>
          <w:p w14:paraId="6B2AD41C" w14:textId="77777777" w:rsidR="00386795" w:rsidRPr="00532C17" w:rsidRDefault="00386795" w:rsidP="00550D81">
            <w:pPr>
              <w:spacing w:line="276" w:lineRule="auto"/>
              <w:rPr>
                <w:rFonts w:cs="Arial"/>
                <w:color w:val="auto"/>
                <w:lang w:val="es-ES"/>
              </w:rPr>
            </w:pPr>
            <w:r w:rsidRPr="004E7287">
              <w:rPr>
                <w:rFonts w:cs="Arial"/>
                <w:noProof/>
                <w:color w:val="auto"/>
                <w:lang w:val="es-ES"/>
              </w:rPr>
              <w:t>(Cochran et al., 2023; Latif &amp; Zhai, 2024; Lee et al., 2024; Li et al., 2023)</w:t>
            </w:r>
            <w:r w:rsidRPr="00532C17">
              <w:rPr>
                <w:rFonts w:cs="Arial"/>
                <w:color w:val="auto"/>
                <w:lang w:val="es-ES"/>
              </w:rPr>
              <w:tab/>
            </w:r>
            <w:r w:rsidRPr="00532C17">
              <w:rPr>
                <w:rFonts w:cs="Arial"/>
                <w:color w:val="auto"/>
                <w:lang w:val="es-ES"/>
              </w:rPr>
              <w:tab/>
            </w:r>
          </w:p>
        </w:tc>
      </w:tr>
      <w:tr w:rsidR="00386795" w:rsidRPr="004E7287" w14:paraId="05CEF7B1" w14:textId="77777777" w:rsidTr="00550D81">
        <w:trPr>
          <w:jc w:val="center"/>
        </w:trPr>
        <w:tc>
          <w:tcPr>
            <w:tcW w:w="4531" w:type="dxa"/>
          </w:tcPr>
          <w:p w14:paraId="67BACE5E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GPT-2</w:t>
            </w:r>
          </w:p>
        </w:tc>
        <w:tc>
          <w:tcPr>
            <w:tcW w:w="4480" w:type="dxa"/>
          </w:tcPr>
          <w:p w14:paraId="048BE4A3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(Zhu et al., 2022)</w:t>
            </w:r>
          </w:p>
        </w:tc>
      </w:tr>
      <w:tr w:rsidR="00386795" w:rsidRPr="004E7287" w14:paraId="2031D33F" w14:textId="77777777" w:rsidTr="00550D81">
        <w:trPr>
          <w:jc w:val="center"/>
        </w:trPr>
        <w:tc>
          <w:tcPr>
            <w:tcW w:w="4531" w:type="dxa"/>
          </w:tcPr>
          <w:p w14:paraId="7000F6CC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GPT-1</w:t>
            </w:r>
          </w:p>
        </w:tc>
        <w:tc>
          <w:tcPr>
            <w:tcW w:w="4480" w:type="dxa"/>
          </w:tcPr>
          <w:p w14:paraId="7008E478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(Zhu et al., 2022)</w:t>
            </w:r>
          </w:p>
        </w:tc>
      </w:tr>
      <w:tr w:rsidR="00386795" w:rsidRPr="004E7287" w14:paraId="393836E3" w14:textId="77777777" w:rsidTr="00550D81">
        <w:trPr>
          <w:jc w:val="center"/>
        </w:trPr>
        <w:tc>
          <w:tcPr>
            <w:tcW w:w="9011" w:type="dxa"/>
            <w:gridSpan w:val="2"/>
          </w:tcPr>
          <w:p w14:paraId="3281D0E9" w14:textId="77777777" w:rsidR="00386795" w:rsidRPr="004E7287" w:rsidRDefault="00386795" w:rsidP="00550D81">
            <w:pPr>
              <w:spacing w:line="276" w:lineRule="auto"/>
              <w:jc w:val="center"/>
              <w:rPr>
                <w:rFonts w:cs="Arial"/>
                <w:b/>
                <w:color w:val="auto"/>
              </w:rPr>
            </w:pPr>
            <w:r w:rsidRPr="004E7287">
              <w:rPr>
                <w:rFonts w:cs="Arial"/>
                <w:b/>
                <w:color w:val="auto"/>
              </w:rPr>
              <w:t>BERT (20 distinct papers)</w:t>
            </w:r>
          </w:p>
        </w:tc>
      </w:tr>
      <w:tr w:rsidR="00386795" w:rsidRPr="004E7287" w14:paraId="34A2DD2E" w14:textId="77777777" w:rsidTr="00550D81">
        <w:trPr>
          <w:jc w:val="center"/>
        </w:trPr>
        <w:tc>
          <w:tcPr>
            <w:tcW w:w="4531" w:type="dxa"/>
          </w:tcPr>
          <w:p w14:paraId="3C9E7DCE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BERT base</w:t>
            </w:r>
          </w:p>
          <w:p w14:paraId="274D0B6C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 xml:space="preserve">Includes versions where BERT base was developed in the study with different methods, for example ml-BERT (Wang et al., 2019), SciEJ-BERT (Liu et al., 2023), and BERT base + marking rubric (Condor et al, 2022). Where authors used pre-existing BERT variants such as SciBERT (Liu et al., 2023), these are shown as distinct models from BERT base. </w:t>
            </w:r>
          </w:p>
        </w:tc>
        <w:tc>
          <w:tcPr>
            <w:tcW w:w="4480" w:type="dxa"/>
          </w:tcPr>
          <w:p w14:paraId="51BC01EE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(Becker et al., 2021; Camus &amp; Filighera, 2020; Chang et al., 2021; Cochran et al., 2023; Condor, 2020; Condor et al., 2022; Filighera et al., 2023; Ghavidel et al., 2020; Latif &amp; Zhai, 2024; Li et al., 2023; Liu et al., 2023; Lun et al., 2020; Lv et al., 2021; Poulton &amp; Eliens, 2022; Sung et al., 2019a; Sung et al., 2019b; Wang et al., 2019; Zhu et al., 2022)</w:t>
            </w:r>
            <w:r w:rsidRPr="004E7287">
              <w:rPr>
                <w:rFonts w:cs="Arial"/>
                <w:color w:val="auto"/>
                <w:vertAlign w:val="superscript"/>
              </w:rPr>
              <w:t>†</w:t>
            </w:r>
          </w:p>
        </w:tc>
      </w:tr>
      <w:tr w:rsidR="00386795" w:rsidRPr="004E7287" w14:paraId="36718EF4" w14:textId="77777777" w:rsidTr="00550D81">
        <w:trPr>
          <w:trHeight w:val="303"/>
          <w:jc w:val="center"/>
        </w:trPr>
        <w:tc>
          <w:tcPr>
            <w:tcW w:w="4531" w:type="dxa"/>
          </w:tcPr>
          <w:p w14:paraId="670BFFC1" w14:textId="77777777" w:rsidR="00386795" w:rsidRPr="004E7287" w:rsidRDefault="00386795" w:rsidP="00550D81">
            <w:pPr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lastRenderedPageBreak/>
              <w:t xml:space="preserve">BERT large </w:t>
            </w:r>
          </w:p>
        </w:tc>
        <w:tc>
          <w:tcPr>
            <w:tcW w:w="4480" w:type="dxa"/>
          </w:tcPr>
          <w:p w14:paraId="525F8B58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2020; Poulton &amp; Eliens, 2022)</w:t>
            </w:r>
          </w:p>
        </w:tc>
      </w:tr>
      <w:tr w:rsidR="00386795" w:rsidRPr="004E7287" w14:paraId="1E555046" w14:textId="77777777" w:rsidTr="00550D81">
        <w:trPr>
          <w:jc w:val="center"/>
        </w:trPr>
        <w:tc>
          <w:tcPr>
            <w:tcW w:w="4531" w:type="dxa"/>
          </w:tcPr>
          <w:p w14:paraId="3D85F444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Longformer-base-4096</w:t>
            </w:r>
          </w:p>
        </w:tc>
        <w:tc>
          <w:tcPr>
            <w:tcW w:w="4480" w:type="dxa"/>
          </w:tcPr>
          <w:p w14:paraId="56F8B56F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(Li et al., 2023)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</w:tr>
      <w:tr w:rsidR="00386795" w:rsidRPr="004E7287" w14:paraId="30422121" w14:textId="77777777" w:rsidTr="00550D81">
        <w:trPr>
          <w:jc w:val="center"/>
        </w:trPr>
        <w:tc>
          <w:tcPr>
            <w:tcW w:w="4531" w:type="dxa"/>
          </w:tcPr>
          <w:p w14:paraId="49F544F4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SciBERT</w:t>
            </w:r>
          </w:p>
        </w:tc>
        <w:tc>
          <w:tcPr>
            <w:tcW w:w="4480" w:type="dxa"/>
          </w:tcPr>
          <w:p w14:paraId="61630EF8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(Liu et al., 2023)</w:t>
            </w:r>
            <w:r w:rsidRPr="004E7287">
              <w:rPr>
                <w:rFonts w:cs="Arial"/>
                <w:color w:val="auto"/>
              </w:rPr>
              <w:tab/>
            </w:r>
          </w:p>
        </w:tc>
      </w:tr>
      <w:tr w:rsidR="00386795" w:rsidRPr="004E7287" w14:paraId="3C5588CF" w14:textId="77777777" w:rsidTr="00550D81">
        <w:trPr>
          <w:jc w:val="center"/>
        </w:trPr>
        <w:tc>
          <w:tcPr>
            <w:tcW w:w="4531" w:type="dxa"/>
          </w:tcPr>
          <w:p w14:paraId="73FDAB14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AlBERT</w:t>
            </w:r>
          </w:p>
        </w:tc>
        <w:tc>
          <w:tcPr>
            <w:tcW w:w="4480" w:type="dxa"/>
          </w:tcPr>
          <w:p w14:paraId="65991207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2020; Poulton &amp; Eliens, 2022)</w:t>
            </w:r>
            <w:r w:rsidRPr="004E7287">
              <w:rPr>
                <w:rFonts w:cs="Arial"/>
                <w:color w:val="auto"/>
              </w:rPr>
              <w:tab/>
            </w:r>
          </w:p>
        </w:tc>
      </w:tr>
      <w:tr w:rsidR="00386795" w:rsidRPr="004E7287" w14:paraId="2F991F9E" w14:textId="77777777" w:rsidTr="00550D81">
        <w:trPr>
          <w:jc w:val="center"/>
        </w:trPr>
        <w:tc>
          <w:tcPr>
            <w:tcW w:w="4531" w:type="dxa"/>
          </w:tcPr>
          <w:p w14:paraId="386E471D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DistilBERT</w:t>
            </w:r>
          </w:p>
        </w:tc>
        <w:tc>
          <w:tcPr>
            <w:tcW w:w="4480" w:type="dxa"/>
          </w:tcPr>
          <w:p w14:paraId="79AAFC2C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2020; Poulton &amp; Eliens, 2022)</w:t>
            </w:r>
          </w:p>
        </w:tc>
      </w:tr>
      <w:tr w:rsidR="00386795" w:rsidRPr="004E7287" w14:paraId="2A2F78DC" w14:textId="77777777" w:rsidTr="00550D81">
        <w:trPr>
          <w:jc w:val="center"/>
        </w:trPr>
        <w:tc>
          <w:tcPr>
            <w:tcW w:w="4531" w:type="dxa"/>
          </w:tcPr>
          <w:p w14:paraId="205EBF26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RoBERTa</w:t>
            </w:r>
          </w:p>
        </w:tc>
        <w:tc>
          <w:tcPr>
            <w:tcW w:w="4480" w:type="dxa"/>
          </w:tcPr>
          <w:p w14:paraId="6DD7EAF8" w14:textId="77777777" w:rsidR="00386795" w:rsidRDefault="00386795" w:rsidP="00550D81">
            <w:pPr>
              <w:spacing w:line="276" w:lineRule="auto"/>
              <w:rPr>
                <w:rFonts w:cs="Arial"/>
                <w:noProof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2020; Chen &amp; Li, 2021; Poulton &amp; Eliens, 2022; Sayeed &amp; Gupta, 2022)</w:t>
            </w:r>
          </w:p>
          <w:p w14:paraId="0F5E27F4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</w:p>
        </w:tc>
      </w:tr>
      <w:tr w:rsidR="00386795" w:rsidRPr="004E7287" w14:paraId="773FB736" w14:textId="77777777" w:rsidTr="00550D81">
        <w:trPr>
          <w:jc w:val="center"/>
        </w:trPr>
        <w:tc>
          <w:tcPr>
            <w:tcW w:w="9011" w:type="dxa"/>
            <w:gridSpan w:val="2"/>
          </w:tcPr>
          <w:p w14:paraId="7A3C52C1" w14:textId="77777777" w:rsidR="00386795" w:rsidRPr="004E7287" w:rsidRDefault="00386795" w:rsidP="00550D81">
            <w:pPr>
              <w:spacing w:line="276" w:lineRule="auto"/>
              <w:jc w:val="center"/>
              <w:rPr>
                <w:rFonts w:cs="Arial"/>
                <w:b/>
                <w:color w:val="auto"/>
              </w:rPr>
            </w:pPr>
            <w:r w:rsidRPr="004E7287">
              <w:rPr>
                <w:rFonts w:cs="Arial"/>
                <w:b/>
                <w:color w:val="auto"/>
              </w:rPr>
              <w:t>Other transformer-based models (7 distinct papers)</w:t>
            </w:r>
          </w:p>
        </w:tc>
      </w:tr>
      <w:tr w:rsidR="00386795" w:rsidRPr="00080C42" w14:paraId="177B1F61" w14:textId="77777777" w:rsidTr="00550D81">
        <w:trPr>
          <w:jc w:val="center"/>
        </w:trPr>
        <w:tc>
          <w:tcPr>
            <w:tcW w:w="4531" w:type="dxa"/>
          </w:tcPr>
          <w:p w14:paraId="6264919E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T5</w:t>
            </w:r>
          </w:p>
        </w:tc>
        <w:tc>
          <w:tcPr>
            <w:tcW w:w="4480" w:type="dxa"/>
          </w:tcPr>
          <w:p w14:paraId="4733561B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  <w:lang w:val="es-ES"/>
              </w:rPr>
            </w:pPr>
            <w:r w:rsidRPr="004E7287">
              <w:rPr>
                <w:rFonts w:cs="Arial"/>
                <w:noProof/>
                <w:color w:val="auto"/>
                <w:lang w:val="es-ES"/>
              </w:rPr>
              <w:t>(Filighera et al., 2023; Li et al., 2023)</w:t>
            </w:r>
            <w:r w:rsidRPr="004E7287">
              <w:rPr>
                <w:rFonts w:cs="Arial"/>
                <w:color w:val="auto"/>
                <w:lang w:val="es-ES"/>
              </w:rPr>
              <w:tab/>
            </w:r>
          </w:p>
        </w:tc>
      </w:tr>
      <w:tr w:rsidR="00386795" w:rsidRPr="004E7287" w14:paraId="6D42C248" w14:textId="77777777" w:rsidTr="00550D81">
        <w:trPr>
          <w:jc w:val="center"/>
        </w:trPr>
        <w:tc>
          <w:tcPr>
            <w:tcW w:w="4531" w:type="dxa"/>
          </w:tcPr>
          <w:p w14:paraId="696F9059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MiniLM (Multilingual L12 H384)</w:t>
            </w:r>
          </w:p>
        </w:tc>
        <w:tc>
          <w:tcPr>
            <w:tcW w:w="4480" w:type="dxa"/>
          </w:tcPr>
          <w:p w14:paraId="78018470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(Cochran et al., 2023)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</w:tr>
      <w:tr w:rsidR="00386795" w:rsidRPr="004E7287" w14:paraId="57B8E46A" w14:textId="77777777" w:rsidTr="00550D81">
        <w:trPr>
          <w:jc w:val="center"/>
        </w:trPr>
        <w:tc>
          <w:tcPr>
            <w:tcW w:w="4531" w:type="dxa"/>
          </w:tcPr>
          <w:p w14:paraId="35243F44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XLNET</w:t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4A9BD7F6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(Ghavidel et al., 2020; Sayeed &amp; Gupta, 2022)</w:t>
            </w:r>
          </w:p>
        </w:tc>
      </w:tr>
      <w:tr w:rsidR="00386795" w:rsidRPr="004E7287" w14:paraId="5021DFE8" w14:textId="77777777" w:rsidTr="00550D81">
        <w:trPr>
          <w:jc w:val="center"/>
        </w:trPr>
        <w:tc>
          <w:tcPr>
            <w:tcW w:w="4531" w:type="dxa"/>
          </w:tcPr>
          <w:p w14:paraId="6B1F8D7F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ELECTRA</w:t>
            </w:r>
          </w:p>
        </w:tc>
        <w:tc>
          <w:tcPr>
            <w:tcW w:w="4480" w:type="dxa"/>
          </w:tcPr>
          <w:p w14:paraId="34843CEB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(Chen &amp; Li, 2021)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</w:tr>
      <w:tr w:rsidR="00386795" w:rsidRPr="004E7287" w14:paraId="2DE604F5" w14:textId="77777777" w:rsidTr="00550D81">
        <w:trPr>
          <w:jc w:val="center"/>
        </w:trPr>
        <w:tc>
          <w:tcPr>
            <w:tcW w:w="4531" w:type="dxa"/>
          </w:tcPr>
          <w:p w14:paraId="3E97ADA2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Funnel-Transformer (new model)</w:t>
            </w:r>
          </w:p>
        </w:tc>
        <w:tc>
          <w:tcPr>
            <w:tcW w:w="4480" w:type="dxa"/>
          </w:tcPr>
          <w:p w14:paraId="5BECFE56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(Chen &amp; Li, 2021)</w:t>
            </w:r>
          </w:p>
        </w:tc>
      </w:tr>
      <w:tr w:rsidR="00386795" w:rsidRPr="004E7287" w14:paraId="46D6883B" w14:textId="77777777" w:rsidTr="00550D81">
        <w:trPr>
          <w:trHeight w:val="113"/>
          <w:jc w:val="center"/>
        </w:trPr>
        <w:tc>
          <w:tcPr>
            <w:tcW w:w="4531" w:type="dxa"/>
          </w:tcPr>
          <w:p w14:paraId="6C58EB11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XLM</w:t>
            </w:r>
          </w:p>
        </w:tc>
        <w:tc>
          <w:tcPr>
            <w:tcW w:w="4480" w:type="dxa"/>
          </w:tcPr>
          <w:p w14:paraId="2A3ED0A1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2020)</w:t>
            </w:r>
          </w:p>
        </w:tc>
      </w:tr>
      <w:tr w:rsidR="00386795" w:rsidRPr="004E7287" w14:paraId="215F97E4" w14:textId="77777777" w:rsidTr="00550D81">
        <w:trPr>
          <w:jc w:val="center"/>
        </w:trPr>
        <w:tc>
          <w:tcPr>
            <w:tcW w:w="9011" w:type="dxa"/>
            <w:gridSpan w:val="2"/>
          </w:tcPr>
          <w:p w14:paraId="2F350DCF" w14:textId="77777777" w:rsidR="00386795" w:rsidRPr="004E7287" w:rsidRDefault="00386795" w:rsidP="00550D81">
            <w:pPr>
              <w:spacing w:line="276" w:lineRule="auto"/>
              <w:jc w:val="center"/>
              <w:rPr>
                <w:rFonts w:cs="Arial"/>
                <w:b/>
                <w:color w:val="auto"/>
              </w:rPr>
            </w:pPr>
            <w:r w:rsidRPr="004E7287">
              <w:rPr>
                <w:rFonts w:cs="Arial"/>
                <w:b/>
                <w:color w:val="auto"/>
              </w:rPr>
              <w:t>Other deep learning models (6 distinct papers)</w:t>
            </w:r>
          </w:p>
        </w:tc>
      </w:tr>
      <w:tr w:rsidR="00386795" w:rsidRPr="004E7287" w14:paraId="6D786376" w14:textId="77777777" w:rsidTr="00550D81">
        <w:trPr>
          <w:jc w:val="center"/>
        </w:trPr>
        <w:tc>
          <w:tcPr>
            <w:tcW w:w="4531" w:type="dxa"/>
          </w:tcPr>
          <w:p w14:paraId="6B52C990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Mavarniya approach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620B7AF1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2020; Ghavidel et al., 2020; Sung et al., 2019b)</w:t>
            </w:r>
          </w:p>
        </w:tc>
      </w:tr>
      <w:tr w:rsidR="00386795" w:rsidRPr="004E7287" w14:paraId="1C0B90DC" w14:textId="77777777" w:rsidTr="00550D81">
        <w:trPr>
          <w:jc w:val="center"/>
        </w:trPr>
        <w:tc>
          <w:tcPr>
            <w:tcW w:w="4531" w:type="dxa"/>
          </w:tcPr>
          <w:p w14:paraId="3E8CA5FF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  <w:lang w:val="es-ES"/>
              </w:rPr>
            </w:pPr>
            <w:r w:rsidRPr="004E7287">
              <w:rPr>
                <w:rFonts w:cs="Arial"/>
                <w:color w:val="auto"/>
                <w:lang w:val="es-ES"/>
              </w:rPr>
              <w:t xml:space="preserve">TF + SF / Saha et al. </w:t>
            </w:r>
            <w:r w:rsidRPr="004E7287">
              <w:rPr>
                <w:rFonts w:cs="Arial"/>
                <w:color w:val="auto"/>
                <w:lang w:val="es-ES"/>
              </w:rPr>
              <w:tab/>
            </w:r>
            <w:r w:rsidRPr="004E7287">
              <w:rPr>
                <w:rFonts w:cs="Arial"/>
                <w:color w:val="auto"/>
                <w:lang w:val="es-ES"/>
              </w:rPr>
              <w:tab/>
            </w:r>
          </w:p>
        </w:tc>
        <w:tc>
          <w:tcPr>
            <w:tcW w:w="4480" w:type="dxa"/>
          </w:tcPr>
          <w:p w14:paraId="34C8F27E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2020; Ghavidel et al., 2020; Sayeed &amp; Gupta, 2022; Sung et al., 2019b)</w:t>
            </w:r>
          </w:p>
        </w:tc>
      </w:tr>
      <w:tr w:rsidR="00386795" w:rsidRPr="004E7287" w14:paraId="469E5781" w14:textId="77777777" w:rsidTr="00550D81">
        <w:trPr>
          <w:jc w:val="center"/>
        </w:trPr>
        <w:tc>
          <w:tcPr>
            <w:tcW w:w="4531" w:type="dxa"/>
          </w:tcPr>
          <w:p w14:paraId="02C10D89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LSTM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4330EA6E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(Chen &amp; Li, 2021; Zhu et al., 2022)</w:t>
            </w:r>
          </w:p>
        </w:tc>
      </w:tr>
      <w:tr w:rsidR="00386795" w:rsidRPr="004E7287" w14:paraId="1713D63B" w14:textId="77777777" w:rsidTr="00550D81">
        <w:trPr>
          <w:jc w:val="center"/>
        </w:trPr>
        <w:tc>
          <w:tcPr>
            <w:tcW w:w="4531" w:type="dxa"/>
          </w:tcPr>
          <w:p w14:paraId="438FBCAA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ELMo</w:t>
            </w:r>
          </w:p>
        </w:tc>
        <w:tc>
          <w:tcPr>
            <w:tcW w:w="4480" w:type="dxa"/>
          </w:tcPr>
          <w:p w14:paraId="7C45A690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(Zhu et al., 2022)</w:t>
            </w:r>
          </w:p>
        </w:tc>
      </w:tr>
      <w:tr w:rsidR="00386795" w:rsidRPr="004E7287" w14:paraId="06B6D0F8" w14:textId="77777777" w:rsidTr="00550D81">
        <w:trPr>
          <w:jc w:val="center"/>
        </w:trPr>
        <w:tc>
          <w:tcPr>
            <w:tcW w:w="4531" w:type="dxa"/>
          </w:tcPr>
          <w:p w14:paraId="6F0E48E8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Iterative Transfer Learning (ITL)</w:t>
            </w:r>
          </w:p>
        </w:tc>
        <w:tc>
          <w:tcPr>
            <w:tcW w:w="4480" w:type="dxa"/>
          </w:tcPr>
          <w:p w14:paraId="120FE452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(Chen &amp; Li, 2021; Zhu et al., 2022)</w:t>
            </w:r>
          </w:p>
        </w:tc>
      </w:tr>
      <w:tr w:rsidR="00386795" w:rsidRPr="004E7287" w14:paraId="6917311D" w14:textId="77777777" w:rsidTr="00550D81">
        <w:trPr>
          <w:jc w:val="center"/>
        </w:trPr>
        <w:tc>
          <w:tcPr>
            <w:tcW w:w="4531" w:type="dxa"/>
          </w:tcPr>
          <w:p w14:paraId="2E7B6FE5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Token Overlap and Sentence Embedding (TOKSEN)</w:t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508067B3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(Zhu et al., 2022)</w:t>
            </w:r>
          </w:p>
        </w:tc>
      </w:tr>
      <w:tr w:rsidR="00386795" w:rsidRPr="004E7287" w14:paraId="59B5B744" w14:textId="77777777" w:rsidTr="00550D81">
        <w:trPr>
          <w:jc w:val="center"/>
        </w:trPr>
        <w:tc>
          <w:tcPr>
            <w:tcW w:w="4531" w:type="dxa"/>
          </w:tcPr>
          <w:p w14:paraId="39C425BD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GCNs</w:t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34E89555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(Zhu et al., 2022)</w:t>
            </w:r>
          </w:p>
        </w:tc>
      </w:tr>
      <w:tr w:rsidR="00386795" w:rsidRPr="004E7287" w14:paraId="02C62901" w14:textId="77777777" w:rsidTr="00550D81">
        <w:trPr>
          <w:jc w:val="center"/>
        </w:trPr>
        <w:tc>
          <w:tcPr>
            <w:tcW w:w="9011" w:type="dxa"/>
            <w:gridSpan w:val="2"/>
          </w:tcPr>
          <w:p w14:paraId="2B44A04B" w14:textId="77777777" w:rsidR="00386795" w:rsidRPr="004E7287" w:rsidRDefault="00386795" w:rsidP="00550D81">
            <w:pPr>
              <w:spacing w:line="276" w:lineRule="auto"/>
              <w:jc w:val="center"/>
              <w:rPr>
                <w:rFonts w:cs="Arial"/>
                <w:b/>
                <w:color w:val="auto"/>
              </w:rPr>
            </w:pPr>
            <w:r w:rsidRPr="004E7287">
              <w:rPr>
                <w:rFonts w:cs="Arial"/>
                <w:b/>
                <w:color w:val="auto"/>
              </w:rPr>
              <w:t>Other machine learning models (7 distinct papers)</w:t>
            </w:r>
          </w:p>
        </w:tc>
      </w:tr>
      <w:tr w:rsidR="00386795" w:rsidRPr="004E7287" w14:paraId="422CAFE7" w14:textId="77777777" w:rsidTr="00550D81">
        <w:trPr>
          <w:jc w:val="center"/>
        </w:trPr>
        <w:tc>
          <w:tcPr>
            <w:tcW w:w="4531" w:type="dxa"/>
          </w:tcPr>
          <w:p w14:paraId="071FB0FB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Mohler (graph and semantic similarity)</w:t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65D547B4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(Chen &amp; Li, 2021; Zhu et al., 2022)</w:t>
            </w:r>
            <w:r w:rsidRPr="004E7287">
              <w:rPr>
                <w:rFonts w:cs="Arial"/>
                <w:color w:val="auto"/>
              </w:rPr>
              <w:tab/>
            </w:r>
          </w:p>
        </w:tc>
      </w:tr>
      <w:tr w:rsidR="00386795" w:rsidRPr="004E7287" w14:paraId="3BE168DF" w14:textId="77777777" w:rsidTr="00550D81">
        <w:trPr>
          <w:jc w:val="center"/>
        </w:trPr>
        <w:tc>
          <w:tcPr>
            <w:tcW w:w="4531" w:type="dxa"/>
          </w:tcPr>
          <w:p w14:paraId="47651493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lastRenderedPageBreak/>
              <w:t>Sultan et al. / feature ensemble approach</w:t>
            </w:r>
          </w:p>
        </w:tc>
        <w:tc>
          <w:tcPr>
            <w:tcW w:w="4480" w:type="dxa"/>
          </w:tcPr>
          <w:p w14:paraId="0BD31536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2020; Ghavidel et al., 2020; Sayeed &amp; Gupta, 2022; Sung et al., 2019b; Zhu et al., 2022)</w:t>
            </w:r>
          </w:p>
        </w:tc>
      </w:tr>
      <w:tr w:rsidR="00386795" w:rsidRPr="004E7287" w14:paraId="47FD9F5A" w14:textId="77777777" w:rsidTr="00550D81">
        <w:trPr>
          <w:jc w:val="center"/>
        </w:trPr>
        <w:tc>
          <w:tcPr>
            <w:tcW w:w="4531" w:type="dxa"/>
          </w:tcPr>
          <w:p w14:paraId="51810BF3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Feature Engineering and Ensemble-Based</w:t>
            </w:r>
          </w:p>
        </w:tc>
        <w:tc>
          <w:tcPr>
            <w:tcW w:w="4480" w:type="dxa"/>
          </w:tcPr>
          <w:p w14:paraId="5EB45A6B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(Chen &amp; Li, 2021)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</w:tr>
      <w:tr w:rsidR="00386795" w:rsidRPr="004E7287" w14:paraId="1C2767AF" w14:textId="77777777" w:rsidTr="00550D81">
        <w:trPr>
          <w:jc w:val="center"/>
        </w:trPr>
        <w:tc>
          <w:tcPr>
            <w:tcW w:w="4531" w:type="dxa"/>
          </w:tcPr>
          <w:p w14:paraId="67D7096C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ETS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  <w:p w14:paraId="3F916A3F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</w:p>
        </w:tc>
        <w:tc>
          <w:tcPr>
            <w:tcW w:w="4480" w:type="dxa"/>
          </w:tcPr>
          <w:p w14:paraId="48A5CFF3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2020; Chen &amp; Li, 2021; Ghavidel et al., 2020; Sung et al., 2019b; Zhu et al., 2022)</w:t>
            </w:r>
          </w:p>
        </w:tc>
      </w:tr>
      <w:tr w:rsidR="00386795" w:rsidRPr="004E7287" w14:paraId="2653756B" w14:textId="77777777" w:rsidTr="00550D81">
        <w:trPr>
          <w:jc w:val="center"/>
        </w:trPr>
        <w:tc>
          <w:tcPr>
            <w:tcW w:w="4531" w:type="dxa"/>
          </w:tcPr>
          <w:p w14:paraId="2EC16636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SOFTCARDINALITY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4C7B03F4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2020; Ghavidel et al., 2020; Sung et al., 2019b; Zhu et al., 2022)</w:t>
            </w:r>
          </w:p>
        </w:tc>
      </w:tr>
      <w:tr w:rsidR="00386795" w:rsidRPr="004E7287" w14:paraId="3C596A5C" w14:textId="77777777" w:rsidTr="00550D81">
        <w:trPr>
          <w:jc w:val="center"/>
        </w:trPr>
        <w:tc>
          <w:tcPr>
            <w:tcW w:w="4531" w:type="dxa"/>
          </w:tcPr>
          <w:p w14:paraId="6ACC522D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COMET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3B796D0D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(Ghavidel et al., 2020)</w:t>
            </w:r>
          </w:p>
        </w:tc>
      </w:tr>
      <w:tr w:rsidR="00386795" w:rsidRPr="004E7287" w14:paraId="2408C464" w14:textId="77777777" w:rsidTr="00550D81">
        <w:trPr>
          <w:jc w:val="center"/>
        </w:trPr>
        <w:tc>
          <w:tcPr>
            <w:tcW w:w="4531" w:type="dxa"/>
          </w:tcPr>
          <w:p w14:paraId="4D520EB5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Random Forest</w:t>
            </w:r>
          </w:p>
        </w:tc>
        <w:tc>
          <w:tcPr>
            <w:tcW w:w="4480" w:type="dxa"/>
          </w:tcPr>
          <w:p w14:paraId="600B13F0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(Wang et al., 2019)</w:t>
            </w:r>
          </w:p>
        </w:tc>
      </w:tr>
      <w:tr w:rsidR="00386795" w:rsidRPr="004E7287" w14:paraId="7C12FD57" w14:textId="77777777" w:rsidTr="00550D81">
        <w:trPr>
          <w:jc w:val="center"/>
        </w:trPr>
        <w:tc>
          <w:tcPr>
            <w:tcW w:w="4531" w:type="dxa"/>
          </w:tcPr>
          <w:p w14:paraId="7F6300DF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K Nearest Neighbours</w:t>
            </w:r>
          </w:p>
        </w:tc>
        <w:tc>
          <w:tcPr>
            <w:tcW w:w="4480" w:type="dxa"/>
          </w:tcPr>
          <w:p w14:paraId="14257555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(Wang et al., 2019)</w:t>
            </w:r>
            <w:r w:rsidRPr="004E7287">
              <w:rPr>
                <w:rFonts w:cs="Arial"/>
                <w:color w:val="auto"/>
              </w:rPr>
              <w:tab/>
            </w:r>
          </w:p>
        </w:tc>
      </w:tr>
      <w:tr w:rsidR="00386795" w:rsidRPr="004E7287" w14:paraId="50D3EAA3" w14:textId="77777777" w:rsidTr="00550D81">
        <w:trPr>
          <w:jc w:val="center"/>
        </w:trPr>
        <w:tc>
          <w:tcPr>
            <w:tcW w:w="4531" w:type="dxa"/>
          </w:tcPr>
          <w:p w14:paraId="7F8DED09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Logistic regression</w:t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02CB6AFC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(Wang et al., 2019)</w:t>
            </w:r>
          </w:p>
        </w:tc>
      </w:tr>
      <w:tr w:rsidR="00386795" w:rsidRPr="004E7287" w14:paraId="7FC72C94" w14:textId="77777777" w:rsidTr="00550D81">
        <w:trPr>
          <w:jc w:val="center"/>
        </w:trPr>
        <w:tc>
          <w:tcPr>
            <w:tcW w:w="9011" w:type="dxa"/>
            <w:gridSpan w:val="2"/>
          </w:tcPr>
          <w:p w14:paraId="6CDD45AF" w14:textId="77777777" w:rsidR="00386795" w:rsidRPr="004E7287" w:rsidRDefault="00386795" w:rsidP="00550D81">
            <w:pPr>
              <w:spacing w:line="276" w:lineRule="auto"/>
              <w:jc w:val="center"/>
              <w:rPr>
                <w:rFonts w:cs="Arial"/>
                <w:b/>
                <w:color w:val="auto"/>
              </w:rPr>
            </w:pPr>
            <w:r w:rsidRPr="004E7287">
              <w:rPr>
                <w:rFonts w:cs="Arial"/>
                <w:b/>
                <w:color w:val="auto"/>
              </w:rPr>
              <w:t>Other auto-markers (8 distinct papers)</w:t>
            </w:r>
          </w:p>
        </w:tc>
      </w:tr>
      <w:tr w:rsidR="00386795" w:rsidRPr="004E7287" w14:paraId="4C62C7A4" w14:textId="77777777" w:rsidTr="00550D81">
        <w:trPr>
          <w:jc w:val="center"/>
        </w:trPr>
        <w:tc>
          <w:tcPr>
            <w:tcW w:w="4531" w:type="dxa"/>
          </w:tcPr>
          <w:p w14:paraId="17061A16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Rule-based</w:t>
            </w:r>
          </w:p>
        </w:tc>
        <w:tc>
          <w:tcPr>
            <w:tcW w:w="4480" w:type="dxa"/>
          </w:tcPr>
          <w:p w14:paraId="60237C42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(Becker et al., 2021)</w:t>
            </w:r>
            <w:r w:rsidRPr="004E7287">
              <w:rPr>
                <w:rFonts w:cs="Arial"/>
                <w:color w:val="auto"/>
              </w:rPr>
              <w:tab/>
            </w:r>
          </w:p>
        </w:tc>
      </w:tr>
      <w:tr w:rsidR="00386795" w:rsidRPr="004E7287" w14:paraId="45645ECD" w14:textId="77777777" w:rsidTr="00550D81">
        <w:trPr>
          <w:jc w:val="center"/>
        </w:trPr>
        <w:tc>
          <w:tcPr>
            <w:tcW w:w="4531" w:type="dxa"/>
          </w:tcPr>
          <w:p w14:paraId="0491CC5A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Sem-Eval original baseline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68595024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2020; Sung et al., 2019b)</w:t>
            </w:r>
          </w:p>
        </w:tc>
      </w:tr>
      <w:tr w:rsidR="00386795" w:rsidRPr="004E7287" w14:paraId="59ADC92D" w14:textId="77777777" w:rsidTr="00550D81">
        <w:trPr>
          <w:jc w:val="center"/>
        </w:trPr>
        <w:tc>
          <w:tcPr>
            <w:tcW w:w="4531" w:type="dxa"/>
          </w:tcPr>
          <w:p w14:paraId="3695C3A0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Majority classification (proportion)</w:t>
            </w:r>
          </w:p>
        </w:tc>
        <w:tc>
          <w:tcPr>
            <w:tcW w:w="4480" w:type="dxa"/>
          </w:tcPr>
          <w:p w14:paraId="2A7EB335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(Cochran et al., 2023)</w:t>
            </w:r>
          </w:p>
        </w:tc>
      </w:tr>
      <w:tr w:rsidR="00386795" w:rsidRPr="004E7287" w14:paraId="2403CE17" w14:textId="77777777" w:rsidTr="00550D81">
        <w:trPr>
          <w:jc w:val="center"/>
        </w:trPr>
        <w:tc>
          <w:tcPr>
            <w:tcW w:w="4531" w:type="dxa"/>
          </w:tcPr>
          <w:p w14:paraId="7B0BA3C7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Node2Vec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089700BB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(Condor et al., 2022)</w:t>
            </w:r>
            <w:r w:rsidRPr="004E7287">
              <w:rPr>
                <w:rFonts w:cs="Arial"/>
                <w:color w:val="auto"/>
              </w:rPr>
              <w:tab/>
            </w:r>
          </w:p>
        </w:tc>
      </w:tr>
      <w:tr w:rsidR="00386795" w:rsidRPr="004E7287" w14:paraId="3EEB5A9D" w14:textId="77777777" w:rsidTr="00550D81">
        <w:trPr>
          <w:jc w:val="center"/>
        </w:trPr>
        <w:tc>
          <w:tcPr>
            <w:tcW w:w="4531" w:type="dxa"/>
          </w:tcPr>
          <w:p w14:paraId="41061F1F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Machine generated concept map</w:t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22E4CF24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(Chang et al., 2021)</w:t>
            </w:r>
          </w:p>
        </w:tc>
      </w:tr>
      <w:tr w:rsidR="00386795" w:rsidRPr="004E7287" w14:paraId="68C19E21" w14:textId="77777777" w:rsidTr="00550D81">
        <w:trPr>
          <w:jc w:val="center"/>
        </w:trPr>
        <w:tc>
          <w:tcPr>
            <w:tcW w:w="4531" w:type="dxa"/>
          </w:tcPr>
          <w:p w14:paraId="66001E43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MEAD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2D95D964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(Camus &amp; Filighera, 2020; Ghavidel et al., 2020; Sung et al., 2019b)</w:t>
            </w:r>
          </w:p>
        </w:tc>
      </w:tr>
      <w:tr w:rsidR="00386795" w:rsidRPr="004E7287" w14:paraId="13DCF79A" w14:textId="77777777" w:rsidTr="00550D81">
        <w:trPr>
          <w:jc w:val="center"/>
        </w:trPr>
        <w:tc>
          <w:tcPr>
            <w:tcW w:w="4531" w:type="dxa"/>
          </w:tcPr>
          <w:p w14:paraId="66DC38CB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>Graph</w:t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  <w:r w:rsidRPr="004E7287">
              <w:rPr>
                <w:rFonts w:cs="Arial"/>
                <w:color w:val="auto"/>
              </w:rPr>
              <w:tab/>
            </w:r>
          </w:p>
          <w:p w14:paraId="297BB7A9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color w:val="auto"/>
              </w:rPr>
              <w:tab/>
            </w:r>
          </w:p>
        </w:tc>
        <w:tc>
          <w:tcPr>
            <w:tcW w:w="4480" w:type="dxa"/>
          </w:tcPr>
          <w:p w14:paraId="0A41A82A" w14:textId="77777777" w:rsidR="00386795" w:rsidRPr="004E7287" w:rsidRDefault="00386795" w:rsidP="00550D81">
            <w:pPr>
              <w:spacing w:line="276" w:lineRule="auto"/>
              <w:rPr>
                <w:rFonts w:cs="Arial"/>
                <w:color w:val="auto"/>
              </w:rPr>
            </w:pPr>
            <w:r w:rsidRPr="004E7287">
              <w:rPr>
                <w:rFonts w:cs="Arial"/>
                <w:noProof/>
                <w:color w:val="auto"/>
              </w:rPr>
              <w:t>(Chang et al., 2021; Ghavidel et al., 2020; Sung et al., 2019b; Zhu et al., 2022)</w:t>
            </w:r>
          </w:p>
        </w:tc>
      </w:tr>
    </w:tbl>
    <w:p w14:paraId="1F138618" w14:textId="77777777" w:rsidR="00386795" w:rsidRPr="004E7287" w:rsidRDefault="00386795" w:rsidP="00386795">
      <w:pPr>
        <w:spacing w:before="240" w:after="0" w:line="276" w:lineRule="auto"/>
        <w:ind w:left="720"/>
        <w:rPr>
          <w:rFonts w:cs="Arial"/>
          <w:color w:val="auto"/>
          <w:sz w:val="18"/>
          <w:szCs w:val="18"/>
          <w:lang w:eastAsia="en-GB"/>
        </w:rPr>
      </w:pPr>
      <w:r w:rsidRPr="004E7287">
        <w:rPr>
          <w:rFonts w:cs="Arial"/>
          <w:color w:val="auto"/>
          <w:sz w:val="20"/>
          <w:vertAlign w:val="superscript"/>
        </w:rPr>
        <w:t>†</w:t>
      </w:r>
      <w:r w:rsidRPr="004E7287">
        <w:rPr>
          <w:rFonts w:cs="Arial"/>
          <w:color w:val="auto"/>
          <w:sz w:val="18"/>
          <w:szCs w:val="18"/>
          <w:vertAlign w:val="superscript"/>
        </w:rPr>
        <w:t xml:space="preserve"> </w:t>
      </w:r>
      <w:r w:rsidRPr="004E7287">
        <w:rPr>
          <w:rFonts w:cs="Arial"/>
          <w:color w:val="auto"/>
          <w:sz w:val="18"/>
          <w:szCs w:val="18"/>
        </w:rPr>
        <w:t xml:space="preserve">Condor et al. (2022), Sung et al. (2019a), Wang et al. (2019), and Zhu et al. (2022) use a BERT model that was not fine-tuned.  </w:t>
      </w:r>
    </w:p>
    <w:p w14:paraId="4B0C1492" w14:textId="77777777" w:rsidR="00386795" w:rsidRPr="004E7287" w:rsidRDefault="00386795" w:rsidP="00386795">
      <w:pPr>
        <w:rPr>
          <w:rFonts w:cs="Arial"/>
          <w:color w:val="auto"/>
        </w:rPr>
      </w:pPr>
    </w:p>
    <w:p w14:paraId="297DF451" w14:textId="77777777" w:rsidR="00386795" w:rsidRPr="004E7287" w:rsidRDefault="00386795" w:rsidP="00386795">
      <w:pPr>
        <w:rPr>
          <w:rFonts w:cs="Arial"/>
          <w:color w:val="auto"/>
        </w:rPr>
      </w:pPr>
    </w:p>
    <w:p w14:paraId="0869ED6C" w14:textId="77777777" w:rsidR="008C374B" w:rsidRDefault="008C374B"/>
    <w:sectPr w:rsidR="008C374B" w:rsidSect="00386795">
      <w:headerReference w:type="first" r:id="rId4"/>
      <w:footerReference w:type="firs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27865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411BDA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D6449A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95025" w14:textId="77777777" w:rsidR="00000000" w:rsidRDefault="00000000">
    <w:pPr>
      <w:pStyle w:val="Header"/>
    </w:pPr>
    <w:r w:rsidRPr="00E71F77">
      <w:rPr>
        <w:rFonts w:asciiTheme="majorHAnsi" w:hAnsiTheme="majorHAnsi" w:cstheme="majorHAns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34F778" wp14:editId="38065E15">
              <wp:simplePos x="0" y="0"/>
              <wp:positionH relativeFrom="page">
                <wp:posOffset>504190</wp:posOffset>
              </wp:positionH>
              <wp:positionV relativeFrom="page">
                <wp:posOffset>19658330</wp:posOffset>
              </wp:positionV>
              <wp:extent cx="1663065" cy="277495"/>
              <wp:effectExtent l="0" t="0" r="0" b="0"/>
              <wp:wrapNone/>
              <wp:docPr id="2135587817" name="Text Box 21355878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63065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/>
                      </a:extLst>
                    </wps:spPr>
                    <wps:txbx>
                      <w:txbxContent>
                        <w:p w14:paraId="601281A5" w14:textId="77777777" w:rsidR="00000000" w:rsidRPr="00196D9D" w:rsidRDefault="00000000" w:rsidP="00A915EA">
                          <w:r w:rsidRPr="00196D9D">
                            <w:rPr>
                              <w:rFonts w:cs="Arial"/>
                              <w:spacing w:val="-6"/>
                              <w:kern w:val="16"/>
                              <w:sz w:val="16"/>
                              <w:szCs w:val="16"/>
                            </w:rPr>
                            <w:t>1 Hills Road, Cambridge, CB1 2EU</w:t>
                          </w:r>
                        </w:p>
                        <w:p w14:paraId="410475F3" w14:textId="77777777" w:rsidR="00000000" w:rsidRPr="00196D9D" w:rsidRDefault="00000000" w:rsidP="00A915EA">
                          <w:r w:rsidRPr="00196D9D">
                            <w:rPr>
                              <w:rFonts w:cs="Arial"/>
                              <w:spacing w:val="-6"/>
                              <w:kern w:val="16"/>
                              <w:sz w:val="16"/>
                              <w:szCs w:val="16"/>
                            </w:rPr>
                            <w:t>cambridgeassessment.org.uk</w:t>
                          </w:r>
                        </w:p>
                        <w:p w14:paraId="632DD167" w14:textId="77777777" w:rsidR="00000000" w:rsidRPr="00E4145A" w:rsidRDefault="00000000" w:rsidP="00A915EA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34F778" id="_x0000_t202" coordsize="21600,21600" o:spt="202" path="m,l,21600r21600,l21600,xe">
              <v:stroke joinstyle="miter"/>
              <v:path gradientshapeok="t" o:connecttype="rect"/>
            </v:shapetype>
            <v:shape id="Text Box 2135587817" o:spid="_x0000_s1026" type="#_x0000_t202" style="position:absolute;margin-left:39.7pt;margin-top:1547.9pt;width:130.95pt;height:21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" filled="f" stroked="f">
              <v:textbox inset="0,0,0,0">
                <w:txbxContent>
                  <w:p w14:paraId="601281A5" w14:textId="77777777" w:rsidR="00000000" w:rsidRPr="00196D9D" w:rsidRDefault="00000000" w:rsidP="00A915EA">
                    <w:r w:rsidRPr="00196D9D">
                      <w:rPr>
                        <w:rFonts w:cs="Arial"/>
                        <w:spacing w:val="-6"/>
                        <w:kern w:val="16"/>
                        <w:sz w:val="16"/>
                        <w:szCs w:val="16"/>
                      </w:rPr>
                      <w:t>1 Hills Road, Cambridge, CB1 2EU</w:t>
                    </w:r>
                  </w:p>
                  <w:p w14:paraId="410475F3" w14:textId="77777777" w:rsidR="00000000" w:rsidRPr="00196D9D" w:rsidRDefault="00000000" w:rsidP="00A915EA">
                    <w:r w:rsidRPr="00196D9D">
                      <w:rPr>
                        <w:rFonts w:cs="Arial"/>
                        <w:spacing w:val="-6"/>
                        <w:kern w:val="16"/>
                        <w:sz w:val="16"/>
                        <w:szCs w:val="16"/>
                      </w:rPr>
                      <w:t>cambridgeassessment.org.uk</w:t>
                    </w:r>
                  </w:p>
                  <w:p w14:paraId="632DD167" w14:textId="77777777" w:rsidR="00000000" w:rsidRPr="00E4145A" w:rsidRDefault="00000000" w:rsidP="00A915EA"/>
                </w:txbxContent>
              </v:textbox>
              <w10:wrap anchorx="page" anchory="page"/>
            </v:shape>
          </w:pict>
        </mc:Fallback>
      </mc:AlternateContent>
    </w:r>
    <w:r w:rsidRPr="00E71F77">
      <w:rPr>
        <w:rFonts w:asciiTheme="majorHAnsi" w:hAnsiTheme="majorHAnsi" w:cstheme="majorHAns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541AE7" wp14:editId="2098F081">
              <wp:simplePos x="0" y="0"/>
              <wp:positionH relativeFrom="page">
                <wp:posOffset>3959860</wp:posOffset>
              </wp:positionH>
              <wp:positionV relativeFrom="page">
                <wp:posOffset>19658330</wp:posOffset>
              </wp:positionV>
              <wp:extent cx="1663065" cy="277495"/>
              <wp:effectExtent l="0" t="0" r="0" b="0"/>
              <wp:wrapNone/>
              <wp:docPr id="392522389" name="Text Box 3925223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63065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/>
                      </a:extLst>
                    </wps:spPr>
                    <wps:txbx>
                      <w:txbxContent>
                        <w:p w14:paraId="4BC94D7F" w14:textId="77777777" w:rsidR="00000000" w:rsidRPr="00196D9D" w:rsidRDefault="00000000" w:rsidP="00A915EA">
                          <w:pPr>
                            <w:rPr>
                              <w:lang w:val="en-US"/>
                            </w:rPr>
                          </w:pPr>
                          <w:r w:rsidRPr="00196D9D">
                            <w:rPr>
                              <w:lang w:val="en-US"/>
                            </w:rPr>
                            <w:t>+44 (0)1223 553311</w:t>
                          </w:r>
                        </w:p>
                        <w:p w14:paraId="04AEE685" w14:textId="77777777" w:rsidR="00000000" w:rsidRPr="00196D9D" w:rsidRDefault="00000000" w:rsidP="00A915EA">
                          <w:pPr>
                            <w:rPr>
                              <w:lang w:val="en-US"/>
                            </w:rPr>
                          </w:pPr>
                          <w:r w:rsidRPr="00196D9D">
                            <w:rPr>
                              <w:lang w:val="en-US"/>
                            </w:rPr>
                            <w:t>info@cambridgeassessment.org.uk</w:t>
                          </w:r>
                        </w:p>
                        <w:p w14:paraId="44CE2693" w14:textId="77777777" w:rsidR="00000000" w:rsidRPr="00E4145A" w:rsidRDefault="00000000" w:rsidP="00A915EA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41AE7" id="Text Box 392522389" o:spid="_x0000_s1027" type="#_x0000_t202" style="position:absolute;margin-left:311.8pt;margin-top:1547.9pt;width:130.95pt;height:21.8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" filled="f" stroked="f">
              <v:textbox inset="0,0,0,0">
                <w:txbxContent>
                  <w:p w14:paraId="4BC94D7F" w14:textId="77777777" w:rsidR="00000000" w:rsidRPr="00196D9D" w:rsidRDefault="00000000" w:rsidP="00A915EA">
                    <w:pPr>
                      <w:rPr>
                        <w:lang w:val="en-US"/>
                      </w:rPr>
                    </w:pPr>
                    <w:r w:rsidRPr="00196D9D">
                      <w:rPr>
                        <w:lang w:val="en-US"/>
                      </w:rPr>
                      <w:t>+44 (0)1223 553311</w:t>
                    </w:r>
                  </w:p>
                  <w:p w14:paraId="04AEE685" w14:textId="77777777" w:rsidR="00000000" w:rsidRPr="00196D9D" w:rsidRDefault="00000000" w:rsidP="00A915EA">
                    <w:pPr>
                      <w:rPr>
                        <w:lang w:val="en-US"/>
                      </w:rPr>
                    </w:pPr>
                    <w:r w:rsidRPr="00196D9D">
                      <w:rPr>
                        <w:lang w:val="en-US"/>
                      </w:rPr>
                      <w:t>info@cambridgeassessment.org.uk</w:t>
                    </w:r>
                  </w:p>
                  <w:p w14:paraId="44CE2693" w14:textId="77777777" w:rsidR="00000000" w:rsidRPr="00E4145A" w:rsidRDefault="00000000" w:rsidP="00A915EA"/>
                </w:txbxContent>
              </v:textbox>
              <w10:wrap anchorx="page" anchory="page"/>
            </v:shape>
          </w:pict>
        </mc:Fallback>
      </mc:AlternateContent>
    </w:r>
    <w:r w:rsidRPr="00E71F77">
      <w:rPr>
        <w:rFonts w:asciiTheme="majorHAnsi" w:hAnsiTheme="majorHAnsi" w:cstheme="majorHAns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64F3D83" wp14:editId="48F78A5B">
              <wp:simplePos x="0" y="0"/>
              <wp:positionH relativeFrom="page">
                <wp:posOffset>7500620</wp:posOffset>
              </wp:positionH>
              <wp:positionV relativeFrom="page">
                <wp:posOffset>19733260</wp:posOffset>
              </wp:positionV>
              <wp:extent cx="3477895" cy="170815"/>
              <wp:effectExtent l="0" t="0" r="0" b="0"/>
              <wp:wrapNone/>
              <wp:docPr id="819085568" name="Text Box 8190855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77895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/>
                      </a:extLst>
                    </wps:spPr>
                    <wps:txbx>
                      <w:txbxContent>
                        <w:p w14:paraId="38A111B6" w14:textId="77777777" w:rsidR="00000000" w:rsidRPr="006311DA" w:rsidRDefault="00000000" w:rsidP="00A915EA">
                          <w:pPr>
                            <w:rPr>
                              <w:lang w:val="en-US"/>
                            </w:rPr>
                          </w:pPr>
                          <w:r w:rsidRPr="006311DA">
                            <w:rPr>
                              <w:lang w:val="en-US"/>
                            </w:rPr>
                            <w:t xml:space="preserve">Cambridge Assessment is the brand name of the University of Cambridge Local Examinations Syndicate, </w:t>
                          </w:r>
                        </w:p>
                        <w:p w14:paraId="163139A1" w14:textId="77777777" w:rsidR="00000000" w:rsidRPr="006311DA" w:rsidRDefault="00000000" w:rsidP="00A915EA">
                          <w:pPr>
                            <w:rPr>
                              <w:lang w:val="en-US"/>
                            </w:rPr>
                          </w:pPr>
                          <w:r w:rsidRPr="006311DA">
                            <w:rPr>
                              <w:lang w:val="en-US"/>
                            </w:rPr>
                            <w:t>department of the University of Cambridge. Cambridge Assessment is a not-for-profit organisation.</w:t>
                          </w:r>
                        </w:p>
                        <w:p w14:paraId="797C860A" w14:textId="77777777" w:rsidR="00000000" w:rsidRPr="00196D9D" w:rsidRDefault="00000000" w:rsidP="00A915EA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64F3D83" id="Text Box 819085568" o:spid="_x0000_s1028" type="#_x0000_t202" style="position:absolute;margin-left:590.6pt;margin-top:1553.8pt;width:273.85pt;height:13.4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" filled="f" stroked="f">
              <v:textbox inset="0,0,0,0">
                <w:txbxContent>
                  <w:p w14:paraId="38A111B6" w14:textId="77777777" w:rsidR="00000000" w:rsidRPr="006311DA" w:rsidRDefault="00000000" w:rsidP="00A915EA">
                    <w:pPr>
                      <w:rPr>
                        <w:lang w:val="en-US"/>
                      </w:rPr>
                    </w:pPr>
                    <w:r w:rsidRPr="006311DA">
                      <w:rPr>
                        <w:lang w:val="en-US"/>
                      </w:rPr>
                      <w:t xml:space="preserve">Cambridge Assessment is the brand name of the University of Cambridge Local Examinations Syndicate, </w:t>
                    </w:r>
                  </w:p>
                  <w:p w14:paraId="163139A1" w14:textId="77777777" w:rsidR="00000000" w:rsidRPr="006311DA" w:rsidRDefault="00000000" w:rsidP="00A915EA">
                    <w:pPr>
                      <w:rPr>
                        <w:lang w:val="en-US"/>
                      </w:rPr>
                    </w:pPr>
                    <w:r w:rsidRPr="006311DA">
                      <w:rPr>
                        <w:lang w:val="en-US"/>
                      </w:rPr>
                      <w:t>department of the University of Cambridge. Cambridge Assessment is a not-for-profit organisation.</w:t>
                    </w:r>
                  </w:p>
                  <w:p w14:paraId="797C860A" w14:textId="77777777" w:rsidR="00000000" w:rsidRPr="00196D9D" w:rsidRDefault="00000000" w:rsidP="00A915EA"/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795"/>
    <w:rsid w:val="00235A10"/>
    <w:rsid w:val="002A5090"/>
    <w:rsid w:val="00386795"/>
    <w:rsid w:val="003F36CB"/>
    <w:rsid w:val="005C6F5D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9B8FF"/>
  <w15:chartTrackingRefBased/>
  <w15:docId w15:val="{C28BC1CA-8071-4179-92E9-D5CCCA8FE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795"/>
    <w:pPr>
      <w:spacing w:after="120" w:line="264" w:lineRule="auto"/>
    </w:pPr>
    <w:rPr>
      <w:rFonts w:ascii="Arial" w:eastAsia="MS Mincho" w:hAnsi="Arial" w:cs="Times New Roman"/>
      <w:color w:val="000000" w:themeColor="text1"/>
      <w:kern w:val="0"/>
      <w:sz w:val="22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679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679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679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679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679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679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679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679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679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67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67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67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67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67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67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67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67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67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6795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67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679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67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679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67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679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67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67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67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679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8679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6795"/>
    <w:rPr>
      <w:rFonts w:ascii="Arial" w:eastAsia="MS Mincho" w:hAnsi="Arial" w:cs="Times New Roman"/>
      <w:color w:val="000000" w:themeColor="text1"/>
      <w:kern w:val="0"/>
      <w:sz w:val="22"/>
      <w:szCs w:val="20"/>
      <w:lang w:val="en-GB"/>
      <w14:ligatures w14:val="none"/>
    </w:rPr>
  </w:style>
  <w:style w:type="paragraph" w:styleId="Footer">
    <w:name w:val="footer"/>
    <w:aliases w:val="Footnote"/>
    <w:basedOn w:val="Normal"/>
    <w:link w:val="FooterChar"/>
    <w:uiPriority w:val="99"/>
    <w:qFormat/>
    <w:rsid w:val="00386795"/>
    <w:pPr>
      <w:tabs>
        <w:tab w:val="center" w:pos="4320"/>
        <w:tab w:val="right" w:pos="8640"/>
      </w:tabs>
    </w:pPr>
    <w:rPr>
      <w:sz w:val="18"/>
    </w:rPr>
  </w:style>
  <w:style w:type="character" w:customStyle="1" w:styleId="FooterChar">
    <w:name w:val="Footer Char"/>
    <w:aliases w:val="Footnote Char"/>
    <w:basedOn w:val="DefaultParagraphFont"/>
    <w:link w:val="Footer"/>
    <w:uiPriority w:val="99"/>
    <w:rsid w:val="00386795"/>
    <w:rPr>
      <w:rFonts w:ascii="Arial" w:eastAsia="MS Mincho" w:hAnsi="Arial" w:cs="Times New Roman"/>
      <w:color w:val="000000" w:themeColor="text1"/>
      <w:kern w:val="0"/>
      <w:sz w:val="18"/>
      <w:szCs w:val="20"/>
      <w:lang w:val="en-GB"/>
      <w14:ligatures w14:val="none"/>
    </w:rPr>
  </w:style>
  <w:style w:type="table" w:customStyle="1" w:styleId="TableGrid2">
    <w:name w:val="Table Grid2"/>
    <w:basedOn w:val="TableNormal"/>
    <w:next w:val="TableGrid"/>
    <w:uiPriority w:val="59"/>
    <w:rsid w:val="00386795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867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853</Words>
  <Characters>4863</Characters>
  <Application>Microsoft Office Word</Application>
  <DocSecurity>0</DocSecurity>
  <Lines>40</Lines>
  <Paragraphs>11</Paragraphs>
  <ScaleCrop>false</ScaleCrop>
  <Company>Springer Nature</Company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2025-04-11T10:59:00Z</dcterms:created>
  <dcterms:modified xsi:type="dcterms:W3CDTF">2025-04-11T11:02:00Z</dcterms:modified>
</cp:coreProperties>
</file>