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C5FB5" w14:textId="77777777"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We appreciate the reviewer’s insightful feedback. Based on the suggestions, the following modifications have been made:</w:t>
      </w:r>
    </w:p>
    <w:p w14:paraId="3916238C" w14:textId="5E4044B2" w:rsidR="00400189" w:rsidRPr="00E30F80" w:rsidRDefault="004B73EA" w:rsidP="00977EA5">
      <w:pPr>
        <w:spacing w:line="276" w:lineRule="auto"/>
        <w:rPr>
          <w:rFonts w:ascii="Times New Roman" w:hAnsi="Times New Roman" w:cs="Times New Roman"/>
          <w:b/>
          <w:bCs/>
          <w:sz w:val="20"/>
          <w:szCs w:val="20"/>
        </w:rPr>
      </w:pPr>
      <w:r w:rsidRPr="00E30F80">
        <w:rPr>
          <w:rFonts w:ascii="Times New Roman" w:hAnsi="Times New Roman" w:cs="Times New Roman"/>
          <w:b/>
          <w:bCs/>
          <w:sz w:val="20"/>
          <w:szCs w:val="20"/>
        </w:rPr>
        <w:t>Comments and Revision</w:t>
      </w:r>
    </w:p>
    <w:p w14:paraId="6A961888" w14:textId="2AB95663" w:rsidR="000C3CAD" w:rsidRPr="00E30F80" w:rsidRDefault="000C3CAD" w:rsidP="00977EA5">
      <w:pPr>
        <w:spacing w:line="276" w:lineRule="auto"/>
        <w:rPr>
          <w:rFonts w:ascii="Times New Roman" w:hAnsi="Times New Roman" w:cs="Times New Roman"/>
          <w:b/>
          <w:bCs/>
          <w:sz w:val="20"/>
          <w:szCs w:val="20"/>
          <w:u w:val="single"/>
        </w:rPr>
      </w:pPr>
      <w:r w:rsidRPr="00E30F80">
        <w:rPr>
          <w:rFonts w:ascii="Times New Roman" w:hAnsi="Times New Roman" w:cs="Times New Roman"/>
          <w:b/>
          <w:bCs/>
          <w:sz w:val="20"/>
          <w:szCs w:val="20"/>
          <w:u w:val="single"/>
        </w:rPr>
        <w:t>#Reviewer 1</w:t>
      </w:r>
    </w:p>
    <w:p w14:paraId="70CDEA7C" w14:textId="77777777" w:rsidR="004B73EA" w:rsidRPr="00E30F80" w:rsidRDefault="004B73EA"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Comment 1:</w:t>
      </w:r>
    </w:p>
    <w:p w14:paraId="2AF86E8F" w14:textId="26A98C50"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The abstract is well written, but I recommend some modifications. It contains too many technical details, such as the sentence: 'The study focuses on varying the depth-to-breadth (d/b) ratio of grid ribs from 1 to 5 and adjusting rib spacing from 1000 to 4000 mm to find the optimum configuration.' Specific numerical values and detailed technical information should be moved to the main body of the paper, as the abstract should provide a high-level summary of the research. Additionally, ETABS is a commercial software and should not be mentioned in the abstract. Instead, it should be introduced and discussed within the main text of the paper.</w:t>
      </w:r>
    </w:p>
    <w:p w14:paraId="5297A527" w14:textId="77777777" w:rsidR="004B73EA" w:rsidRPr="00E30F80" w:rsidRDefault="004B73EA"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Response and Adjustments:</w:t>
      </w:r>
    </w:p>
    <w:p w14:paraId="33666524" w14:textId="4C0D386D"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1. Removal of Numerical Values: The specific numerical details regarding the depth-to-breadth (d/b) ratio and rib spacing have been moved from the abstract to the Methodology section. This ensures that the abstract provides a broader summary of the study without excessive technical details.</w:t>
      </w:r>
    </w:p>
    <w:p w14:paraId="240C44D0" w14:textId="77777777" w:rsidR="00125BB4"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 xml:space="preserve">2. Generalized Software Mention: The mention of ETABS has been replaced with numerical simulations in the abstract. The specific software used is now discussed in the main text </w:t>
      </w:r>
      <w:r w:rsidR="00125BB4">
        <w:rPr>
          <w:rFonts w:ascii="Times New Roman" w:hAnsi="Times New Roman" w:cs="Times New Roman"/>
          <w:sz w:val="20"/>
          <w:szCs w:val="20"/>
        </w:rPr>
        <w:t>as:</w:t>
      </w:r>
    </w:p>
    <w:p w14:paraId="7A42E400" w14:textId="38A81A78" w:rsidR="004B73EA" w:rsidRPr="00E30F80" w:rsidRDefault="00125BB4" w:rsidP="00977EA5">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Pr="00125BB4">
        <w:rPr>
          <w:rFonts w:ascii="Times New Roman" w:hAnsi="Times New Roman" w:cs="Times New Roman"/>
          <w:sz w:val="20"/>
          <w:szCs w:val="20"/>
        </w:rPr>
        <w:t xml:space="preserve">The building models were created using ETABS software that caters to multi-story building analysis and design </w:t>
      </w:r>
      <w:r w:rsidRPr="00125BB4">
        <w:rPr>
          <w:rFonts w:ascii="Times New Roman" w:hAnsi="Times New Roman" w:cs="Times New Roman"/>
          <w:color w:val="0070C0"/>
          <w:sz w:val="20"/>
          <w:szCs w:val="20"/>
        </w:rPr>
        <w:t xml:space="preserve">(Computers and Structures, Inc. 2022), </w:t>
      </w:r>
      <w:r w:rsidRPr="00125BB4">
        <w:rPr>
          <w:rFonts w:ascii="Times New Roman" w:hAnsi="Times New Roman" w:cs="Times New Roman"/>
          <w:sz w:val="20"/>
          <w:szCs w:val="20"/>
        </w:rPr>
        <w:t>and finite element analysis was conducted to evaluate dynamic responses under seismic loading</w:t>
      </w:r>
      <w:r w:rsidR="004B73EA" w:rsidRPr="00E30F80">
        <w:rPr>
          <w:rFonts w:ascii="Times New Roman" w:hAnsi="Times New Roman" w:cs="Times New Roman"/>
          <w:sz w:val="20"/>
          <w:szCs w:val="20"/>
        </w:rPr>
        <w:t>.</w:t>
      </w:r>
    </w:p>
    <w:p w14:paraId="1A4109F6" w14:textId="4ED183C1"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3. Refined Abstract for Clarity: The abstract has been revised to maintain a high-level overview, emphasizing the study’s objectives, methods, and key findings while ensuring it remains accessible to a broader audience.</w:t>
      </w:r>
    </w:p>
    <w:p w14:paraId="474537A9" w14:textId="7D1966F4" w:rsidR="001E6BEC" w:rsidRPr="00E30F80" w:rsidRDefault="001E6BEC"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Revised Abstract:</w:t>
      </w:r>
    </w:p>
    <w:p w14:paraId="54585191" w14:textId="77777777" w:rsidR="001E6BEC" w:rsidRDefault="001E6BEC" w:rsidP="00977EA5">
      <w:pPr>
        <w:spacing w:after="0" w:line="276" w:lineRule="auto"/>
        <w:jc w:val="both"/>
        <w:rPr>
          <w:rFonts w:ascii="Times New Roman" w:eastAsia="Times New Roman" w:hAnsi="Times New Roman" w:cs="Times New Roman"/>
          <w:kern w:val="0"/>
          <w:sz w:val="20"/>
          <w:szCs w:val="20"/>
          <w14:ligatures w14:val="none"/>
        </w:rPr>
      </w:pPr>
      <w:r w:rsidRPr="00E30F80">
        <w:rPr>
          <w:rFonts w:ascii="Times New Roman" w:eastAsia="Times New Roman" w:hAnsi="Times New Roman" w:cs="Times New Roman"/>
          <w:kern w:val="0"/>
          <w:sz w:val="20"/>
          <w:szCs w:val="20"/>
          <w14:ligatures w14:val="none"/>
        </w:rPr>
        <w:t>Rapid urbanization and increasingly complex building designs have led to a rise in structural irregularities, significantly affecting seismic performance. Plan irregularities often induce torsional effects, placing additional stress on structural elements. Slabs play a crucial role in load distribution and stability, particularly in irregular buildings where conventional slabs may not be optimal. Grid slabs, known for their lightweight structure and efficient load transfer, offer a promising solution for enhancing seismic resilience. However, limited research has explored their interaction with irregular building configurations. This study investigates the seismic performance of grid slabs in buildings with varying symmetries, including symmetric, single-axis symmetric, and asymmetric structures. Numerical simulations under dynamic loading conditions were conducted to assess the impact of different grid slab configurations on deflection, shell stresses, interstorey displacement, drift, and torsional irregularities. The findings reveal that optimized grid slab configurations can significantly reduce slab deflections and improve overall seismic performance, particularly in asymmetric buildings. While grid slabs enhance seismic resilience, symmetric buildings inherently offer better structural balance due to their uniform stiffness and load distribution. These insights contribute to the efficient design of earthquake-resistant structures with complex geometries.</w:t>
      </w:r>
      <w:bookmarkStart w:id="0" w:name="_Hlk184067244"/>
    </w:p>
    <w:bookmarkEnd w:id="0"/>
    <w:p w14:paraId="335BF0BC" w14:textId="77777777" w:rsidR="004B73EA" w:rsidRPr="00E30F80" w:rsidRDefault="004B73EA"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Comment 2:</w:t>
      </w:r>
    </w:p>
    <w:p w14:paraId="51D83E6C" w14:textId="77777777"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Seismic performance" should be included in the keyword section.</w:t>
      </w:r>
    </w:p>
    <w:p w14:paraId="5C0214A5" w14:textId="6FDF9AE9" w:rsidR="004B73EA" w:rsidRPr="00E30F80" w:rsidRDefault="004B73EA"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56DEEB30" w14:textId="7046C923" w:rsidR="004B73EA" w:rsidRPr="00E30F80" w:rsidRDefault="004B73EA" w:rsidP="00977EA5">
      <w:pPr>
        <w:spacing w:before="100" w:beforeAutospacing="1" w:after="100" w:afterAutospacing="1" w:line="276" w:lineRule="auto"/>
        <w:jc w:val="both"/>
        <w:rPr>
          <w:rFonts w:ascii="Times New Roman" w:eastAsia="Times New Roman" w:hAnsi="Times New Roman" w:cs="Times New Roman"/>
          <w:kern w:val="0"/>
          <w:sz w:val="20"/>
          <w:szCs w:val="20"/>
          <w:lang w:bidi="ne-NP"/>
          <w14:ligatures w14:val="none"/>
        </w:rPr>
      </w:pPr>
      <w:r w:rsidRPr="00E30F80">
        <w:rPr>
          <w:rFonts w:ascii="Times New Roman" w:eastAsia="Times New Roman" w:hAnsi="Times New Roman" w:cs="Times New Roman"/>
          <w:kern w:val="0"/>
          <w:sz w:val="20"/>
          <w:szCs w:val="20"/>
          <w:lang w:bidi="ne-NP"/>
          <w14:ligatures w14:val="none"/>
        </w:rPr>
        <w:lastRenderedPageBreak/>
        <w:t>The keyword "seismic performance" has now been added to the keyword section to enhance the visibility and relevance of the study.</w:t>
      </w:r>
    </w:p>
    <w:p w14:paraId="07145F16" w14:textId="403DF909" w:rsidR="004B73EA" w:rsidRPr="00E30F80" w:rsidRDefault="004B73EA" w:rsidP="00977EA5">
      <w:pPr>
        <w:spacing w:before="100" w:beforeAutospacing="1" w:after="100" w:afterAutospacing="1" w:line="276" w:lineRule="auto"/>
        <w:jc w:val="both"/>
        <w:rPr>
          <w:rFonts w:ascii="Times New Roman" w:eastAsia="Times New Roman" w:hAnsi="Times New Roman" w:cs="Times New Roman"/>
          <w:b/>
          <w:bCs/>
          <w:kern w:val="0"/>
          <w:sz w:val="20"/>
          <w:szCs w:val="20"/>
          <w:lang w:bidi="ne-NP"/>
          <w14:ligatures w14:val="none"/>
        </w:rPr>
      </w:pPr>
      <w:r w:rsidRPr="00E30F80">
        <w:rPr>
          <w:rFonts w:ascii="Times New Roman" w:eastAsia="Times New Roman" w:hAnsi="Times New Roman" w:cs="Times New Roman"/>
          <w:b/>
          <w:bCs/>
          <w:kern w:val="0"/>
          <w:sz w:val="20"/>
          <w:szCs w:val="20"/>
          <w:lang w:bidi="ne-NP"/>
          <w14:ligatures w14:val="none"/>
        </w:rPr>
        <w:t>Comment 3:</w:t>
      </w:r>
    </w:p>
    <w:p w14:paraId="0323AD87" w14:textId="6CC61526" w:rsidR="004B73EA" w:rsidRPr="00E30F80" w:rsidRDefault="004B73EA" w:rsidP="00977EA5">
      <w:pPr>
        <w:spacing w:before="100" w:beforeAutospacing="1" w:after="100" w:afterAutospacing="1" w:line="276" w:lineRule="auto"/>
        <w:jc w:val="both"/>
        <w:rPr>
          <w:rFonts w:ascii="Times New Roman" w:eastAsia="Times New Roman" w:hAnsi="Times New Roman" w:cs="Times New Roman"/>
          <w:kern w:val="0"/>
          <w:sz w:val="20"/>
          <w:szCs w:val="20"/>
          <w:lang w:bidi="ne-NP"/>
          <w14:ligatures w14:val="none"/>
        </w:rPr>
      </w:pPr>
      <w:r w:rsidRPr="00E30F80">
        <w:rPr>
          <w:rFonts w:ascii="Times New Roman" w:eastAsia="Times New Roman" w:hAnsi="Times New Roman" w:cs="Times New Roman"/>
          <w:kern w:val="0"/>
          <w:sz w:val="20"/>
          <w:szCs w:val="20"/>
          <w:lang w:bidi="ne-NP"/>
          <w14:ligatures w14:val="none"/>
        </w:rPr>
        <w:t>It is true that the most important factors are 'functionality, cost-efficiency, and resilience.' However, I strongly recommend also including 'sustainability,' as suggested in [DOI 10.1016/j.jobe.2023.107918]. This addition will provide the reader with a more comprehensive understanding of all the key factors influencing structural performance, particularly in the context of extreme events such as climate change.</w:t>
      </w:r>
    </w:p>
    <w:p w14:paraId="46FA23E5" w14:textId="77777777" w:rsidR="00851F07" w:rsidRDefault="00851F07"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741C15C7" w14:textId="38923D9D" w:rsidR="003729E8" w:rsidRPr="003729E8" w:rsidRDefault="003729E8" w:rsidP="00977EA5">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1. </w:t>
      </w:r>
      <w:r w:rsidRPr="003729E8">
        <w:rPr>
          <w:rFonts w:ascii="Times New Roman" w:hAnsi="Times New Roman" w:cs="Times New Roman"/>
          <w:sz w:val="20"/>
          <w:szCs w:val="20"/>
        </w:rPr>
        <w:t>Increasing material consumption in construction leads to greater energy use and higher carbon emissions, straining resources and conflicting with global sustainability goals</w:t>
      </w:r>
      <w:r w:rsidRPr="003729E8">
        <w:rPr>
          <w:rFonts w:ascii="Times New Roman" w:hAnsi="Times New Roman" w:cs="Times New Roman"/>
          <w:color w:val="0070C0"/>
          <w:sz w:val="20"/>
          <w:szCs w:val="20"/>
        </w:rPr>
        <w:t>.</w:t>
      </w:r>
      <w:r w:rsidRPr="003729E8">
        <w:rPr>
          <w:rFonts w:ascii="Times New Roman" w:hAnsi="Times New Roman" w:cs="Times New Roman"/>
          <w:sz w:val="20"/>
          <w:szCs w:val="20"/>
        </w:rPr>
        <w:t xml:space="preserve"> Thus, the environmental cost of inefficient design practices must be carefully considered in the context of sustainability </w:t>
      </w:r>
      <w:r w:rsidRPr="003729E8">
        <w:rPr>
          <w:rFonts w:ascii="Times New Roman" w:hAnsi="Times New Roman" w:cs="Times New Roman"/>
          <w:color w:val="0070C0"/>
          <w:sz w:val="20"/>
          <w:szCs w:val="20"/>
        </w:rPr>
        <w:fldChar w:fldCharType="begin" w:fldLock="1"/>
      </w:r>
      <w:r w:rsidRPr="003729E8">
        <w:rPr>
          <w:rFonts w:ascii="Times New Roman" w:hAnsi="Times New Roman" w:cs="Times New Roman"/>
          <w:color w:val="0070C0"/>
          <w:sz w:val="20"/>
          <w:szCs w:val="20"/>
        </w:rPr>
        <w:instrText>ADDIN CSL_CITATION {"citationItems":[{"id":"ITEM-1","itemData":{"DOI":"10.1021/acs.est.5b01735","ISSN":"0013-936X","author":[{"dropping-particle":"","family":"Heeren","given":"Niko","non-dropping-particle":"","parse-names":false,"suffix":""},{"dropping-particle":"","family":"Mutel","given":"Christopher L","non-dropping-particle":"","parse-names":false,"suffix":""},{"dropping-particle":"","family":"Steubing","given":"Bernhard","non-dropping-particle":"","parse-names":false,"suffix":""},{"dropping-particle":"","family":"Ostermeyer","given":"York","non-dropping-particle":"","parse-names":false,"suffix":""},{"dropping-particle":"","family":"Wallbaum","given":"Holger","non-dropping-particle":"","parse-names":false,"suffix":""},{"dropping-particle":"","family":"Hellweg","given":"Stefanie","non-dropping-particle":"","parse-names":false,"suffix":""}],"container-title":"Environmental Science &amp; Technology","id":"ITEM-1","issue":"16","issued":{"date-parts":[["2015","8","18"]]},"note":"doi: 10.1021/acs.est.5b01735","page":"9832-9841","publisher":"American Chemical Society","title":"Environmental Impact of Buildings—What Matters?","type":"article-journal","volume":"49"},"uris":["http://www.mendeley.com/documents/?uuid=3c0fabc0-ae96-47f7-bc94-eeac87fc1cc4"]},{"id":"ITEM-2","itemData":{"DOI":"10.12988/ces.2022.91945","author":[{"dropping-particle":"","family":"Sanglier Contreras","given":"Gastón","non-dropping-particle":"","parse-names":false,"suffix":""},{"dropping-particle":"","family":"Gonzalez-Lezcano","given":"Roberto Alonso","non-dropping-particle":"","parse-names":false,"suffix":""},{"dropping-particle":"","family":"Fernandez","given":"Eduardo","non-dropping-particle":"","parse-names":false,"suffix":""},{"dropping-particle":"","family":"Iglesias Sanz","given":"Carlos","non-dropping-particle":"","parse-names":false,"suffix":""}],"container-title":"Contemporary Engineering Sciences","id":"ITEM-2","issued":{"date-parts":[["2022","1","1"]]},"page":"51-61","title":"Building materials and their impact on the environment","type":"article-journal","volume":"15"},"uris":["http://www.mendeley.com/documents/?uuid=6c083b50-5e0d-4d08-9010-362f115acadd"]}],"mendeley":{"formattedCitation":"(Heeren et al. 2015; Sanglier Contreras et al. 2022)","plainTextFormattedCitation":"(Heeren et al. 2015; Sanglier Contreras et al. 2022)","previouslyFormattedCitation":"(Heeren et al. 2015; Sanglier Contreras et al. 2022)"},"properties":{"noteIndex":0},"schema":"https://github.com/citation-style-language/schema/raw/master/csl-citation.json"}</w:instrText>
      </w:r>
      <w:r w:rsidRPr="003729E8">
        <w:rPr>
          <w:rFonts w:ascii="Times New Roman" w:hAnsi="Times New Roman" w:cs="Times New Roman"/>
          <w:color w:val="0070C0"/>
          <w:sz w:val="20"/>
          <w:szCs w:val="20"/>
        </w:rPr>
        <w:fldChar w:fldCharType="separate"/>
      </w:r>
      <w:r w:rsidRPr="003729E8">
        <w:rPr>
          <w:rFonts w:ascii="Times New Roman" w:hAnsi="Times New Roman" w:cs="Times New Roman"/>
          <w:noProof/>
          <w:color w:val="0070C0"/>
          <w:sz w:val="20"/>
          <w:szCs w:val="20"/>
        </w:rPr>
        <w:t>(Heeren et al. 2015; Sanglier Contreras et al. 2022)</w:t>
      </w:r>
      <w:r w:rsidRPr="003729E8">
        <w:rPr>
          <w:rFonts w:ascii="Times New Roman" w:hAnsi="Times New Roman" w:cs="Times New Roman"/>
          <w:color w:val="0070C0"/>
          <w:sz w:val="20"/>
          <w:szCs w:val="20"/>
        </w:rPr>
        <w:fldChar w:fldCharType="end"/>
      </w:r>
      <w:r w:rsidRPr="003729E8">
        <w:rPr>
          <w:rFonts w:ascii="Times New Roman" w:hAnsi="Times New Roman" w:cs="Times New Roman"/>
          <w:sz w:val="20"/>
          <w:szCs w:val="20"/>
        </w:rPr>
        <w:t>.</w:t>
      </w:r>
    </w:p>
    <w:p w14:paraId="1B4F5427" w14:textId="2E320637" w:rsidR="003729E8" w:rsidRPr="003729E8" w:rsidRDefault="003729E8" w:rsidP="00977EA5">
      <w:pPr>
        <w:spacing w:before="240" w:after="120" w:line="276" w:lineRule="auto"/>
        <w:jc w:val="both"/>
        <w:rPr>
          <w:rFonts w:ascii="Times New Roman" w:eastAsia="Times New Roman" w:hAnsi="Times New Roman" w:cs="Times New Roman"/>
          <w:color w:val="0D0D0D"/>
          <w:kern w:val="0"/>
          <w:sz w:val="20"/>
          <w:szCs w:val="20"/>
          <w:shd w:val="clear" w:color="auto" w:fill="FFFFFF"/>
          <w14:ligatures w14:val="none"/>
        </w:rPr>
      </w:pPr>
      <w:r>
        <w:rPr>
          <w:rFonts w:ascii="Times New Roman" w:eastAsia="Times New Roman" w:hAnsi="Times New Roman" w:cs="Times New Roman"/>
          <w:color w:val="0D0D0D"/>
          <w:kern w:val="0"/>
          <w:sz w:val="20"/>
          <w:szCs w:val="20"/>
          <w:shd w:val="clear" w:color="auto" w:fill="FFFFFF"/>
          <w14:ligatures w14:val="none"/>
        </w:rPr>
        <w:t xml:space="preserve">2. </w:t>
      </w:r>
      <w:r w:rsidRPr="003729E8">
        <w:rPr>
          <w:rFonts w:ascii="Times New Roman" w:eastAsia="Times New Roman" w:hAnsi="Times New Roman" w:cs="Times New Roman"/>
          <w:color w:val="0D0D0D"/>
          <w:kern w:val="0"/>
          <w:sz w:val="20"/>
          <w:szCs w:val="20"/>
          <w:shd w:val="clear" w:color="auto" w:fill="FFFFFF"/>
          <w14:ligatures w14:val="none"/>
        </w:rPr>
        <w:t xml:space="preserve">Overall, grid slabs exemplify a balance between functionality, cost-efficiency, resilience and sustainability addressing the demand for sustainable and robust construction solutions in modern architectural designs. </w:t>
      </w:r>
    </w:p>
    <w:p w14:paraId="55DDE651" w14:textId="38BC4E0C" w:rsidR="003729E8" w:rsidRPr="003729E8" w:rsidRDefault="003729E8" w:rsidP="00977EA5">
      <w:pPr>
        <w:spacing w:before="240" w:after="0" w:line="276" w:lineRule="auto"/>
        <w:jc w:val="both"/>
        <w:rPr>
          <w:rFonts w:ascii="Times New Roman" w:eastAsia="Times New Roman" w:hAnsi="Times New Roman" w:cs="Times New Roman"/>
          <w:kern w:val="0"/>
          <w:sz w:val="20"/>
          <w:szCs w:val="20"/>
          <w14:ligatures w14:val="none"/>
        </w:rPr>
      </w:pPr>
      <w:bookmarkStart w:id="1" w:name="_Hlk192679916"/>
      <w:r>
        <w:rPr>
          <w:rFonts w:ascii="Times New Roman" w:eastAsia="Times New Roman" w:hAnsi="Times New Roman" w:cs="Times New Roman"/>
          <w:kern w:val="0"/>
          <w:sz w:val="20"/>
          <w:szCs w:val="20"/>
          <w14:ligatures w14:val="none"/>
        </w:rPr>
        <w:t xml:space="preserve">3. </w:t>
      </w:r>
      <w:r w:rsidRPr="003729E8">
        <w:rPr>
          <w:rFonts w:ascii="Times New Roman" w:eastAsia="Times New Roman" w:hAnsi="Times New Roman" w:cs="Times New Roman"/>
          <w:kern w:val="0"/>
          <w:sz w:val="20"/>
          <w:szCs w:val="20"/>
          <w14:ligatures w14:val="none"/>
        </w:rPr>
        <w:t xml:space="preserve">Increased complexities in structures often lead to higher vulnerabilities during seismic events, resulting in more severe structural failures. These failures necessitate extensive retrofitting and rehabilitation, which in turn escalate energy consumption, financial costs, and structural demands </w:t>
      </w:r>
      <w:r w:rsidRPr="003729E8">
        <w:rPr>
          <w:rFonts w:ascii="Times New Roman" w:eastAsia="Times New Roman" w:hAnsi="Times New Roman" w:cs="Times New Roman"/>
          <w:color w:val="0070C0"/>
          <w:kern w:val="0"/>
          <w:sz w:val="20"/>
          <w:szCs w:val="20"/>
          <w14:ligatures w14:val="none"/>
        </w:rPr>
        <w:fldChar w:fldCharType="begin" w:fldLock="1"/>
      </w:r>
      <w:r w:rsidRPr="003729E8">
        <w:rPr>
          <w:rFonts w:ascii="Times New Roman" w:eastAsia="Times New Roman" w:hAnsi="Times New Roman" w:cs="Times New Roman"/>
          <w:color w:val="0070C0"/>
          <w:kern w:val="0"/>
          <w:sz w:val="20"/>
          <w:szCs w:val="20"/>
          <w14:ligatures w14:val="none"/>
        </w:rPr>
        <w:instrText>ADDIN CSL_CITATION {"citationItems":[{"id":"ITEM-1","itemData":{"DOI":"https://doi.org/10.1016/j.jobe.2023.107918","ISSN":"2352-7102","abstract":"Seismic rehabilitation is crucial to extend the nominal service life and help reduce the seismic losses of reinforced concrete precast industrial buildings. Along with traditional retrofitting techniques, the latest decades are witnessing a growing use of innovative solutions, the latter including devices that can dissipate the ingoing seismic energy and are characterised by the replaceability after a seismic event. The goal of this work is to compare two retrofitting solutions, respectively of traditional and innovative type, in terms of structural performance enhancement and their own life cycle environmental impact. A case study single-storey precast industrial building was retrofitted firstly adopting a traditional solution with concrete jacketing of columns, and then using two innovative energy dissipation devices, namely a friction rotation damper for beam-to-column connections and a bracing system with dissipative sacrificial elements. A comparative analysis of the seismic response of the structure in its as-built and post-retrofit configurations was undertaken, subjecting three 3D numerical models created in OpenSees to nonlinear static and dynamic analyses in both the main directions. Subsequently, two environmental impact metrics were adopted to compare the life cycle environmental impact of both the traditional and innovative retrofitting solutions, confirming that the one encompassing the dissipation-based devices is expected to be more environment-friendly, under a life cycle perspective, than the traditional concrete jacketing.","author":[{"dropping-particle":"","family":"Cavalieri","given":"Francesco","non-dropping-particle":"","parse-names":false,"suffix":""},{"dropping-particle":"","family":"Bellotti","given":"Davide","non-dropping-particle":"","parse-names":false,"suffix":""},{"dropping-particle":"","family":"Caruso","given":"Martina","non-dropping-particle":"","parse-names":false,"suffix":""},{"dropping-particle":"","family":"Nascimbene","given":"Roberto","non-dropping-particle":"","parse-names":false,"suffix":""}],"container-title":"Journal of Building Engineering","id":"ITEM-1","issued":{"date-parts":[["2023"]]},"page":"107918","title":"Comparative evaluation of seismic performance and environmental impact of traditional and dissipation-based retrofitting solutions for precast structures","type":"article-journal","volume":"79"},"uris":["http://www.mendeley.com/documents/?uuid=1e9e0d2c-2890-40f7-b40f-5a72cc934fe6"]}],"mendeley":{"formattedCitation":"(Cavalieri et al. 2023)","plainTextFormattedCitation":"(Cavalieri et al. 2023)","previouslyFormattedCitation":"(Cavalieri et al. 2023)"},"properties":{"noteIndex":0},"schema":"https://github.com/citation-style-language/schema/raw/master/csl-citation.json"}</w:instrText>
      </w:r>
      <w:r w:rsidRPr="003729E8">
        <w:rPr>
          <w:rFonts w:ascii="Times New Roman" w:eastAsia="Times New Roman" w:hAnsi="Times New Roman" w:cs="Times New Roman"/>
          <w:color w:val="0070C0"/>
          <w:kern w:val="0"/>
          <w:sz w:val="20"/>
          <w:szCs w:val="20"/>
          <w14:ligatures w14:val="none"/>
        </w:rPr>
        <w:fldChar w:fldCharType="separate"/>
      </w:r>
      <w:r w:rsidRPr="003729E8">
        <w:rPr>
          <w:rFonts w:ascii="Times New Roman" w:eastAsia="Times New Roman" w:hAnsi="Times New Roman" w:cs="Times New Roman"/>
          <w:noProof/>
          <w:color w:val="0070C0"/>
          <w:kern w:val="0"/>
          <w:sz w:val="20"/>
          <w:szCs w:val="20"/>
          <w14:ligatures w14:val="none"/>
        </w:rPr>
        <w:t>(Cavalieri et al. 2023)</w:t>
      </w:r>
      <w:r w:rsidRPr="003729E8">
        <w:rPr>
          <w:rFonts w:ascii="Times New Roman" w:eastAsia="Times New Roman" w:hAnsi="Times New Roman" w:cs="Times New Roman"/>
          <w:color w:val="0070C0"/>
          <w:kern w:val="0"/>
          <w:sz w:val="20"/>
          <w:szCs w:val="20"/>
          <w14:ligatures w14:val="none"/>
        </w:rPr>
        <w:fldChar w:fldCharType="end"/>
      </w:r>
      <w:r w:rsidRPr="003729E8">
        <w:rPr>
          <w:rFonts w:ascii="Times New Roman" w:eastAsia="Times New Roman" w:hAnsi="Times New Roman" w:cs="Times New Roman"/>
          <w:kern w:val="0"/>
          <w:sz w:val="20"/>
          <w:szCs w:val="20"/>
          <w14:ligatures w14:val="none"/>
        </w:rPr>
        <w:t xml:space="preserve">. Therefore, when irregularities cannot be avoided, it is crucial to assess the optimal configuration of the structure. Optimization not only mitigates seismic risks but also makes the rehabilitation process more cost-effective and energy-efficient, ensuring structural integrity during such events </w:t>
      </w:r>
      <w:r w:rsidRPr="003729E8">
        <w:rPr>
          <w:rFonts w:ascii="Times New Roman" w:eastAsia="Times New Roman" w:hAnsi="Times New Roman" w:cs="Times New Roman"/>
          <w:color w:val="0070C0"/>
          <w:kern w:val="0"/>
          <w:sz w:val="20"/>
          <w:szCs w:val="20"/>
          <w14:ligatures w14:val="none"/>
        </w:rPr>
        <w:fldChar w:fldCharType="begin" w:fldLock="1"/>
      </w:r>
      <w:r w:rsidRPr="003729E8">
        <w:rPr>
          <w:rFonts w:ascii="Times New Roman" w:eastAsia="Times New Roman" w:hAnsi="Times New Roman" w:cs="Times New Roman"/>
          <w:color w:val="0070C0"/>
          <w:kern w:val="0"/>
          <w:sz w:val="20"/>
          <w:szCs w:val="20"/>
          <w14:ligatures w14:val="none"/>
        </w:rPr>
        <w:instrText>ADDIN CSL_CITATION {"citationItems":[{"id":"ITEM-1","itemData":{"DOI":"10.1038/s41598-022-21247-8","ISSN":"2045-2322","abstract":"The seismic design of conventional structures is mainly addressed considering the direct construction cost; the life cycle costs (LCCs) are often neglected. This paper proposes a performance-based framework for optimal seismic design of irregular steel structures; the LCC is involved as an optimization criterion. Two regular 7- and 10-story structures are first designed based on the design earthquake; their geometries are then changed to make them setback irregular having in overall four cases to investigate. Nonlinear analyses are performed to estimate the target displacement for annual exceedance probabilities, different specified acceleration levels, and, accordingly, the extent of the structural damage. The LCCs of the cases studied are calculated to achieve two objectives: an LCC-based optimal design of steel structures, and evaluating the extent of irregularity on the structures’ LCCs. Results indicate that in the regular and irregular 7-story structures, a 40% and a 50% increase in the seismic loads can respectively reduce the LCCs by 31.3% and 34.9%. In the same vein, in the 10-story regular and irregular structures, increasing the seismic loads by 50% can reduce the LCCs by 33.4% and 31.7%, respectively. The results highlight the point that irregular structures, overall, require a higher initial cost than regular structures when the LCC is taken into account as an optimization criterion.","author":[{"dropping-particle":"","family":"Jebelli","given":"Sajad Taheri","non-dropping-particle":"","parse-names":false,"suffix":""},{"dropping-particle":"","family":"Behnam","given":"Behrouz","non-dropping-particle":"","parse-names":false,"suffix":""},{"dropping-particle":"","family":"Tehrani","given":"Payam","non-dropping-particle":"","parse-names":false,"suffix":""}],"container-title":"Scientific Reports","id":"ITEM-1","issue":"1","issued":{"date-parts":[["2022"]]},"page":"16784","title":"Seismic design of setback irregular steel structures based on life cycle cost","type":"article-journal","volume":"12"},"uris":["http://www.mendeley.com/documents/?uuid=a333151c-c527-462e-b15e-ce0a301e007b"]},{"id":"ITEM-2","itemData":{"DOI":"10.1007/s10518-024-02092-8","ISSN":"1573-1456","abstract":"This paper provides a comprehensive examination of post-earthquake structural damage assessment efforts following the Kahramanmaras, Turkey, earthquakes that occurred on February 6, 2023. Drawing on global damage assessment protocols, the study compares and analyzes the methods implemented in the aftermath of the earthquakes, offering insights into lessons learned and challenges faced. The analysis of objections raised regarding the assessment efforts reveals significant changes in structures with moderate and severe damage, emphasizing the need for continuous improvement in assessment strategies. The paper advocates for a realistic and two-stage application method, consideration of crack type and cause, and active involvement of local communities in the assessment process. Furthermore, the study identifies key issues in the current earthquake damage assessment methodology and proposes solutions, including a more precise classification system, regular volunteer training, consideration of secondary disaster risks, and effective communication methods. The paper concludes by underscoring the importance of effective damage assessment in disaster management, addressing objections from the affected population, and continual enhancement of strategies to improve resilience in earthquake-prone regions.","author":[{"dropping-particle":"","family":"Demir","given":"Aydin","non-dropping-particle":"","parse-names":false,"suffix":""}],"container-title":"Bulletin of Earthquake Engineering","id":"ITEM-2","issue":"3","issued":{"date-parts":[["2025"]]},"page":"1107-1127","title":"Post-earthquake structural damage assessment, lessons learned, and addressing objections following the 2023 Kahramanmaras, Turkey earthquakes","type":"article-journal","volume":"23"},"uris":["http://www.mendeley.com/documents/?uuid=912db71e-ca9b-4648-a254-7fc8a44c1799"]}],"mendeley":{"formattedCitation":"(Jebelli et al. 2022; Demir 2025)","plainTextFormattedCitation":"(Jebelli et al. 2022; Demir 2025)","previouslyFormattedCitation":"(Jebelli et al. 2022; Demir 2025)"},"properties":{"noteIndex":0},"schema":"https://github.com/citation-style-language/schema/raw/master/csl-citation.json"}</w:instrText>
      </w:r>
      <w:r w:rsidRPr="003729E8">
        <w:rPr>
          <w:rFonts w:ascii="Times New Roman" w:eastAsia="Times New Roman" w:hAnsi="Times New Roman" w:cs="Times New Roman"/>
          <w:color w:val="0070C0"/>
          <w:kern w:val="0"/>
          <w:sz w:val="20"/>
          <w:szCs w:val="20"/>
          <w14:ligatures w14:val="none"/>
        </w:rPr>
        <w:fldChar w:fldCharType="separate"/>
      </w:r>
      <w:r w:rsidRPr="003729E8">
        <w:rPr>
          <w:rFonts w:ascii="Times New Roman" w:eastAsia="Times New Roman" w:hAnsi="Times New Roman" w:cs="Times New Roman"/>
          <w:noProof/>
          <w:color w:val="0070C0"/>
          <w:kern w:val="0"/>
          <w:sz w:val="20"/>
          <w:szCs w:val="20"/>
          <w14:ligatures w14:val="none"/>
        </w:rPr>
        <w:t>(Jebelli et al. 2022; Demir 2025)</w:t>
      </w:r>
      <w:r w:rsidRPr="003729E8">
        <w:rPr>
          <w:rFonts w:ascii="Times New Roman" w:eastAsia="Times New Roman" w:hAnsi="Times New Roman" w:cs="Times New Roman"/>
          <w:color w:val="0070C0"/>
          <w:kern w:val="0"/>
          <w:sz w:val="20"/>
          <w:szCs w:val="20"/>
          <w14:ligatures w14:val="none"/>
        </w:rPr>
        <w:fldChar w:fldCharType="end"/>
      </w:r>
      <w:r w:rsidRPr="003729E8">
        <w:rPr>
          <w:rFonts w:ascii="Times New Roman" w:eastAsia="Times New Roman" w:hAnsi="Times New Roman" w:cs="Times New Roman"/>
          <w:kern w:val="0"/>
          <w:sz w:val="20"/>
          <w:szCs w:val="20"/>
          <w14:ligatures w14:val="none"/>
        </w:rPr>
        <w:t xml:space="preserve">. </w:t>
      </w:r>
      <w:bookmarkEnd w:id="1"/>
      <w:r w:rsidRPr="003729E8">
        <w:rPr>
          <w:rFonts w:ascii="Times New Roman" w:eastAsia="Times New Roman" w:hAnsi="Times New Roman" w:cs="Times New Roman"/>
          <w:kern w:val="0"/>
          <w:sz w:val="20"/>
          <w:szCs w:val="20"/>
          <w14:ligatures w14:val="none"/>
        </w:rPr>
        <w:t xml:space="preserve">While seismic performance remains a critical concern in structural design, the increasing environmental impact of construction cannot be overlooked </w:t>
      </w:r>
      <w:r w:rsidRPr="003729E8">
        <w:rPr>
          <w:rFonts w:ascii="Times New Roman" w:eastAsia="Times New Roman" w:hAnsi="Times New Roman" w:cs="Times New Roman"/>
          <w:color w:val="0070C0"/>
          <w:kern w:val="0"/>
          <w:sz w:val="20"/>
          <w:szCs w:val="20"/>
          <w14:ligatures w14:val="none"/>
        </w:rPr>
        <w:fldChar w:fldCharType="begin" w:fldLock="1"/>
      </w:r>
      <w:r w:rsidRPr="003729E8">
        <w:rPr>
          <w:rFonts w:ascii="Times New Roman" w:eastAsia="Times New Roman" w:hAnsi="Times New Roman" w:cs="Times New Roman"/>
          <w:color w:val="0070C0"/>
          <w:kern w:val="0"/>
          <w:sz w:val="20"/>
          <w:szCs w:val="20"/>
          <w14:ligatures w14:val="none"/>
        </w:rPr>
        <w:instrText>ADDIN CSL_CITATION {"citationItems":[{"id":"ITEM-1","itemData":{"DOI":"https://doi.org/10.1016/j.jobe.2023.107918","ISSN":"2352-7102","abstract":"Seismic rehabilitation is crucial to extend the nominal service life and help reduce the seismic losses of reinforced concrete precast industrial buildings. Along with traditional retrofitting techniques, the latest decades are witnessing a growing use of innovative solutions, the latter including devices that can dissipate the ingoing seismic energy and are characterised by the replaceability after a seismic event. The goal of this work is to compare two retrofitting solutions, respectively of traditional and innovative type, in terms of structural performance enhancement and their own life cycle environmental impact. A case study single-storey precast industrial building was retrofitted firstly adopting a traditional solution with concrete jacketing of columns, and then using two innovative energy dissipation devices, namely a friction rotation damper for beam-to-column connections and a bracing system with dissipative sacrificial elements. A comparative analysis of the seismic response of the structure in its as-built and post-retrofit configurations was undertaken, subjecting three 3D numerical models created in OpenSees to nonlinear static and dynamic analyses in both the main directions. Subsequently, two environmental impact metrics were adopted to compare the life cycle environmental impact of both the traditional and innovative retrofitting solutions, confirming that the one encompassing the dissipation-based devices is expected to be more environment-friendly, under a life cycle perspective, than the traditional concrete jacketing.","author":[{"dropping-particle":"","family":"Cavalieri","given":"Francesco","non-dropping-particle":"","parse-names":false,"suffix":""},{"dropping-particle":"","family":"Bellotti","given":"Davide","non-dropping-particle":"","parse-names":false,"suffix":""},{"dropping-particle":"","family":"Caruso","given":"Martina","non-dropping-particle":"","parse-names":false,"suffix":""},{"dropping-particle":"","family":"Nascimbene","given":"Roberto","non-dropping-particle":"","parse-names":false,"suffix":""}],"container-title":"Journal of Building Engineering","id":"ITEM-1","issued":{"date-parts":[["2023"]]},"page":"107918","title":"Comparative evaluation of seismic performance and environmental impact of traditional and dissipation-based retrofitting solutions for precast structures","type":"article-journal","volume":"79"},"uris":["http://www.mendeley.com/documents/?uuid=1e9e0d2c-2890-40f7-b40f-5a72cc934fe6"]},{"id":"ITEM-2","itemData":{"ISSN":"1665-529X","abstract":"Este artículo pretende dar a conocer el nuevo concepto de arquitectura e ingeniería civil que se está implementando hoy en día a la hora de proyectar y construir obras civiles. Se sabe que los procesos usados actualmente tanto a la hora de diseñar como a la hora de construir, tienen efectos muy grandes sobre el entorno que repercuten en agudizar la crisis ambiental que estamos padeciendo. Por lo tanto el artículo trata, por medio de una breve exposición del panorama actual, de concienciar a todos los agentes implicados dentro de estas ramas complementarias, del importante efecto que tienen estas disciplinas para con el medio ambiente y darles a conocer los conceptos que están en boga hoy en día, y que se están ya llevando a la práctica, en países desarrollados y en vías de desarrollo. Estos conceptos son: la construcción sostenible, y la arquitectura ecológica y/o bioclimática. Estas nuevas formas de proyectar y construir, incorporan criterios y principios ambientales dentro de sus procesos, para así, lograr que las obras civiles que se edifiquen sean más responsables, ambientalmente hablando, con el entorno; tanto al momento de efectuar el diseño, como al momento de tomar en cuenta los materiales y los procedimientos constructivos que se vayan a utilizar.","author":[{"dropping-particle":"","family":"Berrón Ferrer","given":"Gerardo E.","non-dropping-particle":"","parse-names":false,"suffix":""}],"container-title":"Ingenieria","id":"ITEM-2","issued":{"date-parts":[["2003"]]},"page":"49-52","title":"Importancia de incorporar conceptos ambientales en el diseño y construcción de obras civiles","type":"article-journal","volume":"7"},"uris":["http://www.mendeley.com/documents/?uuid=8352e541-a3c3-4ec5-b78a-5b3b36fcd3d7"]}],"mendeley":{"formattedCitation":"(Berrón Ferrer 2003; Cavalieri et al. 2023)","plainTextFormattedCitation":"(Berrón Ferrer 2003; Cavalieri et al. 2023)","previouslyFormattedCitation":"(Berrón Ferrer 2003; Cavalieri et al. 2023)"},"properties":{"noteIndex":0},"schema":"https://github.com/citation-style-language/schema/raw/master/csl-citation.json"}</w:instrText>
      </w:r>
      <w:r w:rsidRPr="003729E8">
        <w:rPr>
          <w:rFonts w:ascii="Times New Roman" w:eastAsia="Times New Roman" w:hAnsi="Times New Roman" w:cs="Times New Roman"/>
          <w:color w:val="0070C0"/>
          <w:kern w:val="0"/>
          <w:sz w:val="20"/>
          <w:szCs w:val="20"/>
          <w14:ligatures w14:val="none"/>
        </w:rPr>
        <w:fldChar w:fldCharType="separate"/>
      </w:r>
      <w:r w:rsidRPr="003729E8">
        <w:rPr>
          <w:rFonts w:ascii="Times New Roman" w:eastAsia="Times New Roman" w:hAnsi="Times New Roman" w:cs="Times New Roman"/>
          <w:noProof/>
          <w:color w:val="0070C0"/>
          <w:kern w:val="0"/>
          <w:sz w:val="20"/>
          <w:szCs w:val="20"/>
          <w14:ligatures w14:val="none"/>
        </w:rPr>
        <w:t>(Berrón Ferrer 2003; Cavalieri et al. 2023)</w:t>
      </w:r>
      <w:r w:rsidRPr="003729E8">
        <w:rPr>
          <w:rFonts w:ascii="Times New Roman" w:eastAsia="Times New Roman" w:hAnsi="Times New Roman" w:cs="Times New Roman"/>
          <w:color w:val="0070C0"/>
          <w:kern w:val="0"/>
          <w:sz w:val="20"/>
          <w:szCs w:val="20"/>
          <w14:ligatures w14:val="none"/>
        </w:rPr>
        <w:fldChar w:fldCharType="end"/>
      </w:r>
      <w:r w:rsidRPr="003729E8">
        <w:rPr>
          <w:rFonts w:ascii="Times New Roman" w:eastAsia="Times New Roman" w:hAnsi="Times New Roman" w:cs="Times New Roman"/>
          <w:kern w:val="0"/>
          <w:sz w:val="20"/>
          <w:szCs w:val="20"/>
          <w14:ligatures w14:val="none"/>
        </w:rPr>
        <w:t xml:space="preserve">. The industry’s intensive resource consumption and high carbon emissions contribute significantly to the global climate crisis, exacerbated by unchecked industrialization. Structural components such as slabs, beams, and lateral load-resisting systems, structural configurations play a crucial role in ensuring structural integrity, yet they are also major contributors to buildings’ carbon footprints </w:t>
      </w:r>
      <w:r w:rsidRPr="003729E8">
        <w:rPr>
          <w:rFonts w:ascii="Times New Roman" w:eastAsia="Times New Roman" w:hAnsi="Times New Roman" w:cs="Times New Roman"/>
          <w:color w:val="0070C0"/>
          <w:kern w:val="0"/>
          <w:sz w:val="20"/>
          <w:szCs w:val="20"/>
          <w14:ligatures w14:val="none"/>
        </w:rPr>
        <w:fldChar w:fldCharType="begin" w:fldLock="1"/>
      </w:r>
      <w:r w:rsidRPr="003729E8">
        <w:rPr>
          <w:rFonts w:ascii="Times New Roman" w:eastAsia="Times New Roman" w:hAnsi="Times New Roman" w:cs="Times New Roman"/>
          <w:color w:val="0070C0"/>
          <w:kern w:val="0"/>
          <w:sz w:val="20"/>
          <w:szCs w:val="20"/>
          <w14:ligatures w14:val="none"/>
        </w:rPr>
        <w:instrText>ADDIN CSL_CITATION {"citationItems":[{"id":"ITEM-1","itemData":{"DOI":"10.1088/1742-6596/2600/15/152001","author":[{"dropping-particle":"","family":"Auburtin","given":"P Navaro","non-dropping-particle":"","parse-names":false,"suffix":""},{"dropping-particle":"","family":"Saadé","given":"M","non-dropping-particle":"","parse-names":false,"suffix":""},{"dropping-particle":"","family":"Manthey","given":"M","non-dropping-particle":"","parse-names":false,"suffix":""},{"dropping-particle":"","family":"Louërat","given":"M","non-dropping-particle":"","parse-names":false,"suffix":""},{"dropping-particle":"","family":"Martin","given":"J -L.","non-dropping-particle":"","parse-names":false,"suffix":""},{"dropping-particle":"","family":"Baverel","given":"O","non-dropping-particle":"","parse-names":false,"suffix":""}],"collection-title":"Journal of Physics Conference Series","container-title":"Journal of Physics Conference Series","id":"ITEM-1","issued":{"date-parts":[["2023","11"]]},"page":"152001","publisher":"IOP","title":"Influence of building geometry on the environmental impact of building structures","type":"paper-conference","volume":"2600"},"uris":["http://www.mendeley.com/documents/?uuid=9ffdf31b-7e86-48b9-9b11-f26b13183700"]},{"id":"ITEM-2","itemData":{"DOI":"10.3390/su11133571","ISBN":"2071-1050","abstract":"The construction industry not only consumes a lot of energy but also emits large volumes of carbon dioxide. Most countries have established target reduction values of the carbon dioxide emissions to alleviate environmental burdens and promote sustainable development. The reduction in carbon dioxide emissions in the construction industry has been taking place in various ways as buildings produce large quantities of the carbon dioxide over their construction life cycle. The aim of this study is to assess and compare the carbon dioxide emissions of an ordinary reinforced concrete slab and the voided slab system applied to a case study involving a commercial-residential complex building in South Korea. Process-based life-cycle assessment (LCA) is adopted to compute the carbon dioxide emissions during the construction phase, which includes all processes from material production to the end of construction. The results indicate that the total CO2 emissions are 257,230 and 218,800 kg CO2 for the ordinary reinforced concrete slab and the voided slab system, respectively. The highest contributor to CO2 reduction is the embodied carbon dioxide emissions of the building materials, which accounts for 34,966 kg CO2. The second highest contributor is the transportation of the building materials, accounting for 3417 kg CO2.","author":[{"dropping-particle":"","family":"Paik","given":"Inkwan","non-dropping-particle":"","parse-names":false,"suffix":""},{"dropping-particle":"","family":"Na","given":"Seunguk","non-dropping-particle":"","parse-names":false,"suffix":""}],"container-title":"Sustainability","id":"ITEM-2","issue":"13","issued":{"date-parts":[["2019"]]},"title":"Comparison of Carbon Dioxide Emissions of the Ordinary Reinforced Concrete Slab and the Voided Slab System During the Construction Phase: A Case Study of a Residential Building in South Korea","type":"article","volume":"11"},"uris":["http://www.mendeley.com/documents/?uuid=aaf5ca6f-0b3b-49f4-acc9-fea5f995eeca"]}],"mendeley":{"formattedCitation":"(Paik and Na 2019; Auburtin et al. 2023)","plainTextFormattedCitation":"(Paik and Na 2019; Auburtin et al. 2023)","previouslyFormattedCitation":"(Paik and Na 2019; Auburtin et al. 2023)"},"properties":{"noteIndex":0},"schema":"https://github.com/citation-style-language/schema/raw/master/csl-citation.json"}</w:instrText>
      </w:r>
      <w:r w:rsidRPr="003729E8">
        <w:rPr>
          <w:rFonts w:ascii="Times New Roman" w:eastAsia="Times New Roman" w:hAnsi="Times New Roman" w:cs="Times New Roman"/>
          <w:color w:val="0070C0"/>
          <w:kern w:val="0"/>
          <w:sz w:val="20"/>
          <w:szCs w:val="20"/>
          <w14:ligatures w14:val="none"/>
        </w:rPr>
        <w:fldChar w:fldCharType="separate"/>
      </w:r>
      <w:r w:rsidRPr="003729E8">
        <w:rPr>
          <w:rFonts w:ascii="Times New Roman" w:eastAsia="Times New Roman" w:hAnsi="Times New Roman" w:cs="Times New Roman"/>
          <w:noProof/>
          <w:color w:val="0070C0"/>
          <w:kern w:val="0"/>
          <w:sz w:val="20"/>
          <w:szCs w:val="20"/>
          <w14:ligatures w14:val="none"/>
        </w:rPr>
        <w:t>(Paik and Na 2019; Auburtin et al. 2023)</w:t>
      </w:r>
      <w:r w:rsidRPr="003729E8">
        <w:rPr>
          <w:rFonts w:ascii="Times New Roman" w:eastAsia="Times New Roman" w:hAnsi="Times New Roman" w:cs="Times New Roman"/>
          <w:color w:val="0070C0"/>
          <w:kern w:val="0"/>
          <w:sz w:val="20"/>
          <w:szCs w:val="20"/>
          <w14:ligatures w14:val="none"/>
        </w:rPr>
        <w:fldChar w:fldCharType="end"/>
      </w:r>
      <w:r w:rsidRPr="003729E8">
        <w:rPr>
          <w:rFonts w:ascii="Times New Roman" w:eastAsia="Times New Roman" w:hAnsi="Times New Roman" w:cs="Times New Roman"/>
          <w:kern w:val="0"/>
          <w:sz w:val="20"/>
          <w:szCs w:val="20"/>
          <w14:ligatures w14:val="none"/>
        </w:rPr>
        <w:t>. Concrete, particularly due to cement production, remains one of the highest emitters of CO</w:t>
      </w:r>
      <w:r w:rsidRPr="003729E8">
        <w:rPr>
          <w:rFonts w:ascii="Times New Roman" w:eastAsia="Times New Roman" w:hAnsi="Times New Roman" w:cs="Times New Roman"/>
          <w:kern w:val="0"/>
          <w:sz w:val="20"/>
          <w:szCs w:val="20"/>
          <w:vertAlign w:val="subscript"/>
          <w14:ligatures w14:val="none"/>
        </w:rPr>
        <w:t>2</w:t>
      </w:r>
      <w:r w:rsidRPr="003729E8">
        <w:rPr>
          <w:rFonts w:ascii="Times New Roman" w:eastAsia="Times New Roman" w:hAnsi="Times New Roman" w:cs="Times New Roman"/>
          <w:kern w:val="0"/>
          <w:sz w:val="20"/>
          <w:szCs w:val="20"/>
          <w14:ligatures w14:val="none"/>
        </w:rPr>
        <w:t xml:space="preserve">, underscoring the challenge of optimizing structural systems without compromising performance </w:t>
      </w:r>
      <w:r w:rsidRPr="003729E8">
        <w:rPr>
          <w:rFonts w:ascii="Times New Roman" w:eastAsia="Times New Roman" w:hAnsi="Times New Roman" w:cs="Times New Roman"/>
          <w:color w:val="0070C0"/>
          <w:kern w:val="0"/>
          <w:sz w:val="20"/>
          <w:szCs w:val="20"/>
          <w14:ligatures w14:val="none"/>
        </w:rPr>
        <w:fldChar w:fldCharType="begin" w:fldLock="1"/>
      </w:r>
      <w:r w:rsidRPr="003729E8">
        <w:rPr>
          <w:rFonts w:ascii="Times New Roman" w:eastAsia="Times New Roman" w:hAnsi="Times New Roman" w:cs="Times New Roman"/>
          <w:color w:val="0070C0"/>
          <w:kern w:val="0"/>
          <w:sz w:val="20"/>
          <w:szCs w:val="20"/>
          <w14:ligatures w14:val="none"/>
        </w:rPr>
        <w:instrText>ADDIN CSL_CITATION {"citationItems":[{"id":"ITEM-1","itemData":{"DOI":"10.3390/buildings14123821","ISBN":"2075-5309","abstract":"This study evaluates the environmental impact of earthquake-resistant structural design choices in high-risk seismic regions through life cycle assessment. As climate change concerns intensify, understanding the environmental implications of structural design decisions becomes crucial for sustainable construction. Examining a building in Quito, Ecuador, the research compares three structural systems: Optimized Framed System (OFS), Optimized Dual System (ODS), and Equivalent Framed System (EFS). The assessment quantifies emissions through a ‘cradle to gate’ approach, encompassing materials fabrication, transportation, and construction processes. The results demonstrate that the ODS achieves optimal seismic performance equal to the EFS while reducing emissions by 38%, with only 5% higher emissions than the OFS. The findings establish that effective earthquake-resistant design can simultaneously achieve structural resilience and environmental sustainability, providing valuable insights for sustainable structural engineering practices in seismic regions.","author":[{"dropping-particle":"","family":"Bohorquez","given":"Alvaro","non-dropping-particle":"","parse-names":false,"suffix":""},{"dropping-particle":"","family":"Viteri","given":"Esteban","non-dropping-particle":"","parse-names":false,"suffix":""},{"dropping-particle":"","family":"Rivera","given":"Edgar","non-dropping-particle":"","parse-names":false,"suffix":""},{"dropping-particle":"","family":"Avila","given":"Carlos","non-dropping-particle":"","parse-names":false,"suffix":""}],"container-title":"Buildings","id":"ITEM-1","issue":"12","issued":{"date-parts":[["2024"]]},"page":"3821","title":"Environmental Impact of Earthquake-Resistant Design: A Sustainable Approach to Structural Response in High Seismic Risk Regions","type":"article-journal","volume":"14"},"uris":["http://www.mendeley.com/documents/?uuid=c277cc84-865c-44a9-a71c-215783b38d03"]}],"mendeley":{"formattedCitation":"(Bohorquez et al. 2024)","plainTextFormattedCitation":"(Bohorquez et al. 2024)","previouslyFormattedCitation":"(Bohorquez et al. 2024)"},"properties":{"noteIndex":0},"schema":"https://github.com/citation-style-language/schema/raw/master/csl-citation.json"}</w:instrText>
      </w:r>
      <w:r w:rsidRPr="003729E8">
        <w:rPr>
          <w:rFonts w:ascii="Times New Roman" w:eastAsia="Times New Roman" w:hAnsi="Times New Roman" w:cs="Times New Roman"/>
          <w:color w:val="0070C0"/>
          <w:kern w:val="0"/>
          <w:sz w:val="20"/>
          <w:szCs w:val="20"/>
          <w14:ligatures w14:val="none"/>
        </w:rPr>
        <w:fldChar w:fldCharType="separate"/>
      </w:r>
      <w:r w:rsidRPr="003729E8">
        <w:rPr>
          <w:rFonts w:ascii="Times New Roman" w:eastAsia="Times New Roman" w:hAnsi="Times New Roman" w:cs="Times New Roman"/>
          <w:noProof/>
          <w:color w:val="0070C0"/>
          <w:kern w:val="0"/>
          <w:sz w:val="20"/>
          <w:szCs w:val="20"/>
          <w14:ligatures w14:val="none"/>
        </w:rPr>
        <w:t>(Bohorquez et al. 2024)</w:t>
      </w:r>
      <w:r w:rsidRPr="003729E8">
        <w:rPr>
          <w:rFonts w:ascii="Times New Roman" w:eastAsia="Times New Roman" w:hAnsi="Times New Roman" w:cs="Times New Roman"/>
          <w:color w:val="0070C0"/>
          <w:kern w:val="0"/>
          <w:sz w:val="20"/>
          <w:szCs w:val="20"/>
          <w14:ligatures w14:val="none"/>
        </w:rPr>
        <w:fldChar w:fldCharType="end"/>
      </w:r>
      <w:r w:rsidRPr="003729E8">
        <w:rPr>
          <w:rFonts w:ascii="Times New Roman" w:eastAsia="Times New Roman" w:hAnsi="Times New Roman" w:cs="Times New Roman"/>
          <w:kern w:val="0"/>
          <w:sz w:val="20"/>
          <w:szCs w:val="20"/>
          <w14:ligatures w14:val="none"/>
        </w:rPr>
        <w:t xml:space="preserve">. </w:t>
      </w:r>
    </w:p>
    <w:p w14:paraId="2742682E" w14:textId="71D8ABC6" w:rsidR="00EC2102" w:rsidRPr="00E30F80" w:rsidRDefault="00EC2102" w:rsidP="00977EA5">
      <w:pPr>
        <w:spacing w:before="240" w:after="120" w:line="276" w:lineRule="auto"/>
        <w:jc w:val="both"/>
        <w:rPr>
          <w:rFonts w:ascii="Times New Roman" w:hAnsi="Times New Roman" w:cs="Times New Roman"/>
          <w:b/>
          <w:bCs/>
          <w:color w:val="0070C0"/>
          <w:sz w:val="20"/>
          <w:szCs w:val="20"/>
          <w:shd w:val="clear" w:color="auto" w:fill="FFFFFF"/>
        </w:rPr>
      </w:pPr>
      <w:r w:rsidRPr="00E30F80">
        <w:rPr>
          <w:rFonts w:ascii="Times New Roman" w:hAnsi="Times New Roman" w:cs="Times New Roman"/>
          <w:b/>
          <w:bCs/>
          <w:color w:val="0070C0"/>
          <w:sz w:val="20"/>
          <w:szCs w:val="20"/>
          <w:shd w:val="clear" w:color="auto" w:fill="FFFFFF"/>
        </w:rPr>
        <w:t>References:</w:t>
      </w:r>
    </w:p>
    <w:p w14:paraId="156A6621" w14:textId="77777777"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Bohorquez A, Viteri E, Rivera E, Avila C (2024) Environmental Impact of Earthquake-Resistant Design: A Sustainable Approach to Structural Response in High Seismic Risk Regions. Buildings 14:3821. </w:t>
      </w:r>
      <w:r w:rsidRPr="00E30F80">
        <w:rPr>
          <w:rFonts w:ascii="Times New Roman" w:eastAsia="Times New Roman" w:hAnsi="Times New Roman" w:cs="Times New Roman"/>
          <w:noProof/>
          <w:color w:val="0070C0"/>
          <w:kern w:val="0"/>
          <w:sz w:val="20"/>
          <w:u w:val="single"/>
          <w14:ligatures w14:val="none"/>
        </w:rPr>
        <w:t>https://doi.org/10.3390/buildings14123821</w:t>
      </w:r>
    </w:p>
    <w:p w14:paraId="4A2EB911" w14:textId="5262B534"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Cavalieri F, Bellotti D, Caruso M, Nascimbene R (2023) Comparative evaluation of seismic performance and environmental impact of traditional and dissipation-based retrofitting solutions for precast structures. J Build Eng 79:107918. </w:t>
      </w:r>
      <w:hyperlink r:id="rId6" w:history="1">
        <w:r w:rsidRPr="00E30F80">
          <w:rPr>
            <w:rStyle w:val="Hyperlink"/>
            <w:rFonts w:ascii="Times New Roman" w:eastAsia="Times New Roman" w:hAnsi="Times New Roman" w:cs="Times New Roman"/>
            <w:noProof/>
            <w:kern w:val="0"/>
            <w:sz w:val="20"/>
            <w14:ligatures w14:val="none"/>
          </w:rPr>
          <w:t>https://doi.org/10.1016/j.jobe.2023.107918</w:t>
        </w:r>
      </w:hyperlink>
    </w:p>
    <w:p w14:paraId="70D76FFA" w14:textId="77777777"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E30F80">
        <w:rPr>
          <w:rFonts w:ascii="Times New Roman" w:eastAsia="Times New Roman" w:hAnsi="Times New Roman" w:cs="Times New Roman"/>
          <w:noProof/>
          <w:kern w:val="0"/>
          <w:sz w:val="20"/>
          <w14:ligatures w14:val="none"/>
        </w:rPr>
        <w:t xml:space="preserve">Jebelli ST, Behnam B, Tehrani P (2022) Seismic design of setback irregular steel structures based on life cycle cost. Sci Rep 12:16784. </w:t>
      </w:r>
      <w:r w:rsidRPr="00E30F80">
        <w:rPr>
          <w:rFonts w:ascii="Times New Roman" w:eastAsia="Times New Roman" w:hAnsi="Times New Roman" w:cs="Times New Roman"/>
          <w:noProof/>
          <w:color w:val="0070C0"/>
          <w:kern w:val="0"/>
          <w:sz w:val="20"/>
          <w:u w:val="single"/>
          <w14:ligatures w14:val="none"/>
        </w:rPr>
        <w:t>https://doi.org/10.1038/s41598-022-21247-8</w:t>
      </w:r>
    </w:p>
    <w:p w14:paraId="63CB4CB3" w14:textId="77777777"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E30F80">
        <w:rPr>
          <w:rFonts w:ascii="Times New Roman" w:eastAsia="Times New Roman" w:hAnsi="Times New Roman" w:cs="Times New Roman"/>
          <w:noProof/>
          <w:kern w:val="0"/>
          <w:sz w:val="20"/>
          <w14:ligatures w14:val="none"/>
        </w:rPr>
        <w:t xml:space="preserve">Demir A (2025) Post-earthquake structural damage assessment, lessons learned, and addressing objections following the 2023 Kahramanmaras, Turkey earthquakes. Bull Earthq Eng 23:1107–1127. </w:t>
      </w:r>
      <w:r w:rsidRPr="00E30F80">
        <w:rPr>
          <w:rFonts w:ascii="Times New Roman" w:eastAsia="Times New Roman" w:hAnsi="Times New Roman" w:cs="Times New Roman"/>
          <w:noProof/>
          <w:color w:val="0070C0"/>
          <w:kern w:val="0"/>
          <w:sz w:val="20"/>
          <w:u w:val="single"/>
          <w14:ligatures w14:val="none"/>
        </w:rPr>
        <w:t>https://doi.org/10.1007/s10518-024-02092-8</w:t>
      </w:r>
    </w:p>
    <w:p w14:paraId="2AD19C03" w14:textId="77777777"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Heeren N, Mutel CL, Steubing B, et al (2015) Environmental Impact of Buildings—What Matters? Environ Sci Technol 49:9832–9841. </w:t>
      </w:r>
      <w:r w:rsidRPr="00E30F80">
        <w:rPr>
          <w:rFonts w:ascii="Times New Roman" w:eastAsia="Times New Roman" w:hAnsi="Times New Roman" w:cs="Times New Roman"/>
          <w:noProof/>
          <w:color w:val="0070C0"/>
          <w:kern w:val="0"/>
          <w:sz w:val="20"/>
          <w:u w:val="single"/>
          <w14:ligatures w14:val="none"/>
        </w:rPr>
        <w:t>https://doi.org/10.1021/acs.est.5b01735</w:t>
      </w:r>
    </w:p>
    <w:p w14:paraId="12805B57" w14:textId="77777777" w:rsidR="00EC2102" w:rsidRPr="00E30F80" w:rsidRDefault="00EC2102"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Sanglier Contreras G, Gonzalez-Lezcano RA, Fernandez E, Iglesias Sanz C (2022) Building materials and their impact on the environment. Contemp Eng Sci 15:51–61. </w:t>
      </w:r>
      <w:r w:rsidRPr="00E30F80">
        <w:rPr>
          <w:rFonts w:ascii="Times New Roman" w:eastAsia="Times New Roman" w:hAnsi="Times New Roman" w:cs="Times New Roman"/>
          <w:noProof/>
          <w:color w:val="0070C0"/>
          <w:kern w:val="0"/>
          <w:sz w:val="20"/>
          <w:u w:val="single"/>
          <w14:ligatures w14:val="none"/>
        </w:rPr>
        <w:t>https://doi.org/10.12988/ces.2022.91945</w:t>
      </w:r>
    </w:p>
    <w:p w14:paraId="77BBB969" w14:textId="28617704" w:rsidR="004B73EA" w:rsidRPr="00E30F80" w:rsidRDefault="004B73EA"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lastRenderedPageBreak/>
        <w:t>Comment 4:</w:t>
      </w:r>
    </w:p>
    <w:p w14:paraId="5E7CFB4A" w14:textId="40F382FF" w:rsidR="004B73EA" w:rsidRPr="00E30F80" w:rsidRDefault="004B73EA"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Various levels of building damage observed during earthquake events worldwide and due to irregularities have been analyzed in [DOI: 10.1016/j.engfailanal.2024.108282]. This study should be considered in the 'Introduction' section to provide readers with a better understanding of the underlying mechanics of seismic damage.</w:t>
      </w:r>
    </w:p>
    <w:p w14:paraId="089D777E" w14:textId="23051BE2" w:rsidR="004B73EA" w:rsidRPr="00E30F80" w:rsidRDefault="004B73EA"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57109CDA" w14:textId="51E6347B" w:rsidR="004B73EA" w:rsidRPr="00E30F80" w:rsidRDefault="00CF0A37" w:rsidP="00977EA5">
      <w:pPr>
        <w:spacing w:line="276" w:lineRule="auto"/>
        <w:jc w:val="both"/>
        <w:rPr>
          <w:rFonts w:ascii="Times New Roman" w:hAnsi="Times New Roman" w:cs="Times New Roman"/>
          <w:sz w:val="20"/>
          <w:szCs w:val="20"/>
        </w:rPr>
      </w:pPr>
      <w:bookmarkStart w:id="2" w:name="_Hlk192679882"/>
      <w:r w:rsidRPr="00E30F80">
        <w:rPr>
          <w:rFonts w:ascii="Times New Roman" w:hAnsi="Times New Roman" w:cs="Times New Roman"/>
          <w:sz w:val="20"/>
          <w:szCs w:val="20"/>
        </w:rPr>
        <w:t xml:space="preserve">Structural pathologies, such as weak beam-column connections, out-of-plane failures of infill panels, and torsional effects due to mass eccentricity, play a critical role in causing localized and widespread damage. As seismic forces propagate through these structures, areas where load paths are disrupted or elements are poorly connected tend to experience more severe damage. Furthermore, outdated seismic codes and insufficient detailing of structural components often fail to prevent such failures, highlighting the need for updated standards and careful consideration of building design to mitigate risks. The progressive nature of seismic damage, particularly in multi-story buildings, underscores the importance of thorough assessments to better understand and prevent such vulnerabilities in future construction </w:t>
      </w:r>
      <w:r w:rsidRPr="00E30F80">
        <w:rPr>
          <w:rFonts w:ascii="Times New Roman" w:hAnsi="Times New Roman" w:cs="Times New Roman"/>
          <w:color w:val="0070C0"/>
          <w:sz w:val="20"/>
          <w:szCs w:val="20"/>
        </w:rPr>
        <w:fldChar w:fldCharType="begin" w:fldLock="1"/>
      </w:r>
      <w:r w:rsidRPr="00E30F80">
        <w:rPr>
          <w:rFonts w:ascii="Times New Roman" w:hAnsi="Times New Roman" w:cs="Times New Roman"/>
          <w:color w:val="0070C0"/>
          <w:sz w:val="20"/>
          <w:szCs w:val="20"/>
        </w:rPr>
        <w:instrText>ADDIN CSL_CITATION {"citationItems":[{"id":"ITEM-1","itemData":{"DOI":"https://doi.org/10.1016/j.engfailanal.2024.108282","ISSN":"1350-6307","abstract":"A prolonged and highly destructive seismic sequence struck Central Italy, spanning from August 24, 2016, to January 2017. This series of earthquakes resulted in widespread structural failures and extensive damage across four regions along the Apennines: Lazio, Umbria, Marche, and Abruzzo. In the context of this study, based on post-earthquake remotely observed damages data, we conducted an in-depth empirical examination of the vulnerability of various types of buildings, including reinforced concrete, masonry, and steel structures. These valuable data, accessible through a Google Street View application, furnished critical insights into building locations, characteristics, and spatially observed patterns of damage before and after the seismic events. We undertook a meticulous review and comparison of this extensive dataset to ensure its consistency with prior earthquake observations, fragility functions, and relevant scientific literature. Our research involved a comprehensive examination of selected structures by combining post-earthquake inspections and visual assessments using Google Street View. This comprehensive study allowed us to compare similar buildings with and without damage, generating significant statistical insights into the types of structural pathologies that lead to localized and widespread damage, as well as instances of structural collapses or domino effects. Furthermore, we propose a preliminary glimpse at the power of Machine Learning techniques into earthquake risk assessment. We suggest that this approach could enhance the robustness and accuracy of modeling procedures, which are essential when addressing such complex challenges.","author":[{"dropping-particle":"","family":"Nascimbene","given":"R","non-dropping-particle":"","parse-names":false,"suffix":""}],"container-title":"Engineering Failure Analysis","id":"ITEM-1","issued":{"date-parts":[["2024"]]},"page":"108282","title":"Investigation of seismic damage to existing buildings by using remotely observed images","type":"article-journal","volume":"161"},"uris":["http://www.mendeley.com/documents/?uuid=49ad6e7d-93dc-458e-b763-d4c070f9d244"]}],"mendeley":{"formattedCitation":"(Nascimbene 2024)","plainTextFormattedCitation":"(Nascimbene 2024)","previouslyFormattedCitation":"(Nascimbene 2024)"},"properties":{"noteIndex":0},"schema":"https://github.com/citation-style-language/schema/raw/master/csl-citation.json"}</w:instrText>
      </w:r>
      <w:r w:rsidRPr="00E30F80">
        <w:rPr>
          <w:rFonts w:ascii="Times New Roman" w:hAnsi="Times New Roman" w:cs="Times New Roman"/>
          <w:color w:val="0070C0"/>
          <w:sz w:val="20"/>
          <w:szCs w:val="20"/>
        </w:rPr>
        <w:fldChar w:fldCharType="separate"/>
      </w:r>
      <w:r w:rsidRPr="00E30F80">
        <w:rPr>
          <w:rFonts w:ascii="Times New Roman" w:hAnsi="Times New Roman" w:cs="Times New Roman"/>
          <w:noProof/>
          <w:color w:val="0070C0"/>
          <w:sz w:val="20"/>
          <w:szCs w:val="20"/>
        </w:rPr>
        <w:t>(Nascimbene 2024)</w:t>
      </w:r>
      <w:r w:rsidRPr="00E30F80">
        <w:rPr>
          <w:rFonts w:ascii="Times New Roman" w:hAnsi="Times New Roman" w:cs="Times New Roman"/>
          <w:color w:val="0070C0"/>
          <w:sz w:val="20"/>
          <w:szCs w:val="20"/>
        </w:rPr>
        <w:fldChar w:fldCharType="end"/>
      </w:r>
      <w:r w:rsidRPr="00E30F80">
        <w:rPr>
          <w:rFonts w:ascii="Times New Roman" w:hAnsi="Times New Roman" w:cs="Times New Roman"/>
          <w:sz w:val="20"/>
          <w:szCs w:val="20"/>
        </w:rPr>
        <w:t>.</w:t>
      </w:r>
      <w:bookmarkEnd w:id="2"/>
    </w:p>
    <w:p w14:paraId="786D9ED7" w14:textId="5A3C6536" w:rsidR="00CF0A37" w:rsidRPr="00E30F80" w:rsidRDefault="00CF0A37" w:rsidP="00977EA5">
      <w:pPr>
        <w:spacing w:line="276" w:lineRule="auto"/>
        <w:jc w:val="both"/>
        <w:rPr>
          <w:rFonts w:ascii="Times New Roman" w:hAnsi="Times New Roman" w:cs="Times New Roman"/>
          <w:b/>
          <w:bCs/>
          <w:color w:val="0070C0"/>
          <w:sz w:val="20"/>
          <w:szCs w:val="20"/>
        </w:rPr>
      </w:pPr>
      <w:r w:rsidRPr="00E30F80">
        <w:rPr>
          <w:rFonts w:ascii="Times New Roman" w:hAnsi="Times New Roman" w:cs="Times New Roman"/>
          <w:b/>
          <w:bCs/>
          <w:color w:val="0070C0"/>
          <w:sz w:val="20"/>
          <w:szCs w:val="20"/>
        </w:rPr>
        <w:t>References:</w:t>
      </w:r>
    </w:p>
    <w:p w14:paraId="5357233E" w14:textId="19F29F5B" w:rsidR="00CF0A37" w:rsidRPr="00E30F80" w:rsidRDefault="00CF0A37" w:rsidP="00977EA5">
      <w:pPr>
        <w:widowControl w:val="0"/>
        <w:autoSpaceDE w:val="0"/>
        <w:autoSpaceDN w:val="0"/>
        <w:adjustRightInd w:val="0"/>
        <w:spacing w:after="0" w:line="276" w:lineRule="auto"/>
        <w:ind w:left="480" w:hanging="480"/>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Nascimbene R (2024) Investigation of seismic damage to existing buildings by using remotely observed images. Eng Fail Anal 161:108282. </w:t>
      </w:r>
      <w:r w:rsidRPr="00E30F80">
        <w:rPr>
          <w:rFonts w:ascii="Times New Roman" w:eastAsia="Times New Roman" w:hAnsi="Times New Roman" w:cs="Times New Roman"/>
          <w:noProof/>
          <w:color w:val="0070C0"/>
          <w:kern w:val="0"/>
          <w:sz w:val="20"/>
          <w:u w:val="single"/>
          <w14:ligatures w14:val="none"/>
        </w:rPr>
        <w:t>https://doi.org/10.1016/j.engfailanal.2024.108282</w:t>
      </w:r>
    </w:p>
    <w:p w14:paraId="400A7240" w14:textId="19486881" w:rsidR="004B73EA" w:rsidRPr="00F94103" w:rsidRDefault="004B73EA" w:rsidP="00977EA5">
      <w:pPr>
        <w:spacing w:before="240" w:line="276" w:lineRule="auto"/>
        <w:jc w:val="both"/>
        <w:rPr>
          <w:rFonts w:ascii="Times New Roman" w:hAnsi="Times New Roman" w:cs="Times New Roman"/>
          <w:b/>
          <w:bCs/>
          <w:sz w:val="20"/>
          <w:szCs w:val="20"/>
          <w:lang w:bidi="ne-NP"/>
        </w:rPr>
      </w:pPr>
      <w:r w:rsidRPr="00F94103">
        <w:rPr>
          <w:rFonts w:ascii="Times New Roman" w:hAnsi="Times New Roman" w:cs="Times New Roman"/>
          <w:b/>
          <w:bCs/>
          <w:sz w:val="20"/>
          <w:szCs w:val="20"/>
          <w:lang w:bidi="ne-NP"/>
        </w:rPr>
        <w:t>Comment 5:</w:t>
      </w:r>
    </w:p>
    <w:p w14:paraId="2065AA8F" w14:textId="1B3849F0" w:rsidR="004B73EA" w:rsidRPr="00F94103" w:rsidRDefault="004B73EA" w:rsidP="00977EA5">
      <w:pPr>
        <w:spacing w:line="276" w:lineRule="auto"/>
        <w:jc w:val="both"/>
        <w:rPr>
          <w:rFonts w:ascii="Times New Roman" w:hAnsi="Times New Roman" w:cs="Times New Roman"/>
          <w:sz w:val="20"/>
          <w:szCs w:val="20"/>
        </w:rPr>
      </w:pPr>
      <w:r w:rsidRPr="00F94103">
        <w:rPr>
          <w:rFonts w:ascii="Times New Roman" w:hAnsi="Times New Roman" w:cs="Times New Roman"/>
          <w:sz w:val="20"/>
          <w:szCs w:val="20"/>
        </w:rPr>
        <w:t>Section 1 is currently divided into multiple subsections (1.1, 1.2, 1.3, and further into 1.3.1 - but this is also valid for section 2 subdivided into four sections</w:t>
      </w:r>
      <w:r w:rsidR="003E57C1" w:rsidRPr="00F94103">
        <w:rPr>
          <w:rFonts w:ascii="Times New Roman" w:hAnsi="Times New Roman" w:cs="Times New Roman"/>
          <w:sz w:val="20"/>
          <w:szCs w:val="20"/>
        </w:rPr>
        <w:t>…. really</w:t>
      </w:r>
      <w:r w:rsidRPr="00F94103">
        <w:rPr>
          <w:rFonts w:ascii="Times New Roman" w:hAnsi="Times New Roman" w:cs="Times New Roman"/>
          <w:sz w:val="20"/>
          <w:szCs w:val="20"/>
        </w:rPr>
        <w:t xml:space="preserve"> too </w:t>
      </w:r>
      <w:r w:rsidR="003E57C1" w:rsidRPr="00F94103">
        <w:rPr>
          <w:rFonts w:ascii="Times New Roman" w:hAnsi="Times New Roman" w:cs="Times New Roman"/>
          <w:sz w:val="20"/>
          <w:szCs w:val="20"/>
        </w:rPr>
        <w:t>much!</w:t>
      </w:r>
      <w:r w:rsidRPr="00F94103">
        <w:rPr>
          <w:rFonts w:ascii="Times New Roman" w:hAnsi="Times New Roman" w:cs="Times New Roman"/>
          <w:sz w:val="20"/>
          <w:szCs w:val="20"/>
        </w:rPr>
        <w:t>), which raises the question of whether such a high level of subdivision is truly necessary. The 'Introduction' section should provide a clear and structured overview, including the state of the art, the methodology, the procedure, and an outline of the paper. Additionally, it is essential to clearly describe the step forward that this research takes in comparison to previous studies, emphasizing its novelty and contributions.</w:t>
      </w:r>
    </w:p>
    <w:p w14:paraId="258FA8E9" w14:textId="134FCC30" w:rsidR="004B73EA" w:rsidRPr="00F94103" w:rsidRDefault="004B73EA" w:rsidP="00977EA5">
      <w:pPr>
        <w:spacing w:line="276" w:lineRule="auto"/>
        <w:jc w:val="both"/>
        <w:rPr>
          <w:rFonts w:ascii="Times New Roman" w:hAnsi="Times New Roman" w:cs="Times New Roman"/>
          <w:b/>
          <w:bCs/>
          <w:sz w:val="20"/>
          <w:szCs w:val="20"/>
          <w:lang w:bidi="ne-NP"/>
        </w:rPr>
      </w:pPr>
      <w:r w:rsidRPr="00F94103">
        <w:rPr>
          <w:rFonts w:ascii="Times New Roman" w:hAnsi="Times New Roman" w:cs="Times New Roman"/>
          <w:b/>
          <w:bCs/>
          <w:sz w:val="20"/>
          <w:szCs w:val="20"/>
          <w:lang w:bidi="ne-NP"/>
        </w:rPr>
        <w:t>Response and Adjustment:</w:t>
      </w:r>
    </w:p>
    <w:p w14:paraId="1CD813E2" w14:textId="0533EC09" w:rsidR="003E57C1" w:rsidRPr="00F94103" w:rsidRDefault="00F94103" w:rsidP="00977EA5">
      <w:pPr>
        <w:spacing w:line="276" w:lineRule="auto"/>
        <w:jc w:val="both"/>
        <w:rPr>
          <w:rFonts w:ascii="Times New Roman" w:hAnsi="Times New Roman" w:cs="Times New Roman"/>
          <w:sz w:val="20"/>
          <w:szCs w:val="20"/>
          <w:lang w:bidi="ne-NP"/>
        </w:rPr>
      </w:pPr>
      <w:r w:rsidRPr="00F94103">
        <w:rPr>
          <w:rFonts w:ascii="Times New Roman" w:hAnsi="Times New Roman" w:cs="Times New Roman"/>
          <w:sz w:val="20"/>
          <w:szCs w:val="20"/>
          <w:lang w:bidi="ne-NP"/>
        </w:rPr>
        <w:t>In response to your suggestion, I have removed all subsections in Sections 1 and 2 to ensure a more structured and concise presentation. The Introduction now provides a streamlined discussion covering the state of the art, methodology, and research contributions, clearly emphasizing the novelty of this study. Similarly, Section 2, which focuses on the methodology, model description, and design rationale, has been presented cohesively without excessive subdivisions. This revision enhances clarity and ensures a logical flow of information while maintaining the necessary level of detail.</w:t>
      </w:r>
    </w:p>
    <w:p w14:paraId="40F90CA2" w14:textId="2E30A663" w:rsidR="003E57C1" w:rsidRPr="003729E8" w:rsidRDefault="003E57C1" w:rsidP="00977EA5">
      <w:pPr>
        <w:spacing w:line="276" w:lineRule="auto"/>
        <w:jc w:val="both"/>
        <w:rPr>
          <w:rFonts w:ascii="Times New Roman" w:hAnsi="Times New Roman" w:cs="Times New Roman"/>
          <w:b/>
          <w:bCs/>
          <w:sz w:val="20"/>
          <w:szCs w:val="20"/>
        </w:rPr>
      </w:pPr>
      <w:r w:rsidRPr="003729E8">
        <w:rPr>
          <w:rFonts w:ascii="Times New Roman" w:hAnsi="Times New Roman" w:cs="Times New Roman"/>
          <w:b/>
          <w:bCs/>
          <w:sz w:val="20"/>
          <w:szCs w:val="20"/>
        </w:rPr>
        <w:t>Comment 6:</w:t>
      </w:r>
    </w:p>
    <w:p w14:paraId="196D5414" w14:textId="52BADC38" w:rsidR="003E57C1" w:rsidRPr="00E30F80" w:rsidRDefault="003E57C1" w:rsidP="00977EA5">
      <w:pPr>
        <w:spacing w:line="276" w:lineRule="auto"/>
        <w:jc w:val="both"/>
        <w:rPr>
          <w:rFonts w:ascii="Times New Roman" w:hAnsi="Times New Roman" w:cs="Times New Roman"/>
          <w:sz w:val="20"/>
          <w:szCs w:val="20"/>
        </w:rPr>
      </w:pPr>
      <w:r w:rsidRPr="003729E8">
        <w:rPr>
          <w:rFonts w:ascii="Times New Roman" w:hAnsi="Times New Roman" w:cs="Times New Roman"/>
          <w:sz w:val="20"/>
          <w:szCs w:val="20"/>
        </w:rPr>
        <w:t>The figures in Section 1 appear to be scanned from previous publications. The authors should ensure that there are no copyright issues by verifying compliance with the journal's guidelines. If these figures are adapted from prior work, appropriate citations and acknowledgments should be included, following the journal's template and copyright policies.</w:t>
      </w:r>
    </w:p>
    <w:p w14:paraId="0E87A94E" w14:textId="77777777" w:rsidR="003E57C1" w:rsidRPr="00E30F80" w:rsidRDefault="003E57C1"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29AB9603" w14:textId="0FB72486" w:rsidR="003E57C1" w:rsidRPr="00E30F80" w:rsidRDefault="004330D2" w:rsidP="00977EA5">
      <w:pPr>
        <w:spacing w:line="276" w:lineRule="auto"/>
        <w:jc w:val="both"/>
        <w:rPr>
          <w:rFonts w:ascii="Times New Roman" w:hAnsi="Times New Roman" w:cs="Times New Roman"/>
          <w:sz w:val="20"/>
          <w:szCs w:val="20"/>
        </w:rPr>
      </w:pPr>
      <w:r>
        <w:rPr>
          <w:rFonts w:ascii="Times New Roman" w:hAnsi="Times New Roman" w:cs="Times New Roman"/>
          <w:sz w:val="20"/>
          <w:szCs w:val="20"/>
        </w:rPr>
        <w:t>W</w:t>
      </w:r>
      <w:r w:rsidR="003C3055" w:rsidRPr="003C3055">
        <w:rPr>
          <w:rFonts w:ascii="Times New Roman" w:hAnsi="Times New Roman" w:cs="Times New Roman"/>
          <w:sz w:val="20"/>
          <w:szCs w:val="20"/>
        </w:rPr>
        <w:t xml:space="preserve">e have carefully reviewed the journal's copyright guidelines and ensured that all figures comply with the required policies. </w:t>
      </w:r>
      <w:r w:rsidR="003C3055">
        <w:rPr>
          <w:rFonts w:ascii="Times New Roman" w:hAnsi="Times New Roman" w:cs="Times New Roman"/>
          <w:sz w:val="20"/>
          <w:szCs w:val="20"/>
        </w:rPr>
        <w:t xml:space="preserve">Figure 1 was prepared by </w:t>
      </w:r>
      <w:r>
        <w:rPr>
          <w:rFonts w:ascii="Times New Roman" w:hAnsi="Times New Roman" w:cs="Times New Roman"/>
          <w:sz w:val="20"/>
          <w:szCs w:val="20"/>
        </w:rPr>
        <w:t xml:space="preserve">ourselves </w:t>
      </w:r>
      <w:r w:rsidR="003C3055">
        <w:rPr>
          <w:rFonts w:ascii="Times New Roman" w:hAnsi="Times New Roman" w:cs="Times New Roman"/>
          <w:sz w:val="20"/>
          <w:szCs w:val="20"/>
        </w:rPr>
        <w:t xml:space="preserve">from the </w:t>
      </w:r>
      <w:r>
        <w:rPr>
          <w:rFonts w:ascii="Times New Roman" w:hAnsi="Times New Roman" w:cs="Times New Roman"/>
          <w:sz w:val="20"/>
          <w:szCs w:val="20"/>
        </w:rPr>
        <w:t xml:space="preserve">concept of </w:t>
      </w:r>
      <w:r w:rsidR="003C3055">
        <w:rPr>
          <w:rFonts w:ascii="Times New Roman" w:hAnsi="Times New Roman" w:cs="Times New Roman"/>
          <w:sz w:val="20"/>
          <w:szCs w:val="20"/>
        </w:rPr>
        <w:t>journal</w:t>
      </w:r>
      <w:r>
        <w:rPr>
          <w:rFonts w:ascii="Times New Roman" w:hAnsi="Times New Roman" w:cs="Times New Roman"/>
          <w:sz w:val="20"/>
          <w:szCs w:val="20"/>
        </w:rPr>
        <w:t>’s</w:t>
      </w:r>
      <w:r w:rsidR="003C3055">
        <w:rPr>
          <w:rFonts w:ascii="Times New Roman" w:hAnsi="Times New Roman" w:cs="Times New Roman"/>
          <w:sz w:val="20"/>
          <w:szCs w:val="20"/>
        </w:rPr>
        <w:t xml:space="preserve"> </w:t>
      </w:r>
      <w:r>
        <w:rPr>
          <w:rFonts w:ascii="Times New Roman" w:hAnsi="Times New Roman" w:cs="Times New Roman"/>
          <w:sz w:val="20"/>
          <w:szCs w:val="20"/>
        </w:rPr>
        <w:t>main title</w:t>
      </w:r>
      <w:r w:rsidR="003C3055">
        <w:rPr>
          <w:rFonts w:ascii="Times New Roman" w:hAnsi="Times New Roman" w:cs="Times New Roman"/>
          <w:sz w:val="20"/>
          <w:szCs w:val="20"/>
        </w:rPr>
        <w:t xml:space="preserve">, figure </w:t>
      </w:r>
      <w:r w:rsidR="008E4542">
        <w:rPr>
          <w:rFonts w:ascii="Times New Roman" w:hAnsi="Times New Roman" w:cs="Times New Roman"/>
          <w:sz w:val="20"/>
          <w:szCs w:val="20"/>
        </w:rPr>
        <w:t xml:space="preserve">2 was adopted from web page and figure </w:t>
      </w:r>
      <w:r w:rsidR="003C3055">
        <w:rPr>
          <w:rFonts w:ascii="Times New Roman" w:hAnsi="Times New Roman" w:cs="Times New Roman"/>
          <w:sz w:val="20"/>
          <w:szCs w:val="20"/>
        </w:rPr>
        <w:t xml:space="preserve">3 was </w:t>
      </w:r>
      <w:r w:rsidR="003C3055" w:rsidRPr="003C3055">
        <w:rPr>
          <w:rFonts w:ascii="Times New Roman" w:hAnsi="Times New Roman" w:cs="Times New Roman"/>
          <w:sz w:val="20"/>
          <w:szCs w:val="20"/>
        </w:rPr>
        <w:t>adapted from prior work</w:t>
      </w:r>
      <w:r w:rsidR="003C3055">
        <w:rPr>
          <w:rFonts w:ascii="Times New Roman" w:hAnsi="Times New Roman" w:cs="Times New Roman"/>
          <w:sz w:val="20"/>
          <w:szCs w:val="20"/>
        </w:rPr>
        <w:t xml:space="preserve"> and </w:t>
      </w:r>
      <w:r w:rsidR="003C3055" w:rsidRPr="003C3055">
        <w:rPr>
          <w:rFonts w:ascii="Times New Roman" w:hAnsi="Times New Roman" w:cs="Times New Roman"/>
          <w:sz w:val="20"/>
          <w:szCs w:val="20"/>
        </w:rPr>
        <w:t>we have included appropriate citations</w:t>
      </w:r>
      <w:r>
        <w:rPr>
          <w:rFonts w:ascii="Times New Roman" w:hAnsi="Times New Roman" w:cs="Times New Roman"/>
          <w:sz w:val="20"/>
          <w:szCs w:val="20"/>
        </w:rPr>
        <w:t>.</w:t>
      </w:r>
      <w:r w:rsidR="003C3055" w:rsidRPr="003C3055">
        <w:rPr>
          <w:rFonts w:ascii="Times New Roman" w:hAnsi="Times New Roman" w:cs="Times New Roman"/>
          <w:sz w:val="20"/>
          <w:szCs w:val="20"/>
        </w:rPr>
        <w:t xml:space="preserve"> </w:t>
      </w:r>
    </w:p>
    <w:p w14:paraId="3F15B928" w14:textId="77777777" w:rsidR="008E4542" w:rsidRDefault="008E4542" w:rsidP="00977EA5">
      <w:pPr>
        <w:spacing w:line="276" w:lineRule="auto"/>
        <w:jc w:val="both"/>
        <w:rPr>
          <w:rFonts w:ascii="Times New Roman" w:hAnsi="Times New Roman" w:cs="Times New Roman"/>
          <w:b/>
          <w:bCs/>
          <w:sz w:val="20"/>
          <w:szCs w:val="20"/>
        </w:rPr>
      </w:pPr>
    </w:p>
    <w:p w14:paraId="3B97C77D" w14:textId="0000F077" w:rsidR="003E57C1" w:rsidRPr="00E30F80" w:rsidRDefault="003E57C1"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lastRenderedPageBreak/>
        <w:t>Comment 7:</w:t>
      </w:r>
    </w:p>
    <w:p w14:paraId="38FC010E" w14:textId="77777777" w:rsidR="000C3CAD" w:rsidRPr="00E30F80" w:rsidRDefault="000C3CAD" w:rsidP="00977EA5">
      <w:pPr>
        <w:spacing w:line="276" w:lineRule="auto"/>
        <w:jc w:val="both"/>
        <w:rPr>
          <w:rFonts w:ascii="Times New Roman" w:hAnsi="Times New Roman" w:cs="Times New Roman"/>
          <w:sz w:val="20"/>
          <w:szCs w:val="20"/>
        </w:rPr>
      </w:pPr>
      <w:r w:rsidRPr="00E30F80">
        <w:rPr>
          <w:rFonts w:ascii="Times New Roman" w:hAnsi="Times New Roman" w:cs="Times New Roman"/>
          <w:sz w:val="20"/>
          <w:szCs w:val="20"/>
        </w:rPr>
        <w:t>The ETABS software requires a proper reference in the paper. Additionally, each time it is mentioned, it should be consistently cited to acknowledge its source and ensure proper attribution, following the journal's referencing guidelines.</w:t>
      </w:r>
    </w:p>
    <w:p w14:paraId="54AAF725" w14:textId="0BC5A949" w:rsidR="003E57C1" w:rsidRPr="00E30F80" w:rsidRDefault="003E57C1"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557E3064" w14:textId="77777777" w:rsidR="00312E1D" w:rsidRPr="00E30F80" w:rsidRDefault="00312E1D" w:rsidP="00977EA5">
      <w:pPr>
        <w:pStyle w:val="NormalWeb"/>
        <w:spacing w:line="276" w:lineRule="auto"/>
        <w:jc w:val="both"/>
        <w:rPr>
          <w:sz w:val="20"/>
          <w:szCs w:val="20"/>
        </w:rPr>
      </w:pPr>
      <w:r w:rsidRPr="00E30F80">
        <w:rPr>
          <w:sz w:val="20"/>
          <w:szCs w:val="20"/>
        </w:rPr>
        <w:t>We have now properly referenced ETABS in the manuscript to ensure proper attribution. Each mention of ETABS software has been consistently cited following the journal’s referencing guidelines. The reference has been added as:</w:t>
      </w:r>
    </w:p>
    <w:p w14:paraId="64AE20D9" w14:textId="7AAC2714" w:rsidR="001C3742" w:rsidRPr="00E30F80" w:rsidRDefault="001C3742" w:rsidP="00977EA5">
      <w:pPr>
        <w:pStyle w:val="NormalWeb"/>
        <w:spacing w:line="276" w:lineRule="auto"/>
        <w:jc w:val="both"/>
        <w:rPr>
          <w:b/>
          <w:bCs/>
          <w:color w:val="0070C0"/>
          <w:sz w:val="20"/>
          <w:szCs w:val="20"/>
        </w:rPr>
      </w:pPr>
      <w:r w:rsidRPr="00E30F80">
        <w:rPr>
          <w:b/>
          <w:bCs/>
          <w:color w:val="0070C0"/>
          <w:sz w:val="20"/>
          <w:szCs w:val="20"/>
        </w:rPr>
        <w:t>Reference</w:t>
      </w:r>
      <w:r w:rsidR="00C05591">
        <w:rPr>
          <w:b/>
          <w:bCs/>
          <w:color w:val="0070C0"/>
          <w:sz w:val="20"/>
          <w:szCs w:val="20"/>
        </w:rPr>
        <w:t>s</w:t>
      </w:r>
      <w:r w:rsidRPr="00E30F80">
        <w:rPr>
          <w:b/>
          <w:bCs/>
          <w:color w:val="0070C0"/>
          <w:sz w:val="20"/>
          <w:szCs w:val="20"/>
        </w:rPr>
        <w:t>:</w:t>
      </w:r>
    </w:p>
    <w:p w14:paraId="651340B2" w14:textId="17745358" w:rsidR="00312E1D" w:rsidRPr="00E30F80" w:rsidRDefault="00312E1D" w:rsidP="00977EA5">
      <w:pPr>
        <w:pStyle w:val="NormalWeb"/>
        <w:spacing w:line="276" w:lineRule="auto"/>
        <w:jc w:val="both"/>
        <w:rPr>
          <w:sz w:val="20"/>
          <w:szCs w:val="20"/>
        </w:rPr>
      </w:pPr>
      <w:r w:rsidRPr="00E30F80">
        <w:rPr>
          <w:sz w:val="20"/>
          <w:szCs w:val="20"/>
        </w:rPr>
        <w:t xml:space="preserve">Computers and Structures, Inc. (2022) </w:t>
      </w:r>
      <w:r w:rsidRPr="00E30F80">
        <w:rPr>
          <w:rStyle w:val="Emphasis"/>
          <w:rFonts w:eastAsiaTheme="majorEastAsia"/>
          <w:i w:val="0"/>
          <w:iCs w:val="0"/>
          <w:sz w:val="20"/>
          <w:szCs w:val="20"/>
        </w:rPr>
        <w:t xml:space="preserve">ETABS Integrated Software for Building Analysis and Design, </w:t>
      </w:r>
      <w:r w:rsidR="00EA3435" w:rsidRPr="00E30F80">
        <w:rPr>
          <w:rStyle w:val="Emphasis"/>
          <w:rFonts w:eastAsiaTheme="majorEastAsia"/>
          <w:i w:val="0"/>
          <w:iCs w:val="0"/>
          <w:sz w:val="20"/>
          <w:szCs w:val="20"/>
        </w:rPr>
        <w:t>V</w:t>
      </w:r>
      <w:r w:rsidRPr="00E30F80">
        <w:rPr>
          <w:rStyle w:val="Emphasis"/>
          <w:rFonts w:eastAsiaTheme="majorEastAsia"/>
          <w:i w:val="0"/>
          <w:iCs w:val="0"/>
          <w:sz w:val="20"/>
          <w:szCs w:val="20"/>
        </w:rPr>
        <w:t>ersion 20</w:t>
      </w:r>
      <w:r w:rsidRPr="00E30F80">
        <w:rPr>
          <w:i/>
          <w:iCs/>
          <w:sz w:val="20"/>
          <w:szCs w:val="20"/>
        </w:rPr>
        <w:t>.</w:t>
      </w:r>
      <w:r w:rsidRPr="00E30F80">
        <w:rPr>
          <w:sz w:val="20"/>
          <w:szCs w:val="20"/>
        </w:rPr>
        <w:t xml:space="preserve"> Berkeley, CA, USA.</w:t>
      </w:r>
    </w:p>
    <w:p w14:paraId="2801F454" w14:textId="36C13E05" w:rsidR="003E57C1" w:rsidRPr="00E30F80" w:rsidRDefault="003E57C1"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Comment 8:</w:t>
      </w:r>
    </w:p>
    <w:p w14:paraId="7B839FD5" w14:textId="77777777" w:rsidR="000C3CAD" w:rsidRPr="00E30F80" w:rsidRDefault="000C3CAD" w:rsidP="00977EA5">
      <w:pPr>
        <w:spacing w:line="276" w:lineRule="auto"/>
        <w:jc w:val="both"/>
        <w:rPr>
          <w:rFonts w:ascii="Times New Roman" w:hAnsi="Times New Roman" w:cs="Times New Roman"/>
          <w:color w:val="222222"/>
          <w:sz w:val="20"/>
          <w:szCs w:val="20"/>
          <w:shd w:val="clear" w:color="auto" w:fill="FFFFFF"/>
        </w:rPr>
      </w:pPr>
      <w:r w:rsidRPr="00E30F80">
        <w:rPr>
          <w:rFonts w:ascii="Times New Roman" w:hAnsi="Times New Roman" w:cs="Times New Roman"/>
          <w:color w:val="222222"/>
          <w:sz w:val="20"/>
          <w:szCs w:val="20"/>
          <w:shd w:val="clear" w:color="auto" w:fill="FFFFFF"/>
        </w:rPr>
        <w:t>The authors introduce the concept of high-rise structures, but this should be better explained to provide clearer context. I suggest adding relevant references, such as [DOI: 10.3311/PPci.9469], to enhance the readers' understanding and strengthen the discussion on high-rise structures</w:t>
      </w:r>
    </w:p>
    <w:p w14:paraId="17AC8849" w14:textId="2A5E377E" w:rsidR="000C3CAD" w:rsidRPr="00E30F80" w:rsidRDefault="000C3CAD" w:rsidP="00977EA5">
      <w:pPr>
        <w:spacing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28C9A5D3" w14:textId="5A80148F" w:rsidR="00F94103" w:rsidRPr="00F94103" w:rsidRDefault="00F94103" w:rsidP="00977EA5">
      <w:pPr>
        <w:spacing w:before="240" w:line="276" w:lineRule="auto"/>
        <w:jc w:val="both"/>
        <w:rPr>
          <w:rFonts w:ascii="Times New Roman" w:hAnsi="Times New Roman" w:cs="Times New Roman"/>
          <w:sz w:val="20"/>
          <w:szCs w:val="20"/>
        </w:rPr>
      </w:pPr>
      <w:r w:rsidRPr="00F94103">
        <w:rPr>
          <w:rFonts w:ascii="Times New Roman" w:hAnsi="Times New Roman" w:cs="Times New Roman"/>
          <w:sz w:val="20"/>
          <w:szCs w:val="20"/>
        </w:rPr>
        <w:t xml:space="preserve">In addition to irregularities, urban densification has also led to the widespread adoption of high-rise structures as a solution to accommodate growing populations within limited urban spaces. They present unique engineering challenges due to their significant slenderness and extended vibration periods, making them highly susceptible to dynamic forces, particularly seismic and wind loads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{"citationItems":[{"id":"ITEM-1","itemData":{"DOI":"10.1108/IJBPA-07-2022-0102","ISSN":"2398-4708","abstract":"Purpose To date, there are no studies in the literature that provide a comprehensive understanding of the interrelationships between the slenderness ratio and the main design criteria in supertall towers (=300 m). In this paper, this important issue was explored using detailed data collected from 75 cases. Design/methodology/approach This paper was carried out with a comprehensive literature review including the database of the Council on Tall Buildings and Urban Habitat(CTBUH) (CTBUH, 2022), peer-reviewed journals, MSc theses and PhD dissertations, conference proceedings, fact sheets, architectural and structural magazines and other Internet sources. In this study, the case study method was also used to gather and consolidate information about supertall towers to analyze the interrelationships. Cases were 75 supertall buildings in various countries [44 from Asia (37 from China), 16 from the Middle East (6 from Dubai, the United Arab Emirates), 11 from the United States of America and 3 from Russia, 1 from the UK]. Findings The paper's findings highlighted as follows: (1) for buildings in the height range of 300–399 m, the slenderness ratio was usually between 7 and 7.9 and megatall towers were frequently built at a slenderness ratio of 10–15; (2) the median slenderness ratio of buildings in the 400–599 m height ranges was around 8.6; (3) a trend towards supertall slender buildings (=8) was observed in Asia, the Middle East and North America; (4) residential, office and mixed-use towers had a median slenderness ratio of over 7.5; (5) all building forms were utilized in the construction of slender towers (&gt;8); (6) the medium slenderness ratio was around 8 for supertall buildings constructed with outriggered frame and tube systems; (7) especially concrete towers reached values pushing the limits of slenderness (&gt;10) and (8) since the number of some supertall building groups (e.g. steel towers) was not sufficient, establishing a scientific relationship between aspect ratio and related design criteria was not possible. Originality/value To date, there are no studies in the literature that provide a comprehensive understanding of the interrelationships between the slenderness ratio and the main design criteria in supertall towers (=300 m). This important issue was explored using detailed data collected from 75 cases.","author":[{"dropping-particle":"","family":"Ilgın","given":"Hüseyin Emre","non-dropping-particle":"","parse-names":false,"suffix":""}],"container-title":"International Journal of Building Pathology and Adaptation","id":"ITEM-1","issue":"6","issued":{"date-parts":[["2023","1","1"]]},"page":"139-161","publisher":"Emerald Publishing Limited","title":"Interrelations of slenderness ratio and main design criteria in supertall buildings","type":"article-journal","volume":"41"},"uris":["http://www.mendeley.com/documents/?uuid=1005757f-d6f8-44e6-b01e-255d91c8b540"]},{"id":"ITEM-2","itemData":{"DOI":"10.1061/(ASCE)0733-9445(2006)132:11(1732)","abstract":"The reinforced concrete building considered in this study has 34 typical floors above a 2.7 m thick transfer plate and a three-level podium. The transfer plate is a reinforced concrete thick plate that transfers the loads from the walls at the typical floors to widely spaced columns in the three-level podium. A microconcrete model representing the high-rise building was constructed in 1:20 scale. Shaking table tests were conducted and the model was subjected to earthquake actions representing minor, moderate, major, and supermajor earthquakes for a region of moderate seismicity, with basic seismic intensity at the VIIth degree pursuant to GB50011-2001. Seismic performance was qualitatively assessed, and it is predicted that the prototype building will not collapse when subjected to major earthquakes. The majority of the damage and failure occurred at the story above the transfer plate. To minimize the damage, it is desirable to strengthen the walls between the 4th and 15th floors as well as reducing any change in stiffness within the transfer plate zone. Data obtained from the shaking table tests were analyzed. Spectral frequencies of the acceleration spectra estimated by the fast Fourier transform method and deformation measurements are good indicators on structural damage. Plots of acceleration against displacement would be useful in assessing the locations of structural damage. The use of the ratio of lateral stiffness to check the existence of a soft story may not be appropriate for high-rise buildings. However, story drift relates well with the degree of structural damage.","author":[{"dropping-particle":"","family":"Li","given":"C.","non-dropping-particle":"","parse-names":false,"suffix":""},{"dropping-particle":"","family":"Lam","given":"S.","non-dropping-particle":"","parse-names":false,"suffix":""},{"dropping-particle":"","family":"Zhang","given":"M.","non-dropping-particle":"","parse-names":false,"suffix":""},{"dropping-particle":"","family":"Wong","given":"Y.","non-dropping-particle":"","parse-names":false,"suffix":""}],"container-title":"Journal of Structural Engineering","id":"ITEM-2","issue":"11","issued":{"date-parts":[["2006","11","1"]]},"note":"doi: 10.1061/(ASCE)0733-9445(2006)132:11(1732)","page":"1732-1744","publisher":"American Society of Civil Engineers","title":"Shaking Table Test of a 1:20 Scale High-Rise Building with a Transfer Plate System","type":"article-journal","volume":"132"},"uris":["http://www.mendeley.com/documents/?uuid=ea411894-0d57-40cb-a263-66a128dd64c9"]}],"mendeley":{"formattedCitation":"(Li et al. 2006; Ilgın 2023)","plainTextFormattedCitation":"(Li et al. 2006; Ilgın 2023)","previouslyFormattedCitation":"(Li et al. 2006; Ilgın 2023)"},"properties":{"noteIndex":0},"schema":"https://github.com/citation-style-language/schema/raw/master/csl-citation.json"}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(Li et al. 2006; Ilgın 2023)</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Their structural stability depends on multiple factors, including mass distribution, stiffness, and the efficiency of lateral load-resisting systems. Several prior studies have conducted to examine the dynamic behavior of high-rise structures under seismic conditions, emphasizing the critical role of structural configurations in ensuring overall stability. In seismically active regions, integrating considerations of plan irregularity into the design of high-rise buildings is essential for maintaining structural integrity, resilience occupant safety, and serviceability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{"citationItems":[{"id":"ITEM-1","itemData":{"DOI":"10.1007/s10518-024-01971-4","ISSN":"1573-1456","abstract":"Irregular reinforced concrete framed buildings are peculiar and their seismic response is difficult to predict using simplified approaches. The irregularity in structural configuration is characterized by cross-sectional area reduction of the columns along the height, in-elevation and in-plan irregular distribution of the masses, complex floor geometry or floor geometry variation along the height. This study analyses the seismic response of several four-storey buildings with different types of irregularities, namely in-elevation floor height and floor geometry variation. Additionally, responses of both seismically designed and gravity load designed structures are compared for each geometry considered. A numerical model accounting for non-linear flexural and shear response of the structure is developed, aimed at conducting non-linear incremental dynamic analyses. The results are discussed in terms of inter-storey drift, floor acceleration profiles, fragility functions and floor response spectra. A significant influence of the irregularity on floor accelerations and displacements was observed, as well as on the spectral acceleration at collapse, mainly caused by mass and stiffness variation along the height. On the other hand, no significant influence was detected on failure modes.","author":[{"dropping-particle":"","family":"Blasi","given":"Gianni","non-dropping-particle":"","parse-names":false,"suffix":""},{"dropping-particle":"","family":"Scarlino","given":"Andrea Santo","non-dropping-particle":"","parse-names":false,"suffix":""},{"dropping-particle":"","family":"Chirivì","given":"Salvatore","non-dropping-particle":"","parse-names":false,"suffix":""},{"dropping-particle":"","family":"Perrone","given":"Daniele","non-dropping-particle":"","parse-names":false,"suffix":""},{"dropping-particle":"","family":"Aiello","given":"Maria Antonietta","non-dropping-particle":"","parse-names":false,"suffix":""}],"container-title":"Bulletin of Earthquake Engineering","id":"ITEM-1","issue":"10","issued":{"date-parts":[["2024"]]},"page":"5231-5257","title":"Seismic response of irregular RC buildings designed for gravity and seismic loads","type":"article-journal","volume":"22"},"uris":["http://www.mendeley.com/documents/?uuid=e77d6171-1adb-401e-ab13-f19565c9ee86"]},{"id":"ITEM-2","itemData":{"DOI":"10.3390/buildings12091484","ISBN":"2075-5309","abstract":"In this study, the seismic performances of a 14-storey office building in Nanjing, China, due to its plan and vertical irregularities in the structural system, were evaluated using the response spectrum method, elastic time history analysis and elastic–plastic time history analysis. In combination of these three methods, the storey drifts and elastic–plastic states of typical structural members under three levels of earthquakes were determined to verify the robustness of the structural design program. The damage states of typical structural members at some sensitive positions were estimated and evaluated under rare earthquakes. Consequently, all structural members were within the scope of elastic performances under the actions of frequent earthquakes. The maximum displacements and storey drifts satisfied the requirements of the design codes within the scope of elastic or elastic–plastic deformations. The induced damages could reach “moderate damage” states, satisfying the requirements for the expected performances by the codes. The consequences indicated that the design scheme and critical parameters for the building structure satisfied the requirements of seismic performances from the codes.","author":[{"dropping-particle":"","family":"Jia","given":"Huijuan","non-dropping-particle":"","parse-names":false,"suffix":""},{"dropping-particle":"","family":"Song","given":"Yongsheng","non-dropping-particle":"","parse-names":false,"suffix":""},{"dropping-particle":"","family":"Chen","given":"Xi","non-dropping-particle":"","parse-names":false,"suffix":""},{"dropping-particle":"","family":"Liu","given":"Shunqing","non-dropping-particle":"","parse-names":false,"suffix":""},{"dropping-particle":"","family":"Zhang","given":"Binsheng","non-dropping-particle":"","parse-names":false,"suffix":""}],"container-title":"Buildings","id":"ITEM-2","issue":"9","issued":{"date-parts":[["2022"]]},"title":"Seismic Performance Evaluation of a High-Rise Building with Structural Irregularities","type":"article-journal","volume":"12"},"uris":["http://www.mendeley.com/documents/?uuid=d408caaa-bcc2-4e68-9d20-23b978037509"]}],"mendeley":{"formattedCitation":"(Jia et al. 2022; Blasi et al. 2024)","plainTextFormattedCitation":"(Jia et al. 2022; Blasi et al. 2024)","previouslyFormattedCitation":"(Jia et al. 2022; Blasi et al. 2024)"},"properties":{"noteIndex":0},"schema":"https://github.com/citation-style-language/schema/raw/master/csl-citation.json"}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(Jia et al. 2022; Blasi et al. 2024)</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Extensive research has also been conducted on the stability of irregular high-rise buildings, highlighting the effectiveness of various vertical structural elements, such as shear walls, outriggers, bracing systems, and core walls, in resisting lateral forces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{"citationItems":[{"id":"ITEM-1","itemData":{"DOI":"doi:10.1061/9780784481325.024","abstract":"Design optimization of building structures are usually performed by minimizing an objective function defined as total weight or cost of material. The building code strength requirements or drift limitations are defined as optimization constraints. The violated constraints will be added to the main objective function after adjustment by a weight factor. This objective function is often not differentiable since the violated constraints change at every iteration. Plus, the weight factor that adjust the violated constraint with the main objective function can affect the optimization results and its value may not be reasonably justified or substantiated. In this paper, a new structural design optimization is proposed for shear wall building structures. The objective function for this optimization process is defined based on the estimated demand to capacity ratios of the shear walls. Other design criteria such as drift limits or link beam designs are also considered, but are not directly included in the proposed objective function. By pushing the demand to capacity ratios to the possible highest, the thicknesses of shear wall are reduced. The proposed objective function is derived by assuming a beta distribution for the shear force demand to capacity ratios of the shear walls. Monte Carlo samples are generated to find the maximum of the objective function and for sensitivity analysis. The optimization framework is applied on a 70 story building. The correlation between the proposed objective function and the cost associated with the lateral system is presented. The generated Monte Carlo samples are also used to design the shear wall thickness at different level of conservativeness.","author":[{"dropping-particle":"","family":"Iman","given":"Behmanesh","non-dropping-particle":"","parse-names":false,"suffix":""}],"collection-title":"Proceedings","container-title":"Structures Congress 2018","id":"ITEM-1","issued":{"date-parts":[["2018","4","17"]]},"note":"doi:10.1061/9780784481325.024","page":"222-232","title":"Design Optimization of Shear Wall High-Rise Building Structures","type":"article-journal"},"uris":["http://www.mendeley.com/documents/?uuid=c5ac8624-a922-40e0-8441-10321493c8b7"]},{"id":"ITEM-2","itemData":{"DOI":"doi:10.1061/9780784479742.023","abstract":"A wide set of nonlinear dynamic finite element (FE) simulations is presented and discussed to highlight peculiar behavioral aspects in the seismic response of high-rise mega-braced frame-core buildings. In detail, 45- and 75-storey 2D frames, extracted from 3D case study structures composed of an internal two-way braced core, were designed according to European rules and then analyzed numerically, using inelastic force-based fiber elements to model structural members and mechanical idealizations to reproduce the behavior of bolted beam-to-column joints and welded gusset-plate connections. Out-of-plane imperfections of braces were explicitly included in the simulation to permit potential buckling mechanisms in both braces and gusset plates. Global and local performance of mega-frame systems and key structural components were investigated and the effects of bracing systems and outriggers/belt trusses were quantified. Sensitivity to the structure height was explored comparing the response of the two case study steel moment resisting frame (MRF) structures examined.","author":[{"dropping-particle":"","family":"Brunesi","given":"E.","non-dropping-particle":"","parse-names":false,"suffix":""},{"dropping-particle":"","family":"Nascimbene","given":"R.","non-dropping-particle":"","parse-names":false,"suffix":""},{"dropping-particle":"","family":"Rassati","given":"G.A.","non-dropping-particle":"","parse-names":false,"suffix":""}],"collection-title":"Proceedings","container-title":"Geotechnical and Structural Engineering Congress 2016","id":"ITEM-2","issued":{"date-parts":[["2016","2","8"]]},"note":"doi:10.1061/9780784479742.023","page":"276-287","title":"Seismic Response of High-Rise Mega-Braced Frame-Core Buildings through FE Analysis","type":"article-journal"},"uris":["http://www.mendeley.com/documents/?uuid=a1b1d030-fa4e-4431-914b-a66585302905"]},{"id":"ITEM-3","itemData":{"DOI":"https://doi.org/10.1016/j.jcsr.2012.12.004","ISSN":"0143-974X","abstract":"Research on earthquake-induced collapse simulation has a great practical significance for super-tall buildings. Although mega-braced frame-core tube buildings are one of the common high-rise structural systems in high seismic intensity regions, the failure mode and collapse mechanism of such a building under earthquake events are rarely studied. This paper thus aims to investigate the collapse behavior of a super-tall mega-braced frame-core tube building (H=550m) to be built in China in the high risk seismic zone with the maximum spectral acceleration of 0.9g (g represents the gravity acceleration). A finite element (FE) model of this building is constructed based on the fiber-beam and multi-layer shell models. The dynamic characteristics of the building are analyzed and the earthquake-induced collapse simulation is performed. Finally, the failure mode and mechanism of earthquake-induced collapse are discussed in some detail. This study will serve as a reference for the collapse-resistance design of super-tall buildings of similar type.","author":[{"dropping-particle":"","family":"Lu","given":"Xinzheng","non-dropping-particle":"","parse-names":false,"suffix":""},{"dropping-particle":"","family":"Lu","given":"Xiao","non-dropping-particle":"","parse-names":false,"suffix":""},{"dropping-particle":"","family":"Guan","given":"Hong","non-dropping-particle":"","parse-names":false,"suffix":""},{"dropping-particle":"","family":"Zhang","given":"Wankai","non-dropping-particle":"","parse-names":false,"suffix":""},{"dropping-particle":"","family":"Ye","given":"Lieping","non-dropping-particle":"","parse-names":false,"suffix":""}],"container-title":"Journal of Constructional Steel Research","id":"ITEM-3","issued":{"date-parts":[["2013"]]},"page":"59-71","title":"Earthquake-induced collapse simulation of a super-tall mega-braced frame-core tube building","type":"article-journal","volume":"82"},"uris":["http://www.mendeley.com/documents/?uuid=b65a7cc9-1f75-40b7-bc3c-38afd756d1c8"]}],"mendeley":{"formattedCitation":"(Lu et al. 2013; Brunesi et al. 2016b; Iman 2018)","plainTextFormattedCitation":"(Lu et al. 2013; Brunesi et al. 2016b; Iman 2018)","previouslyFormattedCitation":"(Lu et al. 2013; Brunesi et al. 2016b; Iman 2018)"},"properties":{"noteIndex":0},"schema":"https://github.com/citation-style-language/schema/raw/master/csl-citation.json"}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(Lu et al. 2013; Brunesi et al. 2016b; Iman 2018)</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10.3311/PPci.9469","author":[{"dropping-particle":"","family":"Mazzotta","given":"Vittoria","non-dropping-particle":"","parse-names":false,"suffix":""},{"dropping-particle":"","family":"Brunesi","given":"Emanuele","non-dropping-particle":"","parse-names":false,"suffix":""},{"dropping-particle":"","family":"Nascimbene","given":"Roberto","non-dropping-particle":"","parse-names":false,"suffix":""}],"container-title":"Periodica Polytechnica Civil Engineering","id":"ITEM-1","issue":"2","issued":{"date-parts":[["2017"]]},"page":"196–208","title":"Numerical Modeling and Seismic Analysis of Tall Steel Buildings with Braced Frame Systems","type":"article-journal","volume":"61"},"uris":["http://www.mendeley.com/documents/?uuid=9a3c9793-aaf1-4a34-8d7c-ee95271f28d1"]}],"mendeley":{"formattedCitation":"(Mazzotta et al. 2017)","manualFormatting":"Mazzotta et al. (2017)","plainTextFormattedCitation":"(Mazzotta et al. 2017)","previouslyFormattedCitation":"(Mazzotta et al. 2017)"},"properties":{"noteIndex":0},"schema":"https://github.com/citation-style-language/schema/raw/master/csl-citation.json"}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Mazzotta et al. (2017)</w:t>
      </w:r>
      <w:r w:rsidRPr="00F94103">
        <w:rPr>
          <w:rFonts w:ascii="Times New Roman" w:hAnsi="Times New Roman" w:cs="Times New Roman"/>
          <w:color w:val="0070C0"/>
          <w:sz w:val="20"/>
          <w:szCs w:val="20"/>
        </w:rPr>
        <w:fldChar w:fldCharType="end"/>
      </w:r>
      <w:r w:rsidRPr="00F94103">
        <w:rPr>
          <w:rFonts w:ascii="Times New Roman" w:hAnsi="Times New Roman" w:cs="Times New Roman"/>
          <w:color w:val="0070C0"/>
          <w:sz w:val="20"/>
          <w:szCs w:val="20"/>
        </w:rPr>
        <w:t xml:space="preserve"> </w:t>
      </w:r>
      <w:r w:rsidRPr="00F94103">
        <w:rPr>
          <w:rFonts w:ascii="Times New Roman" w:hAnsi="Times New Roman" w:cs="Times New Roman"/>
          <w:sz w:val="20"/>
          <w:szCs w:val="20"/>
        </w:rPr>
        <w:t xml:space="preserve"> investigated the seismic performance of 180-meter and 300-meter-tall steel buildings equipped with outrigger and bracing systems. Their findings demonstrated the effectiveness of these systems in limiting drift and displacement but also revealed that they induce high floor accelerations, which could compromise non-structural components, equipment, furnishings, and occupant safety. Similarly,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{"citationItems":[{"id":"ITEM-1","itemData":{"DOI":"https://doi.org/10.1016/j.engstruct.2016.02.019","ISSN":"0141-0296","abstract":"This work summarizes the results of a series of nonlinear dynamic finite element analyses devoted to assess peculiar aspects in the seismic response of high-rise mega-frame prototypes with outriggers and belt trusses. Thirty- and sixty-storey planar frames, extracted from reference three-dimensional structures composed of an internal symmetric braced core, were designed in accordance with European rules. The core consisted of a concentrically braced frame system, while outriggers were placed every fifteen stories to limit inter-storey drifts and second order effects. Numerical models able to account for material and geometric nonlinearities were developed within an open source platform, using inelastic force-based fibre elements to model structural members and mechanical idealizations to reproduce the behaviour of bolted beam–column and welded gusset-plate connections. Out-of-plane imperfections were explicitly included in the braces to allow for potential buckling mechanisms in both braces and gusset plates. Nonlinear time history analyses (NLTHAs) were performed, in comparison with response spectrum analysis (RSA), aiming to quantify the potential of such systems, when included in the lateral-force resisting system of modern high-rise moment resisting frames (MRFs). Global and local performance were investigated in terms of inter-storey drift and acceleration peak profiles, shear and bending moment demands, as well as axial force–displacement curves and static-to-seismic load ratios in critical braces at different floor levels. Sensitivity to the structure height was explored comparing the responses of the two prototypes. Trends were discussed to show that, if accurately designed and detailed in light of capacity design principles and performance-based design concepts, these systems provide an optimum combination of stiffness and strength.","author":[{"dropping-particle":"","family":"Brunesi","given":"E","non-dropping-particle":"","parse-names":false,"suffix":""},{"dropping-particle":"","family":"Nascimbene","given":"R","non-dropping-particle":"","parse-names":false,"suffix":""},{"dropping-particle":"","family":"Casagrande","given":"L","non-dropping-particle":"","parse-names":false,"suffix":""}],"container-title":"Engineering Structures","id":"ITEM-1","issued":{"date-parts":[["2016"]]},"page":"1-17","title":"Seismic analysis of high-rise mega-braced frame-core buildings","type":"article-journal","volume":"115"},"uris":["http://www.mendeley.com/documents/?uuid=7ada3918-a368-46a2-a47f-97ac538824b0"]}],"mendeley":{"formattedCitation":"(Brunesi et al. 2016a)","manualFormatting":"Brunesi et al. (2016a)","plainTextFormattedCitation":"(Brunesi et al. 2016a)","previouslyFormattedCitation":"(Brunesi et al. 2016a)"},"properties":{"noteIndex":0},"schema":"https://github.com/citation-style-language/schema/raw/master/csl-citation.json"}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Brunesi et al. (2016a)</w:t>
      </w:r>
      <w:r w:rsidRPr="00F94103">
        <w:rPr>
          <w:rFonts w:ascii="Times New Roman" w:hAnsi="Times New Roman" w:cs="Times New Roman"/>
          <w:color w:val="0070C0"/>
          <w:sz w:val="20"/>
          <w:szCs w:val="20"/>
        </w:rPr>
        <w:fldChar w:fldCharType="end"/>
      </w:r>
      <w:r w:rsidRPr="00F94103">
        <w:rPr>
          <w:rFonts w:ascii="Times New Roman" w:hAnsi="Times New Roman" w:cs="Times New Roman"/>
          <w:color w:val="0070C0"/>
          <w:sz w:val="20"/>
          <w:szCs w:val="20"/>
        </w:rPr>
        <w:t xml:space="preserve"> </w:t>
      </w:r>
      <w:r w:rsidRPr="00F94103">
        <w:rPr>
          <w:rFonts w:ascii="Times New Roman" w:hAnsi="Times New Roman" w:cs="Times New Roman"/>
          <w:sz w:val="20"/>
          <w:szCs w:val="20"/>
        </w:rPr>
        <w:t xml:space="preserve">conducted a seismic analysis of high-rise mega-braced frame core buildings, obtaining comparable results that underscore the trade-offs associated with these structural systems.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{"citationItems":[{"id":"ITEM-1","itemData":{"DOI":"https://doi.org/10.1016/j.engstruct.2014.03.020","ISSN":"0141-0296","abstract":"Recent events showed that buildings designed according to conventional codes are not necessarily able to resist man-made extreme events such as impact or explosions. In the past, safety against disproportionate collapse of key elements has been increased by non-structural protective measures such as barriers, sacrificial elements and limitation or control of public access. Codified procedures emerged in the last decade asking for resistant structural design methodologies to inhibit failure incidents acting on structural components performance. This paper presents an open access procedure using a fiber-based model in order to reproduce the progressive collapse of reinforced concrete (RC) buildings subjected to blast loading in an urban environment that leads to the loss of one or more bearing elements. Member removal in this fashion represents an event that happens when extreme situations or abnormal loads destroy the member itself. Two- and three-dimensional models of frame structures have been created and compared using three different numerical tools: an open source program such as OpenSees and two different commercial codes, SeismoStruct and Ls-Dyna. The first two are more classical fiber-based software, while the last one is a well-established general purpose finite element (FE) package. Removal of critical elements is assumed to occur in the building studied and a special purpose routine has been developed, within OpenSees and SeismoStruct, to create a fiber model capable of simulating overall structural response due to their failure. In this computational routine, one or more vertical members are instantaneously removed from the model and the ability of the building to successfully absorb member loss is investigated. The results obtained have been compared and validated by using the transient dynamic FE program Ls-Dyna. The numerical and modeling outcome of this research on progressive collapse behavior of RC buildings may be immediately applied to the design, vulnerability assessment and strengthening of different structural typologies ranging from residential frames to strategic and military facilities.","author":[{"dropping-particle":"","family":"Brunesi","given":"E","non-dropping-particle":"","parse-names":false,"suffix":""},{"dropping-particle":"","family":"Nascimbene","given":"R","non-dropping-particle":"","parse-names":false,"suffix":""}],"container-title":"Engineering Structures","id":"ITEM-1","issued":{"date-parts":[["2014"]]},"page":"206-215","title":"Extreme response of reinforced concrete buildings through fiber force-based finite element analysis","type":"article-journal","volume":"69"},"uris":["http://www.mendeley.com/documents/?uuid=3af0901a-2e95-41bd-9bd3-ef6875f64510"]}],"mendeley":{"formattedCitation":"(Brunesi and Nascimbene 2014)","manualFormatting":"Brunesi and Nascimbene (2014)","plainTextFormattedCitation":"(Brunesi and Nascimbene 2014)","previouslyFormattedCitation":"(Brunesi and Nascimbene 2014)"},"properties":{"noteIndex":0},"schema":"https://github.com/citation-style-language/schema/raw/master/csl-citation.json"}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Brunesi and Nascimbene (2014)</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investigates the contribution of secondary frame systems to the seismic performance of high-rise buildings, demonstrating their potential to significantly enhance the structural response by stiffening and strengthening the building and recommend the study of redistribution capabilities of detailed floor slab system on seismic performance of building structures. While lateral force-resisting elements such as bracing and shear wall systems remain fundamental in high-rise structures, recent studies have also explored the influence of slab systems on seismic response. Floor slabs contribute to the lateral stiffness and overall dynamic behavior of buildings, particularly in asymmetric structures, where irregular mass and stiffness distributions can lead to amplified deformations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{"citationItems":[{"id":"ITEM-1","itemData":{"DOI":"10.1016/j.matpr.2020.12.1245","ISSN":"2214-7853","author":[{"dropping-particle":"","family":"Latha","given":"M S","non-dropping-particle":"","parse-names":false,"suffix":""},{"dropping-particle":"","family":"Pratibha","given":"K","non-dropping-particle":"","parse-names":false,"suffix":""}],"container-title":"Materials Today: Proceedings","id":"ITEM-1","issue":"xxxx","issued":{"date-parts":[["2021"]]},"publisher":"Elsevier Ltd.","title":"Materials Today : Proceedings Analysis and comparison of conventional slab and grid slab for symmetric and asymmetric structures","type":"article-journal","volume":"2020"},"uris":["http://www.mendeley.com/documents/?uuid=74dcecbd-fb30-41eb-a7d1-e12122ea69d3"]}],"mendeley":{"formattedCitation":"(Latha and Pratibha 2021)","plainTextFormattedCitation":"(Latha and Pratibha 2021)","previouslyFormattedCitation":"(Latha and Pratibha 2021)"},"properties":{"noteIndex":0},"schema":"https://github.com/citation-style-language/schema/raw/master/csl-citation.json"}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(Latha and Pratibha 2021)</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To determine the response of high-rise buildings to seismic loads, dynamic analysis techniques such as response spectrum analysis are used. This method incorporates ground acceleration records to develop response </w:t>
      </w:r>
      <w:r w:rsidRPr="00F94103">
        <w:rPr>
          <w:rFonts w:ascii="Times New Roman" w:hAnsi="Times New Roman" w:cs="Times New Roman"/>
          <w:sz w:val="20"/>
          <w:szCs w:val="20"/>
        </w:rPr>
        <w:lastRenderedPageBreak/>
        <w:t xml:space="preserve">spectra based on seismic loads and site-specific parameters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{"citationItems":[{"id":"ITEM-1","itemData":{"DOI":"10.1063/5.0144090","ISSN":"0094-243X","abstract":"Scarcity in horizontal construction plots in urban areas due to continuous migration of people has become the major reason for no. of high-rise structures being built in recent years. Design complications increases with the increase in height of the structure due to various uncertain factors caused by lateral loads, they might even get complicated when irregularities are considered for aesthetical reasons. It is the role of structural engineers to overcome the factors and to design a stable structure. So, in this study we have generated a real time high rise irregular structure using STAAD Pro software and the performance of the structure was observed by determining the factor of impact of wind loads with dynamic nature over seismic responses with the gradual increase in the structure’s height using ETABS.","author":[{"dropping-particle":"","family":"Sujith","given":"Bodaratnakanth","non-dropping-particle":"","parse-names":false,"suffix":""},{"dropping-particle":"","family":"Kumar","given":"Vijay","non-dropping-particle":"","parse-names":false,"suffix":""}],"container-title":"AIP Conference Proceedings","id":"ITEM-1","issue":"1","issued":{"date-parts":[["2023"]]},"page":"50018","title":"Seismic &amp; wind dynamic analysis of high-rise irregular structure","type":"article-journal","volume":"2759"},"uris":["http://www.mendeley.com/documents/?uuid=4f8c611d-f6c6-4eea-b85b-f45f2761a381"]}],"mendeley":{"formattedCitation":"(Sujith and Kumar 2023)","plainTextFormattedCitation":"(Sujith and Kumar 2023)","previouslyFormattedCitation":"(Sujith and Kumar 2023)"},"properties":{"noteIndex":0},"schema":"https://github.com/citation-style-language/schema/raw/master/csl-citation.json"}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(Sujith and Kumar 2023)</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The eigenmodes derived from dynamic analysis provide insight into how mass and stiffness distribution affect overall seismic performance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{"citationItems":[{"id":"ITEM-1","itemData":{"author":[{"dropping-particle":"","family":"Guleria","given":"Abhay","non-dropping-particle":"","parse-names":false,"suffix":""}],"container-title":"Int. J. Eng. Res. Technol","id":"ITEM-1","issue":"5","issued":{"date-parts":[["2014"]]},"page":"1481-1485","title":"Structural analysis of a multi-storeyed building using ETABS for different plan configurations","type":"article-journal","volume":"3"},"uris":["http://www.mendeley.com/documents/?uuid=cd84f0b9-7a43-404e-8c54-b85dd921a799"]}],"mendeley":{"formattedCitation":"(Guleria 2014)","plainTextFormattedCitation":"(Guleria 2014)","previouslyFormattedCitation":"(Guleria 2014)"},"properties":{"noteIndex":0},"schema":"https://github.com/citation-style-language/schema/raw/master/csl-citation.json"}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(Guleria 2014)</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xml:space="preserve">. By capturing the interplay of various vibrational modes, this approach enables precise predictions of structural responses </w:t>
      </w:r>
      <w:r w:rsidRPr="00F94103">
        <w:rPr>
          <w:rFonts w:ascii="Times New Roman" w:hAnsi="Times New Roman" w:cs="Times New Roman"/>
          <w:color w:val="0070C0"/>
          <w:sz w:val="20"/>
          <w:szCs w:val="20"/>
        </w:rPr>
        <w:fldChar w:fldCharType="begin" w:fldLock="1"/>
      </w:r>
      <w:r w:rsidRPr="00F94103">
        <w:rPr>
          <w:rFonts w:ascii="Times New Roman" w:hAnsi="Times New Roman" w:cs="Times New Roman"/>
          <w:color w:val="0070C0"/>
          <w:sz w:val="20"/>
          <w:szCs w:val="20"/>
        </w:rPr>
        <w:instrText>ADDIN CSL_CITATION {"citationItems":[{"id":"ITEM-1","itemData":{"DOI":"https://doi.org/10.1016/j.matpr.2023.03.659","ISSN":"2214-7853","abstract":"Construction is doneusing Indianstandard codeandboundary conditions method.Structural analysis determines the general shape andcorrectdimensions of all structures so that they can perform theirintended functionsand withstand the forces acting on themduringtheir useful life. The mainobjectiveis to designa structurethatis robustandable to withstand majorearthquakes that may occur during the useful lifeof the buildingwithoutdamage.Structuralmaterialsmust besufficientlyductile to absorb and release energyduringdeformation toprevent failureduringmajorearthquakes. This means that deformation beyond the yield point can be tolerated withouthighstrength. The response method was used for the seismic analysis of RCbuildings(G 9) in this study.Thisstudyisbased on Indianstandard codeand structuralanalysis was doneusingitsETAB software. Thesurvey evaluated thestructure in seismic zone IIIand groundG9 with amagnitudeof 3.8. I haveamainarea of 986 m2. Under seismic loads, structuralfactorssuch asdeflection, deflection, deflection,and stiffness areaffected.The structure consists ofseveralsections of beams and columns and shear walls for stairs and other verticalspaces.A response spectrumtechnique wasused to analyze the data.","author":[{"dropping-particle":"","family":"Sivakumar","given":"S","non-dropping-particle":"","parse-names":false,"suffix":""},{"dropping-particle":"","family":"Shobana","given":"R","non-dropping-particle":"","parse-names":false,"suffix":""},{"dropping-particle":"","family":"Aarthy","given":"E","non-dropping-particle":"","parse-names":false,"suffix":""},{"dropping-particle":"","family":"Thenmozhi","given":"S","non-dropping-particle":"","parse-names":false,"suffix":""},{"dropping-particle":"","family":"Gowri","given":"V","non-dropping-particle":"","parse-names":false,"suffix":""},{"dropping-particle":"","family":"Sarath Chandra Kumar","given":"B","non-dropping-particle":"","parse-names":false,"suffix":""}],"container-title":"Materials Today: Proceedings","id":"ITEM-1","issued":{"date-parts":[["2023"]]},"title":"Seismic analysis of RC building (G+9) by response spectrum method","type":"article-journal"},"uris":["http://www.mendeley.com/documents/?uuid=415e06b2-6174-4067-86b0-0506c4a0fe87"]}],"mendeley":{"formattedCitation":"(Sivakumar et al. 2023)","plainTextFormattedCitation":"(Sivakumar et al. 2023)","previouslyFormattedCitation":"(Sivakumar et al. 2023)"},"properties":{"noteIndex":0},"schema":"https://github.com/citation-style-language/schema/raw/master/csl-citation.json"}</w:instrText>
      </w:r>
      <w:r w:rsidRPr="00F94103">
        <w:rPr>
          <w:rFonts w:ascii="Times New Roman" w:hAnsi="Times New Roman" w:cs="Times New Roman"/>
          <w:color w:val="0070C0"/>
          <w:sz w:val="20"/>
          <w:szCs w:val="20"/>
        </w:rPr>
        <w:fldChar w:fldCharType="separate"/>
      </w:r>
      <w:r w:rsidRPr="00F94103">
        <w:rPr>
          <w:rFonts w:ascii="Times New Roman" w:hAnsi="Times New Roman" w:cs="Times New Roman"/>
          <w:noProof/>
          <w:color w:val="0070C0"/>
          <w:sz w:val="20"/>
          <w:szCs w:val="20"/>
        </w:rPr>
        <w:t>(Sivakumar et al. 2023)</w:t>
      </w:r>
      <w:r w:rsidRPr="00F94103">
        <w:rPr>
          <w:rFonts w:ascii="Times New Roman" w:hAnsi="Times New Roman" w:cs="Times New Roman"/>
          <w:color w:val="0070C0"/>
          <w:sz w:val="20"/>
          <w:szCs w:val="20"/>
        </w:rPr>
        <w:fldChar w:fldCharType="end"/>
      </w:r>
      <w:r w:rsidRPr="00F94103">
        <w:rPr>
          <w:rFonts w:ascii="Times New Roman" w:hAnsi="Times New Roman" w:cs="Times New Roman"/>
          <w:sz w:val="20"/>
          <w:szCs w:val="20"/>
        </w:rPr>
        <w:t>, facilitating the optimization of structural systems to enhance resilience against seismic events.</w:t>
      </w:r>
    </w:p>
    <w:p w14:paraId="27D0427F" w14:textId="15C45A51" w:rsidR="000C3CAD" w:rsidRDefault="00DC18C0" w:rsidP="00977EA5">
      <w:pPr>
        <w:spacing w:before="240" w:line="276" w:lineRule="auto"/>
        <w:jc w:val="both"/>
        <w:rPr>
          <w:rFonts w:ascii="Times New Roman" w:hAnsi="Times New Roman" w:cs="Times New Roman"/>
          <w:b/>
          <w:bCs/>
          <w:color w:val="0070C0"/>
          <w:sz w:val="20"/>
          <w:szCs w:val="20"/>
        </w:rPr>
      </w:pPr>
      <w:r w:rsidRPr="00E30F80">
        <w:rPr>
          <w:rFonts w:ascii="Times New Roman" w:hAnsi="Times New Roman" w:cs="Times New Roman"/>
          <w:b/>
          <w:bCs/>
          <w:color w:val="0070C0"/>
          <w:sz w:val="20"/>
          <w:szCs w:val="20"/>
        </w:rPr>
        <w:t>References:</w:t>
      </w:r>
    </w:p>
    <w:p w14:paraId="64D438E1" w14:textId="43EEE2B6" w:rsid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DC18C0">
        <w:rPr>
          <w:rFonts w:ascii="Times New Roman" w:eastAsia="Times New Roman" w:hAnsi="Times New Roman" w:cs="Times New Roman"/>
          <w:noProof/>
          <w:kern w:val="0"/>
          <w:sz w:val="20"/>
          <w14:ligatures w14:val="none"/>
        </w:rPr>
        <w:t xml:space="preserve">Blasi G, Scarlino AS, Chirivì S, et al (2024) Seismic response of irregular RC buildings designed for gravity and seismic loads. Bull Earthq Eng 22:5231–5257. </w:t>
      </w:r>
      <w:hyperlink r:id="rId7" w:history="1">
        <w:r w:rsidRPr="00DC18C0">
          <w:rPr>
            <w:rStyle w:val="Hyperlink"/>
            <w:rFonts w:ascii="Times New Roman" w:eastAsia="Times New Roman" w:hAnsi="Times New Roman" w:cs="Times New Roman"/>
            <w:noProof/>
            <w:kern w:val="0"/>
            <w:sz w:val="20"/>
            <w14:ligatures w14:val="none"/>
          </w:rPr>
          <w:t>https://doi.org/10.1007/s10518-024-01971-4</w:t>
        </w:r>
      </w:hyperlink>
    </w:p>
    <w:p w14:paraId="6B38EEA5" w14:textId="77777777" w:rsidR="00C05591" w:rsidRPr="00E30F8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Brunesi E, Nascimbene R (2014) Extreme response of reinforced concrete buildings through fiber force-based finite element analysis. Eng Struct 69:206–215. </w:t>
      </w:r>
      <w:r w:rsidRPr="00E30F80">
        <w:rPr>
          <w:rFonts w:ascii="Times New Roman" w:eastAsia="Times New Roman" w:hAnsi="Times New Roman" w:cs="Times New Roman"/>
          <w:noProof/>
          <w:color w:val="0070C0"/>
          <w:kern w:val="0"/>
          <w:sz w:val="20"/>
          <w:u w:val="single"/>
          <w14:ligatures w14:val="none"/>
        </w:rPr>
        <w:t>https://doi.org/10.1016/j.engstruct.2014.03.020</w:t>
      </w:r>
    </w:p>
    <w:p w14:paraId="1CBAE537" w14:textId="77777777" w:rsidR="00C05591" w:rsidRPr="00E30F8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E30F80">
        <w:rPr>
          <w:rFonts w:ascii="Times New Roman" w:eastAsia="Times New Roman" w:hAnsi="Times New Roman" w:cs="Times New Roman"/>
          <w:noProof/>
          <w:kern w:val="0"/>
          <w:sz w:val="20"/>
          <w14:ligatures w14:val="none"/>
        </w:rPr>
        <w:t xml:space="preserve">Brunesi E, Nascimbene R, Casagrande L (2016a) Seismic analysis of high-rise mega-braced frame-core buildings. Eng Struct 115:1–17. </w:t>
      </w:r>
      <w:r w:rsidRPr="00E30F80">
        <w:rPr>
          <w:rFonts w:ascii="Times New Roman" w:eastAsia="Times New Roman" w:hAnsi="Times New Roman" w:cs="Times New Roman"/>
          <w:noProof/>
          <w:color w:val="0070C0"/>
          <w:kern w:val="0"/>
          <w:sz w:val="20"/>
          <w:u w:val="single"/>
          <w14:ligatures w14:val="none"/>
        </w:rPr>
        <w:t>https://doi.org/10.1016/j.engstruct.2016.02.019</w:t>
      </w:r>
    </w:p>
    <w:p w14:paraId="3C9704B4" w14:textId="4AAE27C7" w:rsid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Brunesi E, Nascimbene R, Rassati GA (2016b) Seismic Response of High-Rise Mega-Braced Frame-Core Buildings through FE Analysis. Geotech Struct Eng Congr 2016 276–287. </w:t>
      </w:r>
      <w:r w:rsidR="00F94103">
        <w:rPr>
          <w:rFonts w:ascii="Times New Roman" w:eastAsia="Times New Roman" w:hAnsi="Times New Roman" w:cs="Times New Roman"/>
          <w:noProof/>
          <w:kern w:val="0"/>
          <w:sz w:val="20"/>
          <w14:ligatures w14:val="none"/>
        </w:rPr>
        <w:t xml:space="preserve"> </w:t>
      </w:r>
      <w:hyperlink r:id="rId8" w:history="1">
        <w:r w:rsidR="00F94103" w:rsidRPr="00707FAE">
          <w:rPr>
            <w:rStyle w:val="Hyperlink"/>
            <w:rFonts w:ascii="Times New Roman" w:eastAsia="Times New Roman" w:hAnsi="Times New Roman" w:cs="Times New Roman"/>
            <w:noProof/>
            <w:kern w:val="0"/>
            <w:sz w:val="20"/>
            <w14:ligatures w14:val="none"/>
          </w:rPr>
          <w:t>https://doi.org/doi:10.1061/9780784479742.023</w:t>
        </w:r>
      </w:hyperlink>
    </w:p>
    <w:p w14:paraId="74797B37" w14:textId="77777777" w:rsid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C05591">
        <w:rPr>
          <w:rFonts w:ascii="Times New Roman" w:eastAsia="Times New Roman" w:hAnsi="Times New Roman" w:cs="Times New Roman"/>
          <w:noProof/>
          <w:kern w:val="0"/>
          <w:sz w:val="20"/>
          <w14:ligatures w14:val="none"/>
        </w:rPr>
        <w:t>Guleria A (2014) Structural analysis of a multi-storeyed building using ETABS for different plan configurations. Int J Eng Res Technol 3:1481–1485</w:t>
      </w:r>
    </w:p>
    <w:p w14:paraId="2CCD0DD9" w14:textId="77777777" w:rsidR="00C05591" w:rsidRP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C05591">
        <w:rPr>
          <w:rFonts w:ascii="Times New Roman" w:eastAsia="Times New Roman" w:hAnsi="Times New Roman" w:cs="Times New Roman"/>
          <w:noProof/>
          <w:kern w:val="0"/>
          <w:sz w:val="20"/>
          <w14:ligatures w14:val="none"/>
        </w:rPr>
        <w:t xml:space="preserve">Iman B (2018) Design Optimization of Shear Wall High-Rise Building Structures. Struct Congr 2018 222–232. </w:t>
      </w:r>
      <w:r w:rsidRPr="00C05591">
        <w:rPr>
          <w:rFonts w:ascii="Times New Roman" w:eastAsia="Times New Roman" w:hAnsi="Times New Roman" w:cs="Times New Roman"/>
          <w:noProof/>
          <w:color w:val="0070C0"/>
          <w:kern w:val="0"/>
          <w:sz w:val="20"/>
          <w:u w:val="single"/>
          <w14:ligatures w14:val="none"/>
        </w:rPr>
        <w:t>https://doi.org/doi:10.1061/9780784481325.024</w:t>
      </w:r>
    </w:p>
    <w:p w14:paraId="7CE8C72A" w14:textId="77777777" w:rsidR="00C05591" w:rsidRPr="00DC18C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DC18C0">
        <w:rPr>
          <w:rFonts w:ascii="Times New Roman" w:eastAsia="Times New Roman" w:hAnsi="Times New Roman" w:cs="Times New Roman"/>
          <w:noProof/>
          <w:kern w:val="0"/>
          <w:sz w:val="20"/>
          <w14:ligatures w14:val="none"/>
        </w:rPr>
        <w:t xml:space="preserve">Ilgın HE (2023) Interrelations of slenderness ratio and main design criteria in supertall buildings. Int J Build Pathol Adapt 41:139–161. </w:t>
      </w:r>
      <w:r w:rsidRPr="00DC18C0">
        <w:rPr>
          <w:rFonts w:ascii="Times New Roman" w:eastAsia="Times New Roman" w:hAnsi="Times New Roman" w:cs="Times New Roman"/>
          <w:noProof/>
          <w:color w:val="0070C0"/>
          <w:kern w:val="0"/>
          <w:sz w:val="20"/>
          <w:u w:val="single"/>
          <w14:ligatures w14:val="none"/>
        </w:rPr>
        <w:t>https://doi.org/10.1108/IJBPA-07-2022-0102</w:t>
      </w:r>
    </w:p>
    <w:p w14:paraId="368FEBFE" w14:textId="77777777" w:rsidR="00C05591" w:rsidRP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C05591">
        <w:rPr>
          <w:rFonts w:ascii="Times New Roman" w:eastAsia="Times New Roman" w:hAnsi="Times New Roman" w:cs="Times New Roman"/>
          <w:noProof/>
          <w:kern w:val="0"/>
          <w:sz w:val="20"/>
          <w14:ligatures w14:val="none"/>
        </w:rPr>
        <w:t xml:space="preserve">Jia H, Song Y, Chen X, et al (2022) Seismic Performance Evaluation of a High-Rise Building with Structural Irregularities. Buildings 12:. </w:t>
      </w:r>
      <w:r w:rsidRPr="00C05591">
        <w:rPr>
          <w:rFonts w:ascii="Times New Roman" w:eastAsia="Times New Roman" w:hAnsi="Times New Roman" w:cs="Times New Roman"/>
          <w:noProof/>
          <w:color w:val="0070C0"/>
          <w:kern w:val="0"/>
          <w:sz w:val="20"/>
          <w:u w:val="single"/>
          <w14:ligatures w14:val="none"/>
        </w:rPr>
        <w:t>https://doi.org/10.3390/buildings12091484</w:t>
      </w:r>
    </w:p>
    <w:p w14:paraId="636DD74F" w14:textId="77777777" w:rsidR="00C05591" w:rsidRPr="00E30F8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E30F80">
        <w:rPr>
          <w:rFonts w:ascii="Times New Roman" w:eastAsia="Times New Roman" w:hAnsi="Times New Roman" w:cs="Times New Roman"/>
          <w:noProof/>
          <w:kern w:val="0"/>
          <w:sz w:val="20"/>
          <w14:ligatures w14:val="none"/>
        </w:rPr>
        <w:t xml:space="preserve">Latha MS, Pratibha K (2021) Analysis and comparison of conventional slab and grid slab for symmetric and asymmetric structures. Mater Today Proc 2020:. </w:t>
      </w:r>
      <w:r w:rsidRPr="00E30F80">
        <w:rPr>
          <w:rFonts w:ascii="Times New Roman" w:eastAsia="Times New Roman" w:hAnsi="Times New Roman" w:cs="Times New Roman"/>
          <w:noProof/>
          <w:color w:val="0070C0"/>
          <w:kern w:val="0"/>
          <w:sz w:val="20"/>
          <w:u w:val="single"/>
          <w14:ligatures w14:val="none"/>
        </w:rPr>
        <w:t>https://doi.org/10.1016/j.matpr.2020.12.1245</w:t>
      </w:r>
    </w:p>
    <w:p w14:paraId="7612E2FE" w14:textId="1448C68E" w:rsidR="00C05591" w:rsidRPr="00DC18C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DC18C0">
        <w:rPr>
          <w:rFonts w:ascii="Times New Roman" w:eastAsia="Times New Roman" w:hAnsi="Times New Roman" w:cs="Times New Roman"/>
          <w:noProof/>
          <w:kern w:val="0"/>
          <w:sz w:val="20"/>
          <w14:ligatures w14:val="none"/>
        </w:rPr>
        <w:t xml:space="preserve">Li C, Lam S, Zhang M, Wong Y (2006) Shaking Table Test of a 1:20 Scale High-Rise Building with a Transfer Plate System. J Struct Eng 132:1732–1744. </w:t>
      </w:r>
      <w:r w:rsidRPr="00DC18C0">
        <w:rPr>
          <w:rFonts w:ascii="Times New Roman" w:eastAsia="Times New Roman" w:hAnsi="Times New Roman" w:cs="Times New Roman"/>
          <w:noProof/>
          <w:color w:val="0070C0"/>
          <w:kern w:val="0"/>
          <w:sz w:val="20"/>
          <w:u w:val="single"/>
          <w14:ligatures w14:val="none"/>
        </w:rPr>
        <w:t>https://doi.org/10.1061/(ASCE)0733-9445(2006)132:11(1732)</w:t>
      </w:r>
    </w:p>
    <w:p w14:paraId="0101F42C" w14:textId="77777777" w:rsidR="00C05591" w:rsidRPr="00DC18C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DC18C0">
        <w:rPr>
          <w:rFonts w:ascii="Times New Roman" w:eastAsia="Times New Roman" w:hAnsi="Times New Roman" w:cs="Times New Roman"/>
          <w:noProof/>
          <w:kern w:val="0"/>
          <w:sz w:val="20"/>
          <w14:ligatures w14:val="none"/>
        </w:rPr>
        <w:t xml:space="preserve">Lu X, Lu X, Guan H, et al (2013) Earthquake-induced collapse simulation of a super-tall mega-braced frame-core tube building. J Constr Steel Res 82:59–71. </w:t>
      </w:r>
      <w:r w:rsidRPr="00DC18C0">
        <w:rPr>
          <w:rFonts w:ascii="Times New Roman" w:eastAsia="Times New Roman" w:hAnsi="Times New Roman" w:cs="Times New Roman"/>
          <w:noProof/>
          <w:color w:val="0070C0"/>
          <w:kern w:val="0"/>
          <w:sz w:val="20"/>
          <w:u w:val="single"/>
          <w14:ligatures w14:val="none"/>
        </w:rPr>
        <w:t>https://doi.org/10.1016/j.jcsr.2012.12.004</w:t>
      </w:r>
    </w:p>
    <w:p w14:paraId="332BD106" w14:textId="77777777" w:rsidR="00C05591" w:rsidRPr="00E30F80"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Mazzotta V, Brunesi E, Nascimbene R (2017) Numerical Modeling and Seismic Analysis of Tall Steel Buildings with Braced Frame Systems. Period Polytech Civ Eng 61:196–208. </w:t>
      </w:r>
      <w:r w:rsidRPr="00E30F80">
        <w:rPr>
          <w:rFonts w:ascii="Times New Roman" w:eastAsia="Times New Roman" w:hAnsi="Times New Roman" w:cs="Times New Roman"/>
          <w:noProof/>
          <w:color w:val="0070C0"/>
          <w:kern w:val="0"/>
          <w:sz w:val="20"/>
          <w:u w:val="single"/>
          <w14:ligatures w14:val="none"/>
        </w:rPr>
        <w:t>https://doi.org/10.3311/PPci.9469</w:t>
      </w:r>
    </w:p>
    <w:p w14:paraId="6F06ED12" w14:textId="751AF298" w:rsidR="00C05591" w:rsidRP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C05591">
        <w:rPr>
          <w:rFonts w:ascii="Times New Roman" w:eastAsia="Times New Roman" w:hAnsi="Times New Roman" w:cs="Times New Roman"/>
          <w:noProof/>
          <w:kern w:val="0"/>
          <w:sz w:val="20"/>
          <w14:ligatures w14:val="none"/>
        </w:rPr>
        <w:t xml:space="preserve">Sivakumar S, Shobana R, Aarthy E, et al (2023) Seismic analysis of RC building (G+9) by response spectrum method. Mater Today Proc. </w:t>
      </w:r>
      <w:r w:rsidRPr="00C05591">
        <w:rPr>
          <w:rFonts w:ascii="Times New Roman" w:eastAsia="Times New Roman" w:hAnsi="Times New Roman" w:cs="Times New Roman"/>
          <w:noProof/>
          <w:color w:val="0070C0"/>
          <w:kern w:val="0"/>
          <w:sz w:val="20"/>
          <w:u w:val="single"/>
          <w14:ligatures w14:val="none"/>
        </w:rPr>
        <w:t>https://doi.org/10.1016/j.matpr.2023.03.659</w:t>
      </w:r>
    </w:p>
    <w:p w14:paraId="617B40B7" w14:textId="77777777" w:rsidR="00C05591" w:rsidRPr="00C05591" w:rsidRDefault="00C05591"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u w:val="single"/>
          <w14:ligatures w14:val="none"/>
        </w:rPr>
      </w:pPr>
      <w:r w:rsidRPr="00C05591">
        <w:rPr>
          <w:rFonts w:ascii="Times New Roman" w:eastAsia="Times New Roman" w:hAnsi="Times New Roman" w:cs="Times New Roman"/>
          <w:noProof/>
          <w:kern w:val="0"/>
          <w:sz w:val="20"/>
          <w14:ligatures w14:val="none"/>
        </w:rPr>
        <w:t>Sujith B, Kumar V (2023) Seismic</w:t>
      </w:r>
      <w:r>
        <w:rPr>
          <w:rFonts w:ascii="Times New Roman" w:eastAsia="Times New Roman" w:hAnsi="Times New Roman" w:cs="Times New Roman"/>
          <w:noProof/>
          <w:kern w:val="0"/>
          <w:sz w:val="20"/>
          <w14:ligatures w14:val="none"/>
        </w:rPr>
        <w:t xml:space="preserve"> </w:t>
      </w:r>
      <w:r w:rsidRPr="00C05591">
        <w:rPr>
          <w:rFonts w:ascii="Times New Roman" w:eastAsia="Times New Roman" w:hAnsi="Times New Roman" w:cs="Times New Roman"/>
          <w:noProof/>
          <w:kern w:val="0"/>
          <w:sz w:val="20"/>
          <w14:ligatures w14:val="none"/>
        </w:rPr>
        <w:t xml:space="preserve">&amp; wind dynamic analysis of high-rise irregular structure. AIP Conf Proc 2759:50018. </w:t>
      </w:r>
      <w:r w:rsidRPr="00C05591">
        <w:rPr>
          <w:rFonts w:ascii="Times New Roman" w:eastAsia="Times New Roman" w:hAnsi="Times New Roman" w:cs="Times New Roman"/>
          <w:noProof/>
          <w:color w:val="0070C0"/>
          <w:kern w:val="0"/>
          <w:sz w:val="20"/>
          <w:u w:val="single"/>
          <w14:ligatures w14:val="none"/>
        </w:rPr>
        <w:t>https://doi.org/10.1063/5.0144090</w:t>
      </w:r>
    </w:p>
    <w:p w14:paraId="17C145D5" w14:textId="40E2CBDE" w:rsidR="000C3CAD" w:rsidRPr="00E30F80" w:rsidRDefault="000C3CAD" w:rsidP="00977EA5">
      <w:pPr>
        <w:spacing w:before="240" w:line="276" w:lineRule="auto"/>
        <w:jc w:val="both"/>
        <w:rPr>
          <w:rFonts w:ascii="Times New Roman" w:hAnsi="Times New Roman" w:cs="Times New Roman"/>
          <w:b/>
          <w:bCs/>
          <w:sz w:val="20"/>
          <w:szCs w:val="20"/>
          <w:u w:val="single"/>
        </w:rPr>
      </w:pPr>
      <w:r w:rsidRPr="00E30F80">
        <w:rPr>
          <w:rFonts w:ascii="Times New Roman" w:hAnsi="Times New Roman" w:cs="Times New Roman"/>
          <w:b/>
          <w:bCs/>
          <w:sz w:val="20"/>
          <w:szCs w:val="20"/>
        </w:rPr>
        <w:t>#</w:t>
      </w:r>
      <w:r w:rsidRPr="00E30F80">
        <w:rPr>
          <w:rFonts w:ascii="Times New Roman" w:hAnsi="Times New Roman" w:cs="Times New Roman"/>
          <w:b/>
          <w:bCs/>
          <w:sz w:val="20"/>
          <w:szCs w:val="20"/>
          <w:u w:val="single"/>
        </w:rPr>
        <w:t>Reviewer 2:</w:t>
      </w:r>
    </w:p>
    <w:p w14:paraId="2B056D6B" w14:textId="1BA60279" w:rsidR="000C3CAD" w:rsidRPr="00E30F80" w:rsidRDefault="000C3CAD" w:rsidP="00977EA5">
      <w:pPr>
        <w:spacing w:line="276" w:lineRule="auto"/>
        <w:jc w:val="both"/>
        <w:rPr>
          <w:rFonts w:ascii="Times New Roman" w:hAnsi="Times New Roman" w:cs="Times New Roman"/>
          <w:b/>
          <w:bCs/>
          <w:sz w:val="20"/>
          <w:szCs w:val="20"/>
        </w:rPr>
      </w:pPr>
      <w:r w:rsidRPr="00E30F80">
        <w:rPr>
          <w:rFonts w:ascii="Times New Roman" w:hAnsi="Times New Roman" w:cs="Times New Roman"/>
          <w:b/>
          <w:bCs/>
          <w:sz w:val="20"/>
          <w:szCs w:val="20"/>
        </w:rPr>
        <w:t>Comment 1:</w:t>
      </w:r>
    </w:p>
    <w:p w14:paraId="78200423" w14:textId="77777777" w:rsidR="000C3CAD" w:rsidRPr="00E30F80" w:rsidRDefault="000C3CAD" w:rsidP="00977EA5">
      <w:pPr>
        <w:spacing w:before="240" w:after="0" w:line="276" w:lineRule="auto"/>
        <w:jc w:val="both"/>
        <w:rPr>
          <w:rFonts w:ascii="Times New Roman" w:hAnsi="Times New Roman" w:cs="Times New Roman"/>
          <w:sz w:val="20"/>
          <w:szCs w:val="20"/>
        </w:rPr>
      </w:pPr>
      <w:r w:rsidRPr="00E30F80">
        <w:rPr>
          <w:rFonts w:ascii="Times New Roman" w:hAnsi="Times New Roman" w:cs="Times New Roman"/>
          <w:sz w:val="20"/>
          <w:szCs w:val="20"/>
        </w:rPr>
        <w:t xml:space="preserve">In the entire manuscript you were highlighted the d/b=2 ratio is highly unsafe. Please mention other aspects of your research </w:t>
      </w:r>
      <w:proofErr w:type="gramStart"/>
      <w:r w:rsidRPr="00E30F80">
        <w:rPr>
          <w:rFonts w:ascii="Times New Roman" w:hAnsi="Times New Roman" w:cs="Times New Roman"/>
          <w:sz w:val="20"/>
          <w:szCs w:val="20"/>
        </w:rPr>
        <w:t>why</w:t>
      </w:r>
      <w:proofErr w:type="gramEnd"/>
      <w:r w:rsidRPr="00E30F80">
        <w:rPr>
          <w:rFonts w:ascii="Times New Roman" w:hAnsi="Times New Roman" w:cs="Times New Roman"/>
          <w:sz w:val="20"/>
          <w:szCs w:val="20"/>
        </w:rPr>
        <w:t xml:space="preserve"> it is so unsafe through concrete codes, or design point of view.  Whereas depth can be of 2 times of breadth. Which gives a sufficient Strength against crushing or compression.</w:t>
      </w:r>
    </w:p>
    <w:p w14:paraId="0700053F" w14:textId="7F4BA2BB" w:rsidR="000C3CAD" w:rsidRDefault="000C3CAD" w:rsidP="00977EA5">
      <w:pPr>
        <w:spacing w:before="240" w:after="0" w:line="276" w:lineRule="auto"/>
        <w:jc w:val="both"/>
        <w:rPr>
          <w:rFonts w:ascii="Times New Roman" w:hAnsi="Times New Roman" w:cs="Times New Roman"/>
          <w:b/>
          <w:bCs/>
          <w:sz w:val="20"/>
          <w:szCs w:val="20"/>
          <w:lang w:bidi="ne-NP"/>
        </w:rPr>
      </w:pPr>
      <w:r w:rsidRPr="00E30F80">
        <w:rPr>
          <w:rFonts w:ascii="Times New Roman" w:hAnsi="Times New Roman" w:cs="Times New Roman"/>
          <w:b/>
          <w:bCs/>
          <w:sz w:val="20"/>
          <w:szCs w:val="20"/>
          <w:lang w:bidi="ne-NP"/>
        </w:rPr>
        <w:t>Response and Adjustment:</w:t>
      </w:r>
    </w:p>
    <w:p w14:paraId="3452C97C" w14:textId="77777777" w:rsidR="00A10819" w:rsidRPr="00E30F80" w:rsidRDefault="00A10819" w:rsidP="00977EA5">
      <w:pPr>
        <w:spacing w:before="240" w:after="0" w:line="276" w:lineRule="auto"/>
        <w:jc w:val="both"/>
        <w:rPr>
          <w:rFonts w:ascii="Times New Roman" w:hAnsi="Times New Roman" w:cs="Times New Roman"/>
          <w:color w:val="0070C0"/>
          <w:sz w:val="20"/>
          <w:szCs w:val="20"/>
        </w:rPr>
      </w:pPr>
      <w:r w:rsidRPr="00E30F80">
        <w:rPr>
          <w:rFonts w:ascii="Times New Roman" w:hAnsi="Times New Roman" w:cs="Times New Roman"/>
          <w:sz w:val="20"/>
          <w:szCs w:val="20"/>
        </w:rPr>
        <w:t xml:space="preserve">While lower depth-to-breadth (d/b) ratios of 2 and 3 may provide sufficient compressive strength, they fail to offer the necessary effective depth to resist bending and shear forces. Concrete and steel have low strain rates due to the </w:t>
      </w:r>
      <w:r w:rsidRPr="00E30F80">
        <w:rPr>
          <w:rFonts w:ascii="Times New Roman" w:hAnsi="Times New Roman" w:cs="Times New Roman"/>
          <w:sz w:val="20"/>
          <w:szCs w:val="20"/>
        </w:rPr>
        <w:lastRenderedPageBreak/>
        <w:t xml:space="preserve">premature failure of the ribs by shearing </w:t>
      </w:r>
      <w:r w:rsidRPr="00E30F80">
        <w:rPr>
          <w:rFonts w:ascii="Times New Roman" w:hAnsi="Times New Roman" w:cs="Times New Roman"/>
          <w:color w:val="0070C0"/>
          <w:sz w:val="20"/>
          <w:szCs w:val="20"/>
        </w:rPr>
        <w:fldChar w:fldCharType="begin" w:fldLock="1"/>
      </w:r>
      <w:r w:rsidRPr="00E30F80">
        <w:rPr>
          <w:rFonts w:ascii="Times New Roman" w:hAnsi="Times New Roman" w:cs="Times New Roman"/>
          <w:color w:val="0070C0"/>
          <w:sz w:val="20"/>
          <w:szCs w:val="20"/>
        </w:rPr>
        <w:instrText>ADDIN CSL_CITATION {"citationItems":[{"id":"ITEM-1","itemData":{"DOI":"10.1590/s1983-41952018000500005","author":[{"dropping-particle":"","family":"Sacramento","given":"Paulo","non-dropping-particle":"","parse-names":false,"suffix":""},{"dropping-particle":"","family":"PICANÇO","given":"M","non-dropping-particle":"","parse-names":false,"suffix":""},{"dropping-particle":"","family":"OLIVEIRA","given":"D","non-dropping-particle":"","parse-names":false,"suffix":""}],"container-title":"Revista IBRACON de Estruturas e Materiais","id":"ITEM-1","issued":{"date-parts":[["2018"]]},"page":"966-996","title":"Reinforced concrete ribbed slabs with wide-beam","type":"article-journal","volume":"11"},"uris":["http://www.mendeley.com/documents/?uuid=f11dc196-63fd-4c87-be7f-ce6d780526ee"]}],"mendeley":{"formattedCitation":"(Sacramento et al. 2018)","plainTextFormattedCitation":"(Sacramento et al. 2018)"},"properties":{"noteIndex":0},"schema":"https://github.com/citation-style-language/schema/raw/master/csl-citation.json"}</w:instrText>
      </w:r>
      <w:r w:rsidRPr="00E30F80">
        <w:rPr>
          <w:rFonts w:ascii="Times New Roman" w:hAnsi="Times New Roman" w:cs="Times New Roman"/>
          <w:color w:val="0070C0"/>
          <w:sz w:val="20"/>
          <w:szCs w:val="20"/>
        </w:rPr>
        <w:fldChar w:fldCharType="separate"/>
      </w:r>
      <w:r w:rsidRPr="00E30F80">
        <w:rPr>
          <w:rFonts w:ascii="Times New Roman" w:hAnsi="Times New Roman" w:cs="Times New Roman"/>
          <w:noProof/>
          <w:color w:val="0070C0"/>
          <w:sz w:val="20"/>
          <w:szCs w:val="20"/>
        </w:rPr>
        <w:t>(Sacramento et al. 2018)</w:t>
      </w:r>
      <w:r w:rsidRPr="00E30F80">
        <w:rPr>
          <w:rFonts w:ascii="Times New Roman" w:hAnsi="Times New Roman" w:cs="Times New Roman"/>
          <w:color w:val="0070C0"/>
          <w:sz w:val="20"/>
          <w:szCs w:val="20"/>
        </w:rPr>
        <w:fldChar w:fldCharType="end"/>
      </w:r>
      <w:r w:rsidRPr="00E30F80">
        <w:rPr>
          <w:rFonts w:ascii="Times New Roman" w:hAnsi="Times New Roman" w:cs="Times New Roman"/>
          <w:sz w:val="20"/>
          <w:szCs w:val="20"/>
        </w:rPr>
        <w:t xml:space="preserve">. As the grid thickness increases, the primary mode of failure transitions from pure flexural failure to a combined action of moment and shear, indicating that greater grid thickness significantly enhances the beam’s flexural bearing capacity while also influencing its shear resistance </w:t>
      </w:r>
      <w:r w:rsidRPr="00E30F80">
        <w:rPr>
          <w:rFonts w:ascii="Times New Roman" w:hAnsi="Times New Roman" w:cs="Times New Roman"/>
          <w:color w:val="0070C0"/>
          <w:sz w:val="20"/>
          <w:szCs w:val="20"/>
        </w:rPr>
        <w:fldChar w:fldCharType="begin" w:fldLock="1"/>
      </w:r>
      <w:r w:rsidRPr="00E30F80">
        <w:rPr>
          <w:rFonts w:ascii="Times New Roman" w:hAnsi="Times New Roman" w:cs="Times New Roman"/>
          <w:color w:val="0070C0"/>
          <w:sz w:val="20"/>
          <w:szCs w:val="20"/>
        </w:rPr>
        <w:instrText>ADDIN CSL_CITATION {"citationItems":[{"id":"ITEM-1","itemData":{"DOI":"10.3390/app14031099","ISSN":"2076-3417","abstract":"Basalt fiber-reinforced polymers (BFRPs) can reduce construction costs and mitigate corrosion-related issues associated with steel-reinforced concrete structures. There is limited research on completely substituting steel cages with composite material grid structures. Combining BFRP grids with concrete is an effective solution to address the issue of poor corrosion resistance; BFRP grids also have a good bond with steel-reinforced concrete. Therefore, this paper introduces a novel BFRP grid-reinforced concrete beam. Flexural tests indicate that grid frameworks with 3 mm and 5 mm thickness combined with concrete exhibit higher flexural load-bearing capacity. Shear tests show that the shear load-bearing capability is influenced by the shear span ratio. Shear load-bearing capacity decreases when the shear span ratio rises, but only up to a certain point. Theoretical calculations for grid-reinforced concrete beams are made to demonstrate good conformity with test values. Based on the research findings, design recommendations and precise measurements for the internal grid frameworks for composite material grid-reinforced concrete beams are provided.","author":[{"dropping-particle":"","family":"Li","given":"Haoran","non-dropping-particle":"","parse-names":false,"suffix":""},{"dropping-particle":"","family":"Qi","given":"Yujun","non-dropping-particle":"","parse-names":false,"suffix":""},{"dropping-particle":"","family":"Li","given":"Yifei","non-dropping-particle":"","parse-names":false,"suffix":""},{"dropping-particle":"","family":"Bao","given":"Sai","non-dropping-particle":"","parse-names":false,"suffix":""},{"dropping-particle":"","family":"Song","given":"Zhongzheng","non-dropping-particle":"","parse-names":false,"suffix":""}],"container-title":"Applied Sciences","id":"ITEM-1","issue":"3","issued":{"date-parts":[["2024"]]},"title":"Study of the Mechanical Performance of Grid-Reinforced Concrete Beams with Basalt Fiber-Reinforced Polymers","type":"article-journal","volume":"14"},"uris":["http://www.mendeley.com/documents/?uuid=0ba61a7d-77ce-4cb6-ac3f-03dc6b05010b"]}],"mendeley":{"formattedCitation":"(Li et al. 2024)","plainTextFormattedCitation":"(Li et al. 2024)","previouslyFormattedCitation":"(Li et al. 2024)"},"properties":{"noteIndex":0},"schema":"https://github.com/citation-style-language/schema/raw/master/csl-citation.json"}</w:instrText>
      </w:r>
      <w:r w:rsidRPr="00E30F80">
        <w:rPr>
          <w:rFonts w:ascii="Times New Roman" w:hAnsi="Times New Roman" w:cs="Times New Roman"/>
          <w:color w:val="0070C0"/>
          <w:sz w:val="20"/>
          <w:szCs w:val="20"/>
        </w:rPr>
        <w:fldChar w:fldCharType="separate"/>
      </w:r>
      <w:r w:rsidRPr="00E30F80">
        <w:rPr>
          <w:rFonts w:ascii="Times New Roman" w:hAnsi="Times New Roman" w:cs="Times New Roman"/>
          <w:noProof/>
          <w:color w:val="0070C0"/>
          <w:sz w:val="20"/>
          <w:szCs w:val="20"/>
        </w:rPr>
        <w:t>(Li et al. 2024)</w:t>
      </w:r>
      <w:r w:rsidRPr="00E30F80">
        <w:rPr>
          <w:rFonts w:ascii="Times New Roman" w:hAnsi="Times New Roman" w:cs="Times New Roman"/>
          <w:color w:val="0070C0"/>
          <w:sz w:val="20"/>
          <w:szCs w:val="20"/>
        </w:rPr>
        <w:fldChar w:fldCharType="end"/>
      </w:r>
      <w:r w:rsidRPr="00E30F80">
        <w:rPr>
          <w:rFonts w:ascii="Times New Roman" w:hAnsi="Times New Roman" w:cs="Times New Roman"/>
          <w:sz w:val="20"/>
          <w:szCs w:val="20"/>
        </w:rPr>
        <w:t xml:space="preserve">. Moreover, the depth of grid ribs is governed by the effective span; for larger span structures, greater rib depth is essential to ensure adequate resistance to deflection </w:t>
      </w:r>
      <w:r w:rsidRPr="00E30F80">
        <w:rPr>
          <w:rFonts w:ascii="Times New Roman" w:hAnsi="Times New Roman" w:cs="Times New Roman"/>
          <w:color w:val="0070C0"/>
          <w:sz w:val="20"/>
          <w:szCs w:val="20"/>
        </w:rPr>
        <w:fldChar w:fldCharType="begin" w:fldLock="1"/>
      </w:r>
      <w:r w:rsidRPr="00E30F80">
        <w:rPr>
          <w:rFonts w:ascii="Times New Roman" w:hAnsi="Times New Roman" w:cs="Times New Roman"/>
          <w:color w:val="0070C0"/>
          <w:sz w:val="20"/>
          <w:szCs w:val="20"/>
        </w:rPr>
        <w:instrText>ADDIN CSL_CITATION {"citationItems":[{"id":"ITEM-1","itemData":{"DOI":"10.2174/1874149502014010402","abstract":"ACI code and other building codes and standards include the provisions for deflection control and depth-span limitations, also including the maximum permissible deflection for specified concrete and steel reinforcement strength. In this study, the effects of applied load intensity, steel reinforcement index amount as a ratio to the balancing reinforcement index (/), concrete strength ( ) and beam width on the depth-span ratio of the beam with different types (simply supported, fixed ended, propped and cantilever) were investigated.\nThis study aimed to study the effect of applied load intensity, steel reinforcement index amount as a ratio to the balancing reinforcement index (/), concrete strength ( ) and beam width on the depth-span ratio of the beam of different types (simply supported, fixed ended, propped and cantilever).This study theoretically investigates the effect of applied load intensity, steel reinforcement index amount as a ratio to the balancing reinforcement index (/), concrete strength ( ) and beam width on the depth-span ratio of the beam of different types (simply supported, fixed ended, propped and cantilever).The results show that the effect of the ratio (/) is small on the depth-span ratio, and the required depth of the beam increased with increasing the applied distributed load value and decreased with increasing the concrete strength for all beam types.Deflection of slabs and beams can be controlled by the addition of steel reinforcement bars or using pre-stressing concrete, loading type and value, material properties (), section properties (), and the type of the member. The results showed that the effect of the ratio (/) was small on the depth-span ratio, and the required depth of the beam increased with increasing the applied distributed load value and decreased with increasing the concrete strength for all beam types.- A modification of ACI Code span-depth ratio is suggested to include the effect of tension reinforcement area which is represented by the reinforcement indices ratio (/), applied distributed load (), concrete compressive strength ( ) and cross section width () in order to control the maximum deflection of the beam within the ACI limit of the maximum permitted deflection.- The value of span-depth ratio ( =  / ) is determined for four types of beam (simply supported, fixed ended, propped and cantilever) for concrete strengths ( = 21, 28, 35, 42, 63 &amp; 84 MPa), applied distributed load ( = 14.6, 29.2, 43.8 &amp; 58.4 kN/m…","author":[{"dropping-particle":"","family":"Fahmi","given":"RasheedMereen H","non-dropping-particle":"","parse-names":false,"suffix":""},{"dropping-particle":"","family":"Saber","given":"AghaAyad Zeki","non-dropping-particle":"","parse-names":false,"suffix":""}],"container-title":"The Open Civil Engineering Journal","id":"ITEM-1","issued":{"date-parts":[["2020","12","31"]]},"note":"DOI:10.2174/1874149502014010402","publisher":"Bentham Science","title":"Minimum Depth-Span Ratio of Beams in order to Control Maximum Permissible Deflection","type":"article","volume":"14"},"uris":["http://www.mendeley.com/documents/?uuid=92a92084-30a1-4f6e-b25a-b4b0ff1eaeca"]},{"id":"ITEM-2","itemData":{"DOI":"10.1108/MMMS-07-2023-0236","ISSN":"1573-6105","abstract":"Purpose From the factors that affect shear strength of reinforced concrete (RC) beams, the study examines the effect of controversial parameters, width-to-depth (b/d) and effective length-to-depth (leff/d) ratio on shear strength of RC slender beams. Design/methodology/approach The researchers utilized a database of 676 experimental test results from ACI-DAfStb database, Conducted regression analysis to examine relationship between b/d and leff/d ratios and shear strength, compare and analyze sensitivity to changes in b/d and leff/d ratios for the selected 12 shear models for RC beams. Findings Increasing b/d ratio enhanced shear strength until b/d ˜ 3, but further increases had limited impact and increasing leff/d ratio resulted in decreased shear strength. From comparative analysis, the models provided by various design standards were found to be safe, with EC-2 and JSCE models being conservative. From considered research models, Campione and Arslan models were conservative, while Kim and White model were observed to be unsafe. Sensitivity analysis indicated ACI318-19, JSCE, CEB-FIP-90 and Arslan models were sensitive to changes in b/d and leff/d ratios. National code models generally captured shear strength characteristics well. Certain models suggested a constant/decreasing b/d effect despite observed shear strength enhancement. Most models indicated improved shear strength with an increasing leff/d ratio, contrary to experimental findings while TS500 and Hwang models aligned with experimental results. Research limitations/implications The study's limitations include the dependence on the available database, which may not encompass all possible experimental scenarios. Further research should aim to expand the database and investigate additional parameters that may influence shear strength in RC beams. Practical implications The findings of this study have practical implications for the design and analysis of RC beams by suggesting that the width-to-depth and length-to-depth ratios should be carefully considered to optimize shear strength. The identified models can assist engineers in selecting appropriate shear strength prediction models based on specific design scenarios. Social implications The study contributes to the advancement of knowledge in the field of reinforced concrete beam design, which has implications for the safety and reliability of structural systems. By understanding the factors influencing shear strength, engineers can design mor…","author":[{"dropping-particle":"","family":"Adamu","given":"Seyfe Nigussie","non-dropping-particle":"","parse-names":false,"suffix":""},{"dropping-particle":"","family":"Aure","given":"Temesgen Wondimu","non-dropping-particle":"","parse-names":false,"suffix":""},{"dropping-particle":"","family":"Mohammed","given":"Tesfaye Alemu","non-dropping-particle":"","parse-names":false,"suffix":""}],"container-title":"Multidiscipline Modeling in Materials and Structures","id":"ITEM-2","issue":"1","issued":{"date-parts":[["2024","1","1"]]},"page":"178-196","publisher":"Emerald Publishing Limited","title":"Influence of width-to-depth and effective length-to-depth ratio on shear strength of reinforced concrete slender beams without shear reinforcement: comparative analysis","type":"article-journal","volume":"20"},"uris":["http://www.mendeley.com/documents/?uuid=647fe5f0-0e4b-4ed1-b250-236c249bcd41"]}],"mendeley":{"formattedCitation":"(Fahmi and Saber 2020; Adamu et al. 2024)","plainTextFormattedCitation":"(Fahmi and Saber 2020; Adamu et al. 2024)","previouslyFormattedCitation":"(Fahmi and Saber 2020; Adamu et al. 2024)"},"properties":{"noteIndex":0},"schema":"https://github.com/citation-style-language/schema/raw/master/csl-citation.json"}</w:instrText>
      </w:r>
      <w:r w:rsidRPr="00E30F80">
        <w:rPr>
          <w:rFonts w:ascii="Times New Roman" w:hAnsi="Times New Roman" w:cs="Times New Roman"/>
          <w:color w:val="0070C0"/>
          <w:sz w:val="20"/>
          <w:szCs w:val="20"/>
        </w:rPr>
        <w:fldChar w:fldCharType="separate"/>
      </w:r>
      <w:r w:rsidRPr="00E30F80">
        <w:rPr>
          <w:rFonts w:ascii="Times New Roman" w:hAnsi="Times New Roman" w:cs="Times New Roman"/>
          <w:noProof/>
          <w:color w:val="0070C0"/>
          <w:sz w:val="20"/>
          <w:szCs w:val="20"/>
        </w:rPr>
        <w:t>(Fahmi and Saber 2020; Adamu et al. 2024)</w:t>
      </w:r>
      <w:r w:rsidRPr="00E30F80">
        <w:rPr>
          <w:rFonts w:ascii="Times New Roman" w:hAnsi="Times New Roman" w:cs="Times New Roman"/>
          <w:color w:val="0070C0"/>
          <w:sz w:val="20"/>
          <w:szCs w:val="20"/>
        </w:rPr>
        <w:fldChar w:fldCharType="end"/>
      </w:r>
      <w:r w:rsidRPr="00E30F80">
        <w:rPr>
          <w:rFonts w:ascii="Times New Roman" w:hAnsi="Times New Roman" w:cs="Times New Roman"/>
          <w:sz w:val="20"/>
          <w:szCs w:val="20"/>
        </w:rPr>
        <w:t>. Insufficient depth compromises the slab’s ability to distribute loads effectively, ultimately leading to compromised structural performance</w:t>
      </w:r>
      <w:r w:rsidRPr="00E30F80">
        <w:rPr>
          <w:rFonts w:ascii="Times New Roman" w:hAnsi="Times New Roman" w:cs="Times New Roman"/>
          <w:color w:val="0070C0"/>
          <w:sz w:val="20"/>
          <w:szCs w:val="20"/>
        </w:rPr>
        <w:t>.</w:t>
      </w:r>
    </w:p>
    <w:p w14:paraId="4F4F9E00" w14:textId="284B1468" w:rsidR="000C3CAD" w:rsidRDefault="00A10819" w:rsidP="00977EA5">
      <w:pPr>
        <w:spacing w:before="240" w:line="276" w:lineRule="auto"/>
        <w:jc w:val="both"/>
        <w:rPr>
          <w:rFonts w:ascii="Times New Roman" w:hAnsi="Times New Roman" w:cs="Times New Roman"/>
          <w:b/>
          <w:bCs/>
          <w:color w:val="0070C0"/>
          <w:sz w:val="20"/>
          <w:szCs w:val="20"/>
        </w:rPr>
      </w:pPr>
      <w:r w:rsidRPr="00E30F80">
        <w:rPr>
          <w:rFonts w:ascii="Times New Roman" w:hAnsi="Times New Roman" w:cs="Times New Roman"/>
          <w:b/>
          <w:bCs/>
          <w:color w:val="0070C0"/>
          <w:sz w:val="20"/>
          <w:szCs w:val="20"/>
        </w:rPr>
        <w:t>References</w:t>
      </w:r>
      <w:r w:rsidR="00C05591">
        <w:rPr>
          <w:rFonts w:ascii="Times New Roman" w:hAnsi="Times New Roman" w:cs="Times New Roman"/>
          <w:b/>
          <w:bCs/>
          <w:color w:val="0070C0"/>
          <w:sz w:val="20"/>
          <w:szCs w:val="20"/>
        </w:rPr>
        <w:t>:</w:t>
      </w:r>
    </w:p>
    <w:p w14:paraId="506334EB" w14:textId="77777777" w:rsidR="00F94103" w:rsidRPr="00E30F80" w:rsidRDefault="00F94103"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Adamu SN, Aure TW, Mohammed TA (2024) Influence of width-to-depth and effective length-to-depth ratio on shear strength of reinforced concrete slender beams without shear reinforcement: comparative analysis. Multidiscip Model Mater Struct 20:178–196. </w:t>
      </w:r>
      <w:r w:rsidRPr="00C05591">
        <w:rPr>
          <w:rFonts w:ascii="Times New Roman" w:eastAsia="Times New Roman" w:hAnsi="Times New Roman" w:cs="Times New Roman"/>
          <w:noProof/>
          <w:color w:val="0070C0"/>
          <w:kern w:val="0"/>
          <w:sz w:val="20"/>
          <w:u w:val="single"/>
          <w14:ligatures w14:val="none"/>
        </w:rPr>
        <w:t>https://doi.org/10.1108/MMMS-07-2023-0236</w:t>
      </w:r>
    </w:p>
    <w:p w14:paraId="77E6B432" w14:textId="77777777" w:rsidR="00F94103" w:rsidRPr="00F94103" w:rsidRDefault="00F94103"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F94103">
        <w:rPr>
          <w:rFonts w:ascii="Times New Roman" w:eastAsia="Times New Roman" w:hAnsi="Times New Roman" w:cs="Times New Roman"/>
          <w:noProof/>
          <w:kern w:val="0"/>
          <w:sz w:val="20"/>
          <w14:ligatures w14:val="none"/>
        </w:rPr>
        <w:t xml:space="preserve">Fahmi RH, Saber AZ (2020) Minimum Depth-Span Ratio of Beams in order to Control Maximum Permissible Deflection. Open Civ Eng J 14:. </w:t>
      </w:r>
      <w:r w:rsidRPr="00F94103">
        <w:rPr>
          <w:rFonts w:ascii="Times New Roman" w:eastAsia="Times New Roman" w:hAnsi="Times New Roman" w:cs="Times New Roman"/>
          <w:noProof/>
          <w:color w:val="0070C0"/>
          <w:kern w:val="0"/>
          <w:sz w:val="20"/>
          <w:u w:val="single"/>
          <w14:ligatures w14:val="none"/>
        </w:rPr>
        <w:t>https://doi.org/10.2174/1874149502014010402</w:t>
      </w:r>
    </w:p>
    <w:p w14:paraId="7A76A239" w14:textId="77777777" w:rsidR="00F94103" w:rsidRPr="00E30F80" w:rsidRDefault="00F94103"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kern w:val="0"/>
          <w:sz w:val="20"/>
          <w14:ligatures w14:val="none"/>
        </w:rPr>
      </w:pPr>
      <w:r w:rsidRPr="00E30F80">
        <w:rPr>
          <w:rFonts w:ascii="Times New Roman" w:eastAsia="Times New Roman" w:hAnsi="Times New Roman" w:cs="Times New Roman"/>
          <w:noProof/>
          <w:kern w:val="0"/>
          <w:sz w:val="20"/>
          <w14:ligatures w14:val="none"/>
        </w:rPr>
        <w:t xml:space="preserve">Li H, Qi Y, Li Y, et al (2024) Study of the Mechanical Performance of Grid-Reinforced Concrete Beams with Basalt Fiber-Reinforced Polymers. Appl Sci 14:. </w:t>
      </w:r>
      <w:r w:rsidRPr="00C05591">
        <w:rPr>
          <w:rFonts w:ascii="Times New Roman" w:eastAsia="Times New Roman" w:hAnsi="Times New Roman" w:cs="Times New Roman"/>
          <w:noProof/>
          <w:color w:val="0070C0"/>
          <w:kern w:val="0"/>
          <w:sz w:val="20"/>
          <w:u w:val="single"/>
          <w14:ligatures w14:val="none"/>
        </w:rPr>
        <w:t>https://doi.org/10.3390/app14031099</w:t>
      </w:r>
    </w:p>
    <w:p w14:paraId="5908C232" w14:textId="77777777" w:rsidR="00A10819" w:rsidRPr="00C05591" w:rsidRDefault="00A10819" w:rsidP="00977EA5">
      <w:pPr>
        <w:widowControl w:val="0"/>
        <w:autoSpaceDE w:val="0"/>
        <w:autoSpaceDN w:val="0"/>
        <w:adjustRightInd w:val="0"/>
        <w:spacing w:after="0" w:line="276" w:lineRule="auto"/>
        <w:ind w:left="480" w:hanging="480"/>
        <w:jc w:val="both"/>
        <w:rPr>
          <w:rFonts w:ascii="Times New Roman" w:eastAsia="Times New Roman" w:hAnsi="Times New Roman" w:cs="Times New Roman"/>
          <w:noProof/>
          <w:color w:val="0070C0"/>
          <w:kern w:val="0"/>
          <w:sz w:val="20"/>
          <w:szCs w:val="20"/>
          <w:u w:val="single"/>
          <w14:ligatures w14:val="none"/>
        </w:rPr>
      </w:pPr>
      <w:r w:rsidRPr="00E30F80">
        <w:rPr>
          <w:rFonts w:ascii="Times New Roman" w:eastAsia="Times New Roman" w:hAnsi="Times New Roman" w:cs="Times New Roman"/>
          <w:noProof/>
          <w:kern w:val="0"/>
          <w:sz w:val="20"/>
          <w:szCs w:val="20"/>
          <w14:ligatures w14:val="none"/>
        </w:rPr>
        <w:t xml:space="preserve">Sacramento PVP, Picanco MS, Oliveria DRC (2018) Reinforced concrete ribbed slabs with wide-beam. Rev IBRACON Estruturas e Mater 11:966–996. </w:t>
      </w:r>
      <w:r w:rsidRPr="00C05591">
        <w:rPr>
          <w:rFonts w:ascii="Times New Roman" w:eastAsia="Times New Roman" w:hAnsi="Times New Roman" w:cs="Times New Roman"/>
          <w:noProof/>
          <w:color w:val="0070C0"/>
          <w:kern w:val="0"/>
          <w:sz w:val="20"/>
          <w:szCs w:val="20"/>
          <w:u w:val="single"/>
          <w14:ligatures w14:val="none"/>
        </w:rPr>
        <w:t>https://doi.org/10.1590/s1983-41952018000500005</w:t>
      </w:r>
    </w:p>
    <w:sectPr w:rsidR="00A10819" w:rsidRPr="00C055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EC097D"/>
    <w:multiLevelType w:val="hybridMultilevel"/>
    <w:tmpl w:val="AF1AEBC0"/>
    <w:lvl w:ilvl="0" w:tplc="54D6F9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73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M0NTE0NjE1NzY2MDFX0lEKTi0uzszPAykwrwUAGrMXLSwAAAA="/>
  </w:docVars>
  <w:rsids>
    <w:rsidRoot w:val="004B73EA"/>
    <w:rsid w:val="00061A07"/>
    <w:rsid w:val="00075A69"/>
    <w:rsid w:val="000C3CAD"/>
    <w:rsid w:val="00122ABA"/>
    <w:rsid w:val="00125BB4"/>
    <w:rsid w:val="00193701"/>
    <w:rsid w:val="001C3742"/>
    <w:rsid w:val="001E0D50"/>
    <w:rsid w:val="001E6BEC"/>
    <w:rsid w:val="001F48B1"/>
    <w:rsid w:val="00312E1D"/>
    <w:rsid w:val="00331213"/>
    <w:rsid w:val="003729E8"/>
    <w:rsid w:val="003C3055"/>
    <w:rsid w:val="003E57C1"/>
    <w:rsid w:val="00400189"/>
    <w:rsid w:val="004330D2"/>
    <w:rsid w:val="004B73EA"/>
    <w:rsid w:val="0050405C"/>
    <w:rsid w:val="00567B25"/>
    <w:rsid w:val="00591C51"/>
    <w:rsid w:val="005C129A"/>
    <w:rsid w:val="006076A8"/>
    <w:rsid w:val="00651179"/>
    <w:rsid w:val="00662799"/>
    <w:rsid w:val="006D45F3"/>
    <w:rsid w:val="00792441"/>
    <w:rsid w:val="007D4A04"/>
    <w:rsid w:val="00820995"/>
    <w:rsid w:val="008270A7"/>
    <w:rsid w:val="00851F07"/>
    <w:rsid w:val="008769FD"/>
    <w:rsid w:val="008E4542"/>
    <w:rsid w:val="008E76AF"/>
    <w:rsid w:val="00940DF9"/>
    <w:rsid w:val="0097633C"/>
    <w:rsid w:val="00977EA5"/>
    <w:rsid w:val="009E3F7C"/>
    <w:rsid w:val="00A10819"/>
    <w:rsid w:val="00A36521"/>
    <w:rsid w:val="00B21094"/>
    <w:rsid w:val="00B60C8E"/>
    <w:rsid w:val="00C05591"/>
    <w:rsid w:val="00C0605D"/>
    <w:rsid w:val="00C374DF"/>
    <w:rsid w:val="00CF0A37"/>
    <w:rsid w:val="00CF6D6B"/>
    <w:rsid w:val="00D53120"/>
    <w:rsid w:val="00D76E76"/>
    <w:rsid w:val="00DC18C0"/>
    <w:rsid w:val="00DE65A5"/>
    <w:rsid w:val="00E30F80"/>
    <w:rsid w:val="00EA3435"/>
    <w:rsid w:val="00EC2102"/>
    <w:rsid w:val="00F94103"/>
    <w:rsid w:val="00FD5C8A"/>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F689"/>
  <w15:chartTrackingRefBased/>
  <w15:docId w15:val="{1342454A-A623-4B85-8779-834FF1D6A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73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73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73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4B73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73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73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73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73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73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73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73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73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4B73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73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73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73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73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73EA"/>
    <w:rPr>
      <w:rFonts w:eastAsiaTheme="majorEastAsia" w:cstheme="majorBidi"/>
      <w:color w:val="272727" w:themeColor="text1" w:themeTint="D8"/>
    </w:rPr>
  </w:style>
  <w:style w:type="paragraph" w:styleId="Title">
    <w:name w:val="Title"/>
    <w:basedOn w:val="Normal"/>
    <w:next w:val="Normal"/>
    <w:link w:val="TitleChar"/>
    <w:uiPriority w:val="10"/>
    <w:qFormat/>
    <w:rsid w:val="004B73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73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73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73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73EA"/>
    <w:pPr>
      <w:spacing w:before="160"/>
      <w:jc w:val="center"/>
    </w:pPr>
    <w:rPr>
      <w:i/>
      <w:iCs/>
      <w:color w:val="404040" w:themeColor="text1" w:themeTint="BF"/>
    </w:rPr>
  </w:style>
  <w:style w:type="character" w:customStyle="1" w:styleId="QuoteChar">
    <w:name w:val="Quote Char"/>
    <w:basedOn w:val="DefaultParagraphFont"/>
    <w:link w:val="Quote"/>
    <w:uiPriority w:val="29"/>
    <w:rsid w:val="004B73EA"/>
    <w:rPr>
      <w:i/>
      <w:iCs/>
      <w:color w:val="404040" w:themeColor="text1" w:themeTint="BF"/>
    </w:rPr>
  </w:style>
  <w:style w:type="paragraph" w:styleId="ListParagraph">
    <w:name w:val="List Paragraph"/>
    <w:basedOn w:val="Normal"/>
    <w:uiPriority w:val="34"/>
    <w:qFormat/>
    <w:rsid w:val="004B73EA"/>
    <w:pPr>
      <w:ind w:left="720"/>
      <w:contextualSpacing/>
    </w:pPr>
  </w:style>
  <w:style w:type="character" w:styleId="IntenseEmphasis">
    <w:name w:val="Intense Emphasis"/>
    <w:basedOn w:val="DefaultParagraphFont"/>
    <w:uiPriority w:val="21"/>
    <w:qFormat/>
    <w:rsid w:val="004B73EA"/>
    <w:rPr>
      <w:i/>
      <w:iCs/>
      <w:color w:val="2F5496" w:themeColor="accent1" w:themeShade="BF"/>
    </w:rPr>
  </w:style>
  <w:style w:type="paragraph" w:styleId="IntenseQuote">
    <w:name w:val="Intense Quote"/>
    <w:basedOn w:val="Normal"/>
    <w:next w:val="Normal"/>
    <w:link w:val="IntenseQuoteChar"/>
    <w:uiPriority w:val="30"/>
    <w:qFormat/>
    <w:rsid w:val="004B73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73EA"/>
    <w:rPr>
      <w:i/>
      <w:iCs/>
      <w:color w:val="2F5496" w:themeColor="accent1" w:themeShade="BF"/>
    </w:rPr>
  </w:style>
  <w:style w:type="character" w:styleId="IntenseReference">
    <w:name w:val="Intense Reference"/>
    <w:basedOn w:val="DefaultParagraphFont"/>
    <w:uiPriority w:val="32"/>
    <w:qFormat/>
    <w:rsid w:val="004B73EA"/>
    <w:rPr>
      <w:b/>
      <w:bCs/>
      <w:smallCaps/>
      <w:color w:val="2F5496" w:themeColor="accent1" w:themeShade="BF"/>
      <w:spacing w:val="5"/>
    </w:rPr>
  </w:style>
  <w:style w:type="character" w:styleId="Strong">
    <w:name w:val="Strong"/>
    <w:basedOn w:val="DefaultParagraphFont"/>
    <w:uiPriority w:val="22"/>
    <w:qFormat/>
    <w:rsid w:val="004B73EA"/>
    <w:rPr>
      <w:b/>
      <w:bCs/>
    </w:rPr>
  </w:style>
  <w:style w:type="paragraph" w:styleId="NormalWeb">
    <w:name w:val="Normal (Web)"/>
    <w:basedOn w:val="Normal"/>
    <w:uiPriority w:val="99"/>
    <w:semiHidden/>
    <w:unhideWhenUsed/>
    <w:rsid w:val="004B73EA"/>
    <w:pPr>
      <w:spacing w:before="100" w:beforeAutospacing="1" w:after="100" w:afterAutospacing="1" w:line="240" w:lineRule="auto"/>
    </w:pPr>
    <w:rPr>
      <w:rFonts w:ascii="Times New Roman" w:eastAsia="Times New Roman" w:hAnsi="Times New Roman" w:cs="Times New Roman"/>
      <w:kern w:val="0"/>
      <w:lang w:bidi="ne-NP"/>
      <w14:ligatures w14:val="none"/>
    </w:rPr>
  </w:style>
  <w:style w:type="character" w:styleId="Emphasis">
    <w:name w:val="Emphasis"/>
    <w:basedOn w:val="DefaultParagraphFont"/>
    <w:uiPriority w:val="20"/>
    <w:qFormat/>
    <w:rsid w:val="00312E1D"/>
    <w:rPr>
      <w:i/>
      <w:iCs/>
    </w:rPr>
  </w:style>
  <w:style w:type="character" w:styleId="Hyperlink">
    <w:name w:val="Hyperlink"/>
    <w:basedOn w:val="DefaultParagraphFont"/>
    <w:uiPriority w:val="99"/>
    <w:unhideWhenUsed/>
    <w:rsid w:val="00EC2102"/>
    <w:rPr>
      <w:color w:val="0563C1" w:themeColor="hyperlink"/>
      <w:u w:val="single"/>
    </w:rPr>
  </w:style>
  <w:style w:type="character" w:styleId="UnresolvedMention">
    <w:name w:val="Unresolved Mention"/>
    <w:basedOn w:val="DefaultParagraphFont"/>
    <w:uiPriority w:val="99"/>
    <w:semiHidden/>
    <w:unhideWhenUsed/>
    <w:rsid w:val="00EC21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660278">
      <w:bodyDiv w:val="1"/>
      <w:marLeft w:val="0"/>
      <w:marRight w:val="0"/>
      <w:marTop w:val="0"/>
      <w:marBottom w:val="0"/>
      <w:divBdr>
        <w:top w:val="none" w:sz="0" w:space="0" w:color="auto"/>
        <w:left w:val="none" w:sz="0" w:space="0" w:color="auto"/>
        <w:bottom w:val="none" w:sz="0" w:space="0" w:color="auto"/>
        <w:right w:val="none" w:sz="0" w:space="0" w:color="auto"/>
      </w:divBdr>
    </w:div>
    <w:div w:id="1001930881">
      <w:bodyDiv w:val="1"/>
      <w:marLeft w:val="0"/>
      <w:marRight w:val="0"/>
      <w:marTop w:val="0"/>
      <w:marBottom w:val="0"/>
      <w:divBdr>
        <w:top w:val="none" w:sz="0" w:space="0" w:color="auto"/>
        <w:left w:val="none" w:sz="0" w:space="0" w:color="auto"/>
        <w:bottom w:val="none" w:sz="0" w:space="0" w:color="auto"/>
        <w:right w:val="none" w:sz="0" w:space="0" w:color="auto"/>
      </w:divBdr>
      <w:divsChild>
        <w:div w:id="200435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757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doi:10.1061/9780784479742.023" TargetMode="External"/><Relationship Id="rId3" Type="http://schemas.openxmlformats.org/officeDocument/2006/relationships/styles" Target="styles.xml"/><Relationship Id="rId7" Type="http://schemas.openxmlformats.org/officeDocument/2006/relationships/hyperlink" Target="https://doi.org/10.1007/s10518-024-01971-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1016/j.jobe.2023.10791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A5D1E-A193-41E3-A0DC-64827ED85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12790</Words>
  <Characters>72905</Characters>
  <Application>Microsoft Office Word</Application>
  <DocSecurity>0</DocSecurity>
  <Lines>607</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samrat poudel</dc:creator>
  <cp:keywords/>
  <dc:description/>
  <cp:lastModifiedBy>samrat poudel</cp:lastModifiedBy>
  <cp:revision>7</cp:revision>
  <dcterms:created xsi:type="dcterms:W3CDTF">2025-03-15T03:51:00Z</dcterms:created>
  <dcterms:modified xsi:type="dcterms:W3CDTF">2025-03-20T07:46:00Z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http://www.zotero.org/styles/buildings</vt:lpwstr>
  </property>
  <property fmtid="{D5CDD505-2E9C-101B-9397-08002B2CF9AE}" pid="7" name="Mendeley Recent Style Name 2_1">
    <vt:lpwstr>Buildings</vt:lpwstr>
  </property>
  <property fmtid="{D5CDD505-2E9C-101B-9397-08002B2CF9AE}" pid="8" name="Mendeley Recent Style Id 3_1">
    <vt:lpwstr>http://www.zotero.org/styles/bulletin-of-earthquake-engineering</vt:lpwstr>
  </property>
  <property fmtid="{D5CDD505-2E9C-101B-9397-08002B2CF9AE}" pid="9" name="Mendeley Recent Style Name 3_1">
    <vt:lpwstr>Bulletin of Earthquake Engineering</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http://www.zotero.org/styles/innovative-infrastructure-solutions</vt:lpwstr>
  </property>
  <property fmtid="{D5CDD505-2E9C-101B-9397-08002B2CF9AE}" pid="15" name="Mendeley Recent Style Name 6_1">
    <vt:lpwstr>Innovative Infrastructure Solutions</vt:lpwstr>
  </property>
  <property fmtid="{D5CDD505-2E9C-101B-9397-08002B2CF9AE}" pid="16" name="Mendeley Recent Style Id 7_1">
    <vt:lpwstr>http://www.zotero.org/styles/journal-of-cleaner-production</vt:lpwstr>
  </property>
  <property fmtid="{D5CDD505-2E9C-101B-9397-08002B2CF9AE}" pid="17" name="Mendeley Recent Style Name 7_1">
    <vt:lpwstr>Journal of Cleaner Production</vt:lpwstr>
  </property>
  <property fmtid="{D5CDD505-2E9C-101B-9397-08002B2CF9AE}" pid="18" name="Mendeley Recent Style Id 8_1">
    <vt:lpwstr>http://www.zotero.org/styles/journal-of-material-cycles-and-waste-management</vt:lpwstr>
  </property>
  <property fmtid="{D5CDD505-2E9C-101B-9397-08002B2CF9AE}" pid="19" name="Mendeley Recent Style Name 8_1">
    <vt:lpwstr>Journal of Material Cycles and Waste Management</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