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F8310D" w14:textId="77777777" w:rsidR="00B61D5B" w:rsidRDefault="00B61D5B" w:rsidP="00FA15A7">
      <w:pPr>
        <w:jc w:val="center"/>
        <w:rPr>
          <w:b/>
          <w:bCs/>
        </w:rPr>
      </w:pPr>
    </w:p>
    <w:p w14:paraId="67EDCBA8" w14:textId="7B45BD2F" w:rsidR="003603C7" w:rsidRPr="002C080C" w:rsidRDefault="00E57C19" w:rsidP="00FA15A7">
      <w:pPr>
        <w:jc w:val="center"/>
        <w:rPr>
          <w:rFonts w:ascii="Palatino Linotype" w:hAnsi="Palatino Linotype" w:cs="Arial"/>
          <w:b/>
          <w:bCs/>
          <w:sz w:val="28"/>
          <w:szCs w:val="28"/>
          <w:lang w:val="en-US"/>
        </w:rPr>
      </w:pPr>
      <w:r w:rsidRPr="002C080C">
        <w:rPr>
          <w:rFonts w:ascii="Palatino Linotype" w:hAnsi="Palatino Linotype" w:cs="Arial"/>
          <w:b/>
          <w:bCs/>
          <w:sz w:val="28"/>
          <w:szCs w:val="28"/>
          <w:lang w:val="en-US"/>
        </w:rPr>
        <w:t>Supplementary Material</w:t>
      </w:r>
    </w:p>
    <w:tbl>
      <w:tblPr>
        <w:tblStyle w:val="Tablanormal2"/>
        <w:tblW w:w="5000" w:type="pct"/>
        <w:tblLook w:val="04A0" w:firstRow="1" w:lastRow="0" w:firstColumn="1" w:lastColumn="0" w:noHBand="0" w:noVBand="1"/>
      </w:tblPr>
      <w:tblGrid>
        <w:gridCol w:w="1481"/>
        <w:gridCol w:w="5086"/>
        <w:gridCol w:w="1104"/>
        <w:gridCol w:w="827"/>
      </w:tblGrid>
      <w:tr w:rsidR="00760FC7" w:rsidRPr="00DA254E" w14:paraId="0CD8FF7F" w14:textId="77777777" w:rsidTr="00760F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4"/>
            <w:tcBorders>
              <w:top w:val="nil"/>
              <w:bottom w:val="single" w:sz="4" w:space="0" w:color="auto"/>
            </w:tcBorders>
          </w:tcPr>
          <w:p w14:paraId="0D22D884" w14:textId="3D77A0DF" w:rsidR="00760FC7" w:rsidRPr="002C080C" w:rsidRDefault="00760FC7" w:rsidP="00D81343">
            <w:pPr>
              <w:rPr>
                <w:rFonts w:ascii="Palatino Linotype" w:hAnsi="Palatino Linotype" w:cs="Arial"/>
                <w:sz w:val="20"/>
                <w:szCs w:val="20"/>
              </w:rPr>
            </w:pPr>
            <w:r w:rsidRPr="002C080C">
              <w:rPr>
                <w:rFonts w:ascii="Palatino Linotype" w:hAnsi="Palatino Linotype" w:cs="Arial"/>
                <w:sz w:val="20"/>
                <w:szCs w:val="20"/>
              </w:rPr>
              <w:t xml:space="preserve">Table S1. </w:t>
            </w:r>
            <w:r>
              <w:rPr>
                <w:rFonts w:ascii="Palatino Linotype" w:hAnsi="Palatino Linotype" w:cs="Arial"/>
                <w:b w:val="0"/>
                <w:bCs w:val="0"/>
                <w:sz w:val="20"/>
                <w:szCs w:val="20"/>
              </w:rPr>
              <w:t>Search</w:t>
            </w:r>
            <w:r w:rsidR="00E67051">
              <w:rPr>
                <w:rFonts w:ascii="Palatino Linotype" w:hAnsi="Palatino Linotype" w:cs="Arial"/>
                <w:b w:val="0"/>
                <w:bCs w:val="0"/>
                <w:sz w:val="20"/>
                <w:szCs w:val="20"/>
              </w:rPr>
              <w:t xml:space="preserve"> details.</w:t>
            </w:r>
          </w:p>
        </w:tc>
      </w:tr>
      <w:tr w:rsidR="00760FC7" w:rsidRPr="002C080C" w14:paraId="73405D8B" w14:textId="77777777" w:rsidTr="003A54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pct"/>
            <w:tcBorders>
              <w:top w:val="single" w:sz="4" w:space="0" w:color="auto"/>
              <w:bottom w:val="single" w:sz="4" w:space="0" w:color="auto"/>
            </w:tcBorders>
            <w:vAlign w:val="center"/>
          </w:tcPr>
          <w:p w14:paraId="111D3937" w14:textId="0EB75A45" w:rsidR="00760FC7" w:rsidRPr="002C080C" w:rsidRDefault="00760FC7" w:rsidP="003A5497">
            <w:pPr>
              <w:jc w:val="center"/>
              <w:rPr>
                <w:rFonts w:ascii="Palatino Linotype" w:hAnsi="Palatino Linotype" w:cs="Arial"/>
                <w:sz w:val="20"/>
                <w:szCs w:val="20"/>
              </w:rPr>
            </w:pPr>
            <w:r>
              <w:rPr>
                <w:rFonts w:ascii="Palatino Linotype" w:hAnsi="Palatino Linotype" w:cs="Arial"/>
                <w:sz w:val="20"/>
                <w:szCs w:val="20"/>
              </w:rPr>
              <w:t>Database</w:t>
            </w:r>
          </w:p>
        </w:tc>
        <w:tc>
          <w:tcPr>
            <w:tcW w:w="3021" w:type="pct"/>
            <w:tcBorders>
              <w:top w:val="single" w:sz="4" w:space="0" w:color="auto"/>
              <w:bottom w:val="single" w:sz="4" w:space="0" w:color="auto"/>
            </w:tcBorders>
            <w:vAlign w:val="center"/>
          </w:tcPr>
          <w:p w14:paraId="7BCE5FCF" w14:textId="7A2B4E98" w:rsidR="00760FC7" w:rsidRPr="003A5497" w:rsidRDefault="00760FC7" w:rsidP="003A5497">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b/>
                <w:bCs/>
                <w:sz w:val="20"/>
                <w:szCs w:val="20"/>
              </w:rPr>
            </w:pPr>
            <w:r w:rsidRPr="003A5497">
              <w:rPr>
                <w:rFonts w:ascii="Palatino Linotype" w:hAnsi="Palatino Linotype" w:cs="Arial"/>
                <w:b/>
                <w:bCs/>
                <w:sz w:val="20"/>
                <w:szCs w:val="20"/>
              </w:rPr>
              <w:t>Search String</w:t>
            </w:r>
          </w:p>
        </w:tc>
        <w:tc>
          <w:tcPr>
            <w:tcW w:w="612" w:type="pct"/>
            <w:tcBorders>
              <w:top w:val="single" w:sz="4" w:space="0" w:color="auto"/>
              <w:bottom w:val="single" w:sz="4" w:space="0" w:color="auto"/>
            </w:tcBorders>
            <w:vAlign w:val="center"/>
          </w:tcPr>
          <w:p w14:paraId="1764F10C" w14:textId="650EE303" w:rsidR="00760FC7" w:rsidRPr="002C080C" w:rsidRDefault="00760FC7" w:rsidP="003A5497">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b/>
                <w:bCs/>
                <w:sz w:val="20"/>
                <w:szCs w:val="20"/>
              </w:rPr>
            </w:pPr>
            <w:r>
              <w:rPr>
                <w:rFonts w:ascii="Palatino Linotype" w:hAnsi="Palatino Linotype" w:cs="Arial"/>
                <w:b/>
                <w:bCs/>
                <w:sz w:val="20"/>
                <w:szCs w:val="20"/>
              </w:rPr>
              <w:t>N</w:t>
            </w:r>
            <w:r w:rsidR="004E2ADB">
              <w:rPr>
                <w:rFonts w:ascii="Palatino Linotype" w:hAnsi="Palatino Linotype" w:cs="Arial"/>
                <w:b/>
                <w:bCs/>
                <w:sz w:val="20"/>
                <w:szCs w:val="20"/>
              </w:rPr>
              <w:t>o</w:t>
            </w:r>
            <w:r w:rsidR="00075574">
              <w:rPr>
                <w:rFonts w:ascii="Palatino Linotype" w:hAnsi="Palatino Linotype" w:cs="Arial"/>
                <w:b/>
                <w:bCs/>
                <w:sz w:val="20"/>
                <w:szCs w:val="20"/>
              </w:rPr>
              <w:t>.</w:t>
            </w:r>
            <w:r>
              <w:rPr>
                <w:rFonts w:ascii="Palatino Linotype" w:hAnsi="Palatino Linotype" w:cs="Arial"/>
                <w:b/>
                <w:bCs/>
                <w:sz w:val="20"/>
                <w:szCs w:val="20"/>
              </w:rPr>
              <w:t xml:space="preserve"> of </w:t>
            </w:r>
            <w:r w:rsidR="004E2ADB">
              <w:rPr>
                <w:rFonts w:ascii="Palatino Linotype" w:hAnsi="Palatino Linotype" w:cs="Arial"/>
                <w:b/>
                <w:bCs/>
                <w:sz w:val="20"/>
                <w:szCs w:val="20"/>
              </w:rPr>
              <w:t>R</w:t>
            </w:r>
            <w:r>
              <w:rPr>
                <w:rFonts w:ascii="Palatino Linotype" w:hAnsi="Palatino Linotype" w:cs="Arial"/>
                <w:b/>
                <w:bCs/>
                <w:sz w:val="20"/>
                <w:szCs w:val="20"/>
              </w:rPr>
              <w:t xml:space="preserve">ecords </w:t>
            </w:r>
            <w:r w:rsidR="004E2ADB">
              <w:rPr>
                <w:rFonts w:ascii="Palatino Linotype" w:hAnsi="Palatino Linotype" w:cs="Arial"/>
                <w:b/>
                <w:bCs/>
                <w:sz w:val="20"/>
                <w:szCs w:val="20"/>
              </w:rPr>
              <w:t>R</w:t>
            </w:r>
            <w:r>
              <w:rPr>
                <w:rFonts w:ascii="Palatino Linotype" w:hAnsi="Palatino Linotype" w:cs="Arial"/>
                <w:b/>
                <w:bCs/>
                <w:sz w:val="20"/>
                <w:szCs w:val="20"/>
              </w:rPr>
              <w:t>etrieved</w:t>
            </w:r>
          </w:p>
        </w:tc>
        <w:tc>
          <w:tcPr>
            <w:tcW w:w="467" w:type="pct"/>
            <w:tcBorders>
              <w:top w:val="single" w:sz="4" w:space="0" w:color="auto"/>
              <w:bottom w:val="single" w:sz="4" w:space="0" w:color="auto"/>
            </w:tcBorders>
            <w:vAlign w:val="center"/>
          </w:tcPr>
          <w:p w14:paraId="7EA31721" w14:textId="0727C8BA" w:rsidR="004E2ADB" w:rsidRDefault="0039797B" w:rsidP="003A5497">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b/>
                <w:bCs/>
                <w:sz w:val="20"/>
                <w:szCs w:val="20"/>
              </w:rPr>
            </w:pPr>
            <w:r>
              <w:rPr>
                <w:rFonts w:ascii="Palatino Linotype" w:hAnsi="Palatino Linotype" w:cs="Arial"/>
                <w:b/>
                <w:bCs/>
                <w:sz w:val="20"/>
                <w:szCs w:val="20"/>
              </w:rPr>
              <w:t xml:space="preserve">Date </w:t>
            </w:r>
          </w:p>
          <w:p w14:paraId="373E7CA3" w14:textId="1C4C4ADC" w:rsidR="00760FC7" w:rsidRPr="002C080C" w:rsidRDefault="00760FC7" w:rsidP="003A5497">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b/>
                <w:bCs/>
                <w:sz w:val="20"/>
                <w:szCs w:val="20"/>
              </w:rPr>
            </w:pPr>
            <w:r>
              <w:rPr>
                <w:rFonts w:ascii="Palatino Linotype" w:hAnsi="Palatino Linotype" w:cs="Arial"/>
                <w:b/>
                <w:bCs/>
                <w:sz w:val="20"/>
                <w:szCs w:val="20"/>
              </w:rPr>
              <w:t xml:space="preserve">of </w:t>
            </w:r>
            <w:r w:rsidR="004E2ADB">
              <w:rPr>
                <w:rFonts w:ascii="Palatino Linotype" w:hAnsi="Palatino Linotype" w:cs="Arial"/>
                <w:b/>
                <w:bCs/>
                <w:sz w:val="20"/>
                <w:szCs w:val="20"/>
              </w:rPr>
              <w:t>S</w:t>
            </w:r>
            <w:r>
              <w:rPr>
                <w:rFonts w:ascii="Palatino Linotype" w:hAnsi="Palatino Linotype" w:cs="Arial"/>
                <w:b/>
                <w:bCs/>
                <w:sz w:val="20"/>
                <w:szCs w:val="20"/>
              </w:rPr>
              <w:t>earch</w:t>
            </w:r>
          </w:p>
        </w:tc>
      </w:tr>
      <w:tr w:rsidR="00760FC7" w:rsidRPr="007170AB" w14:paraId="419D6701" w14:textId="77777777" w:rsidTr="003A5497">
        <w:tc>
          <w:tcPr>
            <w:cnfStyle w:val="001000000000" w:firstRow="0" w:lastRow="0" w:firstColumn="1" w:lastColumn="0" w:oddVBand="0" w:evenVBand="0" w:oddHBand="0" w:evenHBand="0" w:firstRowFirstColumn="0" w:firstRowLastColumn="0" w:lastRowFirstColumn="0" w:lastRowLastColumn="0"/>
            <w:tcW w:w="900" w:type="pct"/>
            <w:tcBorders>
              <w:top w:val="single" w:sz="4" w:space="0" w:color="auto"/>
            </w:tcBorders>
          </w:tcPr>
          <w:p w14:paraId="4937E721" w14:textId="3066FE34" w:rsidR="00760FC7" w:rsidRPr="009E128B" w:rsidRDefault="00760FC7" w:rsidP="00D81343">
            <w:pPr>
              <w:jc w:val="center"/>
              <w:rPr>
                <w:rFonts w:ascii="Palatino Linotype" w:hAnsi="Palatino Linotype" w:cs="Arial"/>
                <w:b w:val="0"/>
                <w:bCs w:val="0"/>
                <w:sz w:val="20"/>
                <w:szCs w:val="20"/>
              </w:rPr>
            </w:pPr>
            <w:proofErr w:type="spellStart"/>
            <w:r>
              <w:rPr>
                <w:rFonts w:ascii="Palatino Linotype" w:hAnsi="Palatino Linotype" w:cs="Arial"/>
                <w:b w:val="0"/>
                <w:bCs w:val="0"/>
                <w:sz w:val="20"/>
                <w:szCs w:val="20"/>
              </w:rPr>
              <w:t>Pubmed</w:t>
            </w:r>
            <w:proofErr w:type="spellEnd"/>
            <w:r>
              <w:rPr>
                <w:rFonts w:ascii="Palatino Linotype" w:hAnsi="Palatino Linotype" w:cs="Arial"/>
                <w:b w:val="0"/>
                <w:bCs w:val="0"/>
                <w:sz w:val="20"/>
                <w:szCs w:val="20"/>
              </w:rPr>
              <w:t xml:space="preserve"> (MEDLINE)</w:t>
            </w:r>
          </w:p>
        </w:tc>
        <w:tc>
          <w:tcPr>
            <w:tcW w:w="3021" w:type="pct"/>
            <w:tcBorders>
              <w:top w:val="single" w:sz="4" w:space="0" w:color="auto"/>
            </w:tcBorders>
          </w:tcPr>
          <w:p w14:paraId="07517FA8" w14:textId="70883F73" w:rsidR="00760FC7" w:rsidRPr="00610969" w:rsidRDefault="00610969" w:rsidP="00D81343">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7170AB">
              <w:rPr>
                <w:rFonts w:ascii="Palatino Linotype" w:hAnsi="Palatino Linotype" w:cs="Arial"/>
                <w:sz w:val="20"/>
                <w:szCs w:val="20"/>
              </w:rPr>
              <w:t xml:space="preserve">("relative energy </w:t>
            </w:r>
            <w:proofErr w:type="spellStart"/>
            <w:r w:rsidRPr="007170AB">
              <w:rPr>
                <w:rFonts w:ascii="Palatino Linotype" w:hAnsi="Palatino Linotype" w:cs="Arial"/>
                <w:sz w:val="20"/>
                <w:szCs w:val="20"/>
              </w:rPr>
              <w:t>deficienc</w:t>
            </w:r>
            <w:proofErr w:type="spellEnd"/>
            <w:r w:rsidRPr="007170AB">
              <w:rPr>
                <w:rFonts w:ascii="Palatino Linotype" w:hAnsi="Palatino Linotype" w:cs="Arial"/>
                <w:sz w:val="20"/>
                <w:szCs w:val="20"/>
              </w:rPr>
              <w:t xml:space="preserve">*" OR "male athlete triad" OR "triad" OR "energy intake </w:t>
            </w:r>
            <w:proofErr w:type="spellStart"/>
            <w:r w:rsidRPr="007170AB">
              <w:rPr>
                <w:rFonts w:ascii="Palatino Linotype" w:hAnsi="Palatino Linotype" w:cs="Arial"/>
                <w:sz w:val="20"/>
                <w:szCs w:val="20"/>
              </w:rPr>
              <w:t>deficienc</w:t>
            </w:r>
            <w:proofErr w:type="spellEnd"/>
            <w:r w:rsidRPr="007170AB">
              <w:rPr>
                <w:rFonts w:ascii="Palatino Linotype" w:hAnsi="Palatino Linotype" w:cs="Arial"/>
                <w:sz w:val="20"/>
                <w:szCs w:val="20"/>
              </w:rPr>
              <w:t xml:space="preserve">*" OR "low energy availability" OR "low energy </w:t>
            </w:r>
            <w:proofErr w:type="spellStart"/>
            <w:r w:rsidRPr="007170AB">
              <w:rPr>
                <w:rFonts w:ascii="Palatino Linotype" w:hAnsi="Palatino Linotype" w:cs="Arial"/>
                <w:sz w:val="20"/>
                <w:szCs w:val="20"/>
              </w:rPr>
              <w:t>intak</w:t>
            </w:r>
            <w:proofErr w:type="spellEnd"/>
            <w:r w:rsidRPr="007170AB">
              <w:rPr>
                <w:rFonts w:ascii="Palatino Linotype" w:hAnsi="Palatino Linotype" w:cs="Arial"/>
                <w:sz w:val="20"/>
                <w:szCs w:val="20"/>
              </w:rPr>
              <w:t xml:space="preserve">*" OR "energy balance" OR "REDS" OR "LEA" OR "bone density" OR "bone mineral density" OR "stress fractur*" OR "hypogonadism" OR "hypothalamic-pituitary-gonadal axis" OR "disordered eating" OR "eating disorder") AND ("male </w:t>
            </w:r>
            <w:proofErr w:type="spellStart"/>
            <w:r w:rsidRPr="007170AB">
              <w:rPr>
                <w:rFonts w:ascii="Palatino Linotype" w:hAnsi="Palatino Linotype" w:cs="Arial"/>
                <w:sz w:val="20"/>
                <w:szCs w:val="20"/>
              </w:rPr>
              <w:t>athlet</w:t>
            </w:r>
            <w:proofErr w:type="spellEnd"/>
            <w:r w:rsidRPr="007170AB">
              <w:rPr>
                <w:rFonts w:ascii="Palatino Linotype" w:hAnsi="Palatino Linotype" w:cs="Arial"/>
                <w:sz w:val="20"/>
                <w:szCs w:val="20"/>
              </w:rPr>
              <w:t>*") AND ("</w:t>
            </w:r>
            <w:proofErr w:type="spellStart"/>
            <w:r w:rsidRPr="007170AB">
              <w:rPr>
                <w:rFonts w:ascii="Palatino Linotype" w:hAnsi="Palatino Linotype" w:cs="Arial"/>
                <w:sz w:val="20"/>
                <w:szCs w:val="20"/>
              </w:rPr>
              <w:t>perfomanc</w:t>
            </w:r>
            <w:proofErr w:type="spellEnd"/>
            <w:r w:rsidRPr="007170AB">
              <w:rPr>
                <w:rFonts w:ascii="Palatino Linotype" w:hAnsi="Palatino Linotype" w:cs="Arial"/>
                <w:sz w:val="20"/>
                <w:szCs w:val="20"/>
              </w:rPr>
              <w:t>*" OR "</w:t>
            </w:r>
            <w:proofErr w:type="spellStart"/>
            <w:r w:rsidRPr="007170AB">
              <w:rPr>
                <w:rFonts w:ascii="Palatino Linotype" w:hAnsi="Palatino Linotype" w:cs="Arial"/>
                <w:sz w:val="20"/>
                <w:szCs w:val="20"/>
              </w:rPr>
              <w:t>exercis</w:t>
            </w:r>
            <w:proofErr w:type="spellEnd"/>
            <w:r w:rsidRPr="007170AB">
              <w:rPr>
                <w:rFonts w:ascii="Palatino Linotype" w:hAnsi="Palatino Linotype" w:cs="Arial"/>
                <w:sz w:val="20"/>
                <w:szCs w:val="20"/>
              </w:rPr>
              <w:t>*" OR "overtraining" OR "endurance" OR "running" OR "cycling" OR "swimming" OR "jockeys" OR "boxing" OR "rowers")</w:t>
            </w:r>
          </w:p>
        </w:tc>
        <w:tc>
          <w:tcPr>
            <w:tcW w:w="612" w:type="pct"/>
            <w:tcBorders>
              <w:top w:val="single" w:sz="4" w:space="0" w:color="auto"/>
            </w:tcBorders>
          </w:tcPr>
          <w:p w14:paraId="7F74E484" w14:textId="37553DF9" w:rsidR="00760FC7" w:rsidRPr="00610969" w:rsidRDefault="0064164B" w:rsidP="00D81343">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Pr>
                <w:rFonts w:ascii="Palatino Linotype" w:hAnsi="Palatino Linotype" w:cs="Arial"/>
                <w:sz w:val="20"/>
                <w:szCs w:val="20"/>
              </w:rPr>
              <w:t>172</w:t>
            </w:r>
          </w:p>
        </w:tc>
        <w:tc>
          <w:tcPr>
            <w:tcW w:w="467" w:type="pct"/>
            <w:tcBorders>
              <w:top w:val="single" w:sz="4" w:space="0" w:color="auto"/>
            </w:tcBorders>
          </w:tcPr>
          <w:p w14:paraId="5C9B01B5" w14:textId="35E091BF" w:rsidR="00760FC7" w:rsidRPr="00610969" w:rsidRDefault="00CB5C10" w:rsidP="00D81343">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Pr>
                <w:rFonts w:ascii="Palatino Linotype" w:hAnsi="Palatino Linotype" w:cs="Arial"/>
                <w:sz w:val="20"/>
                <w:szCs w:val="20"/>
              </w:rPr>
              <w:t>April 16, 2024</w:t>
            </w:r>
          </w:p>
        </w:tc>
      </w:tr>
      <w:tr w:rsidR="00760FC7" w:rsidRPr="007170AB" w14:paraId="5B7748F9" w14:textId="77777777" w:rsidTr="003A54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pct"/>
          </w:tcPr>
          <w:p w14:paraId="6E1ECA46" w14:textId="75BC30BF" w:rsidR="00760FC7" w:rsidRPr="009E128B" w:rsidRDefault="00283087" w:rsidP="00D81343">
            <w:pPr>
              <w:jc w:val="center"/>
              <w:rPr>
                <w:rFonts w:ascii="Palatino Linotype" w:hAnsi="Palatino Linotype" w:cs="Arial"/>
                <w:b w:val="0"/>
                <w:bCs w:val="0"/>
                <w:sz w:val="20"/>
                <w:szCs w:val="20"/>
              </w:rPr>
            </w:pPr>
            <w:r>
              <w:rPr>
                <w:rFonts w:ascii="Palatino Linotype" w:hAnsi="Palatino Linotype" w:cs="Arial"/>
                <w:b w:val="0"/>
                <w:bCs w:val="0"/>
                <w:sz w:val="20"/>
                <w:szCs w:val="20"/>
              </w:rPr>
              <w:t>Scopus</w:t>
            </w:r>
          </w:p>
        </w:tc>
        <w:tc>
          <w:tcPr>
            <w:tcW w:w="3021" w:type="pct"/>
          </w:tcPr>
          <w:p w14:paraId="4E855A91" w14:textId="357E6BFF" w:rsidR="00760FC7" w:rsidRPr="00610969" w:rsidRDefault="007170AB" w:rsidP="00D81343">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7170AB">
              <w:rPr>
                <w:rFonts w:ascii="Palatino Linotype" w:hAnsi="Palatino Linotype" w:cs="Arial"/>
                <w:sz w:val="20"/>
                <w:szCs w:val="20"/>
              </w:rPr>
              <w:t xml:space="preserve">("relative energy </w:t>
            </w:r>
            <w:proofErr w:type="spellStart"/>
            <w:r w:rsidRPr="007170AB">
              <w:rPr>
                <w:rFonts w:ascii="Palatino Linotype" w:hAnsi="Palatino Linotype" w:cs="Arial"/>
                <w:sz w:val="20"/>
                <w:szCs w:val="20"/>
              </w:rPr>
              <w:t>deficienc</w:t>
            </w:r>
            <w:proofErr w:type="spellEnd"/>
            <w:r w:rsidRPr="007170AB">
              <w:rPr>
                <w:rFonts w:ascii="Palatino Linotype" w:hAnsi="Palatino Linotype" w:cs="Arial"/>
                <w:sz w:val="20"/>
                <w:szCs w:val="20"/>
              </w:rPr>
              <w:t xml:space="preserve">*" OR "male athlete triad" OR "triad" OR "energy intake </w:t>
            </w:r>
            <w:proofErr w:type="spellStart"/>
            <w:r w:rsidRPr="007170AB">
              <w:rPr>
                <w:rFonts w:ascii="Palatino Linotype" w:hAnsi="Palatino Linotype" w:cs="Arial"/>
                <w:sz w:val="20"/>
                <w:szCs w:val="20"/>
              </w:rPr>
              <w:t>deficienc</w:t>
            </w:r>
            <w:proofErr w:type="spellEnd"/>
            <w:r w:rsidRPr="007170AB">
              <w:rPr>
                <w:rFonts w:ascii="Palatino Linotype" w:hAnsi="Palatino Linotype" w:cs="Arial"/>
                <w:sz w:val="20"/>
                <w:szCs w:val="20"/>
              </w:rPr>
              <w:t xml:space="preserve">*" OR "low energy availability" OR "low energy </w:t>
            </w:r>
            <w:proofErr w:type="spellStart"/>
            <w:r w:rsidRPr="007170AB">
              <w:rPr>
                <w:rFonts w:ascii="Palatino Linotype" w:hAnsi="Palatino Linotype" w:cs="Arial"/>
                <w:sz w:val="20"/>
                <w:szCs w:val="20"/>
              </w:rPr>
              <w:t>intak</w:t>
            </w:r>
            <w:proofErr w:type="spellEnd"/>
            <w:r w:rsidRPr="007170AB">
              <w:rPr>
                <w:rFonts w:ascii="Palatino Linotype" w:hAnsi="Palatino Linotype" w:cs="Arial"/>
                <w:sz w:val="20"/>
                <w:szCs w:val="20"/>
              </w:rPr>
              <w:t xml:space="preserve">*" OR "energy balance" OR "REDS" OR "LEA" OR "bone density" OR "bone mineral density" OR "stress fractur*" OR "hypogonadism" OR "hypothalamic-pituitary-gonadal axis" OR "disordered eating" OR "eating disorder") AND ("male </w:t>
            </w:r>
            <w:proofErr w:type="spellStart"/>
            <w:r w:rsidRPr="007170AB">
              <w:rPr>
                <w:rFonts w:ascii="Palatino Linotype" w:hAnsi="Palatino Linotype" w:cs="Arial"/>
                <w:sz w:val="20"/>
                <w:szCs w:val="20"/>
              </w:rPr>
              <w:t>athlet</w:t>
            </w:r>
            <w:proofErr w:type="spellEnd"/>
            <w:r w:rsidRPr="007170AB">
              <w:rPr>
                <w:rFonts w:ascii="Palatino Linotype" w:hAnsi="Palatino Linotype" w:cs="Arial"/>
                <w:sz w:val="20"/>
                <w:szCs w:val="20"/>
              </w:rPr>
              <w:t>*") AND ("</w:t>
            </w:r>
            <w:proofErr w:type="spellStart"/>
            <w:r w:rsidRPr="007170AB">
              <w:rPr>
                <w:rFonts w:ascii="Palatino Linotype" w:hAnsi="Palatino Linotype" w:cs="Arial"/>
                <w:sz w:val="20"/>
                <w:szCs w:val="20"/>
              </w:rPr>
              <w:t>perfomanc</w:t>
            </w:r>
            <w:proofErr w:type="spellEnd"/>
            <w:r w:rsidRPr="007170AB">
              <w:rPr>
                <w:rFonts w:ascii="Palatino Linotype" w:hAnsi="Palatino Linotype" w:cs="Arial"/>
                <w:sz w:val="20"/>
                <w:szCs w:val="20"/>
              </w:rPr>
              <w:t>*" OR "</w:t>
            </w:r>
            <w:proofErr w:type="spellStart"/>
            <w:r w:rsidRPr="007170AB">
              <w:rPr>
                <w:rFonts w:ascii="Palatino Linotype" w:hAnsi="Palatino Linotype" w:cs="Arial"/>
                <w:sz w:val="20"/>
                <w:szCs w:val="20"/>
              </w:rPr>
              <w:t>exercis</w:t>
            </w:r>
            <w:proofErr w:type="spellEnd"/>
            <w:r w:rsidRPr="007170AB">
              <w:rPr>
                <w:rFonts w:ascii="Palatino Linotype" w:hAnsi="Palatino Linotype" w:cs="Arial"/>
                <w:sz w:val="20"/>
                <w:szCs w:val="20"/>
              </w:rPr>
              <w:t>*" OR "overtraining" OR "endurance" OR "running" OR "cycling" OR "swimming" OR "jockeys" OR "boxing" OR "rowers")</w:t>
            </w:r>
          </w:p>
        </w:tc>
        <w:tc>
          <w:tcPr>
            <w:tcW w:w="612" w:type="pct"/>
          </w:tcPr>
          <w:p w14:paraId="1B261779" w14:textId="1F3E8C7C" w:rsidR="00760FC7" w:rsidRPr="00610969" w:rsidRDefault="00D66507" w:rsidP="00D81343">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Pr>
                <w:rFonts w:ascii="Palatino Linotype" w:hAnsi="Palatino Linotype" w:cs="Arial"/>
                <w:sz w:val="20"/>
                <w:szCs w:val="20"/>
              </w:rPr>
              <w:t>260</w:t>
            </w:r>
          </w:p>
        </w:tc>
        <w:tc>
          <w:tcPr>
            <w:tcW w:w="467" w:type="pct"/>
          </w:tcPr>
          <w:p w14:paraId="6CF05845" w14:textId="03440C3B" w:rsidR="00760FC7" w:rsidRPr="00610969" w:rsidRDefault="00CB5C10" w:rsidP="00D81343">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Pr>
                <w:rFonts w:ascii="Palatino Linotype" w:hAnsi="Palatino Linotype" w:cs="Arial"/>
                <w:sz w:val="20"/>
                <w:szCs w:val="20"/>
              </w:rPr>
              <w:t>April 16, 2024</w:t>
            </w:r>
          </w:p>
        </w:tc>
      </w:tr>
      <w:tr w:rsidR="00760FC7" w:rsidRPr="007170AB" w14:paraId="408AC8CE" w14:textId="77777777" w:rsidTr="003A5497">
        <w:tc>
          <w:tcPr>
            <w:cnfStyle w:val="001000000000" w:firstRow="0" w:lastRow="0" w:firstColumn="1" w:lastColumn="0" w:oddVBand="0" w:evenVBand="0" w:oddHBand="0" w:evenHBand="0" w:firstRowFirstColumn="0" w:firstRowLastColumn="0" w:lastRowFirstColumn="0" w:lastRowLastColumn="0"/>
            <w:tcW w:w="900" w:type="pct"/>
          </w:tcPr>
          <w:p w14:paraId="345C1851" w14:textId="6E319FFA" w:rsidR="00760FC7" w:rsidRPr="005F2929" w:rsidRDefault="00CE734B" w:rsidP="00D81343">
            <w:pPr>
              <w:jc w:val="center"/>
              <w:rPr>
                <w:rFonts w:ascii="Palatino Linotype" w:hAnsi="Palatino Linotype" w:cs="Arial"/>
                <w:b w:val="0"/>
                <w:bCs w:val="0"/>
                <w:sz w:val="20"/>
                <w:szCs w:val="20"/>
              </w:rPr>
            </w:pPr>
            <w:r>
              <w:rPr>
                <w:rFonts w:ascii="Palatino Linotype" w:hAnsi="Palatino Linotype" w:cs="Arial"/>
                <w:b w:val="0"/>
                <w:bCs w:val="0"/>
                <w:sz w:val="20"/>
                <w:szCs w:val="20"/>
              </w:rPr>
              <w:t>Web of Science</w:t>
            </w:r>
          </w:p>
        </w:tc>
        <w:tc>
          <w:tcPr>
            <w:tcW w:w="3021" w:type="pct"/>
          </w:tcPr>
          <w:p w14:paraId="0A3766AE" w14:textId="764DF28D" w:rsidR="00760FC7" w:rsidRPr="00610969" w:rsidRDefault="007170AB" w:rsidP="00D81343">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7170AB">
              <w:rPr>
                <w:rFonts w:ascii="Palatino Linotype" w:hAnsi="Palatino Linotype" w:cs="Arial"/>
                <w:sz w:val="20"/>
                <w:szCs w:val="20"/>
              </w:rPr>
              <w:t xml:space="preserve">("relative energy </w:t>
            </w:r>
            <w:proofErr w:type="spellStart"/>
            <w:r w:rsidRPr="007170AB">
              <w:rPr>
                <w:rFonts w:ascii="Palatino Linotype" w:hAnsi="Palatino Linotype" w:cs="Arial"/>
                <w:sz w:val="20"/>
                <w:szCs w:val="20"/>
              </w:rPr>
              <w:t>deficienc</w:t>
            </w:r>
            <w:proofErr w:type="spellEnd"/>
            <w:r w:rsidRPr="007170AB">
              <w:rPr>
                <w:rFonts w:ascii="Palatino Linotype" w:hAnsi="Palatino Linotype" w:cs="Arial"/>
                <w:sz w:val="20"/>
                <w:szCs w:val="20"/>
              </w:rPr>
              <w:t xml:space="preserve">*" OR "male athlete triad" OR "triad" OR "energy intake </w:t>
            </w:r>
            <w:proofErr w:type="spellStart"/>
            <w:r w:rsidRPr="007170AB">
              <w:rPr>
                <w:rFonts w:ascii="Palatino Linotype" w:hAnsi="Palatino Linotype" w:cs="Arial"/>
                <w:sz w:val="20"/>
                <w:szCs w:val="20"/>
              </w:rPr>
              <w:t>deficienc</w:t>
            </w:r>
            <w:proofErr w:type="spellEnd"/>
            <w:r w:rsidRPr="007170AB">
              <w:rPr>
                <w:rFonts w:ascii="Palatino Linotype" w:hAnsi="Palatino Linotype" w:cs="Arial"/>
                <w:sz w:val="20"/>
                <w:szCs w:val="20"/>
              </w:rPr>
              <w:t xml:space="preserve">*" OR "low energy availability" OR "low energy </w:t>
            </w:r>
            <w:proofErr w:type="spellStart"/>
            <w:r w:rsidRPr="007170AB">
              <w:rPr>
                <w:rFonts w:ascii="Palatino Linotype" w:hAnsi="Palatino Linotype" w:cs="Arial"/>
                <w:sz w:val="20"/>
                <w:szCs w:val="20"/>
              </w:rPr>
              <w:t>intak</w:t>
            </w:r>
            <w:proofErr w:type="spellEnd"/>
            <w:r w:rsidRPr="007170AB">
              <w:rPr>
                <w:rFonts w:ascii="Palatino Linotype" w:hAnsi="Palatino Linotype" w:cs="Arial"/>
                <w:sz w:val="20"/>
                <w:szCs w:val="20"/>
              </w:rPr>
              <w:t xml:space="preserve">*" OR "energy balance" OR "REDS" OR "LEA" OR "bone density" OR "bone mineral density" OR "stress fractur*" OR "hypogonadism" OR "hypothalamic-pituitary-gonadal axis" OR "disordered eating" OR "eating disorder") AND ("male </w:t>
            </w:r>
            <w:proofErr w:type="spellStart"/>
            <w:r w:rsidRPr="007170AB">
              <w:rPr>
                <w:rFonts w:ascii="Palatino Linotype" w:hAnsi="Palatino Linotype" w:cs="Arial"/>
                <w:sz w:val="20"/>
                <w:szCs w:val="20"/>
              </w:rPr>
              <w:t>athlet</w:t>
            </w:r>
            <w:proofErr w:type="spellEnd"/>
            <w:r w:rsidRPr="007170AB">
              <w:rPr>
                <w:rFonts w:ascii="Palatino Linotype" w:hAnsi="Palatino Linotype" w:cs="Arial"/>
                <w:sz w:val="20"/>
                <w:szCs w:val="20"/>
              </w:rPr>
              <w:t>*") AND ("</w:t>
            </w:r>
            <w:proofErr w:type="spellStart"/>
            <w:r w:rsidRPr="007170AB">
              <w:rPr>
                <w:rFonts w:ascii="Palatino Linotype" w:hAnsi="Palatino Linotype" w:cs="Arial"/>
                <w:sz w:val="20"/>
                <w:szCs w:val="20"/>
              </w:rPr>
              <w:t>perfomanc</w:t>
            </w:r>
            <w:proofErr w:type="spellEnd"/>
            <w:r w:rsidRPr="007170AB">
              <w:rPr>
                <w:rFonts w:ascii="Palatino Linotype" w:hAnsi="Palatino Linotype" w:cs="Arial"/>
                <w:sz w:val="20"/>
                <w:szCs w:val="20"/>
              </w:rPr>
              <w:t>*" OR "</w:t>
            </w:r>
            <w:proofErr w:type="spellStart"/>
            <w:r w:rsidRPr="007170AB">
              <w:rPr>
                <w:rFonts w:ascii="Palatino Linotype" w:hAnsi="Palatino Linotype" w:cs="Arial"/>
                <w:sz w:val="20"/>
                <w:szCs w:val="20"/>
              </w:rPr>
              <w:t>exercis</w:t>
            </w:r>
            <w:proofErr w:type="spellEnd"/>
            <w:r w:rsidRPr="007170AB">
              <w:rPr>
                <w:rFonts w:ascii="Palatino Linotype" w:hAnsi="Palatino Linotype" w:cs="Arial"/>
                <w:sz w:val="20"/>
                <w:szCs w:val="20"/>
              </w:rPr>
              <w:t>*" OR "overtraining" OR "endurance" OR "running" OR "cycling" OR "swimming" OR "jockeys" OR "boxing" OR "rowers")</w:t>
            </w:r>
          </w:p>
        </w:tc>
        <w:tc>
          <w:tcPr>
            <w:tcW w:w="612" w:type="pct"/>
          </w:tcPr>
          <w:p w14:paraId="2D9B3125" w14:textId="218DC18C" w:rsidR="00760FC7" w:rsidRPr="00610969" w:rsidRDefault="0038692B" w:rsidP="00D81343">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Pr>
                <w:rFonts w:ascii="Palatino Linotype" w:hAnsi="Palatino Linotype" w:cs="Arial"/>
                <w:sz w:val="20"/>
                <w:szCs w:val="20"/>
              </w:rPr>
              <w:t>284</w:t>
            </w:r>
          </w:p>
        </w:tc>
        <w:tc>
          <w:tcPr>
            <w:tcW w:w="467" w:type="pct"/>
          </w:tcPr>
          <w:p w14:paraId="0A6ADC1C" w14:textId="6495DD9E" w:rsidR="00760FC7" w:rsidRPr="00610969" w:rsidRDefault="00CB5C10" w:rsidP="00D81343">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Pr>
                <w:rFonts w:ascii="Palatino Linotype" w:hAnsi="Palatino Linotype" w:cs="Arial"/>
                <w:sz w:val="20"/>
                <w:szCs w:val="20"/>
              </w:rPr>
              <w:t>April 16, 2024</w:t>
            </w:r>
          </w:p>
        </w:tc>
      </w:tr>
      <w:tr w:rsidR="00760FC7" w:rsidRPr="007170AB" w14:paraId="1B520BEB" w14:textId="77777777" w:rsidTr="003A54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pct"/>
          </w:tcPr>
          <w:p w14:paraId="0006A50C" w14:textId="65A078EA" w:rsidR="00760FC7" w:rsidRPr="005F2929" w:rsidRDefault="00437BB3" w:rsidP="00D81343">
            <w:pPr>
              <w:jc w:val="center"/>
              <w:rPr>
                <w:rFonts w:ascii="Palatino Linotype" w:hAnsi="Palatino Linotype" w:cs="Arial"/>
                <w:b w:val="0"/>
                <w:bCs w:val="0"/>
                <w:sz w:val="20"/>
                <w:szCs w:val="20"/>
              </w:rPr>
            </w:pPr>
            <w:proofErr w:type="spellStart"/>
            <w:r>
              <w:rPr>
                <w:rFonts w:ascii="Palatino Linotype" w:hAnsi="Palatino Linotype" w:cs="Arial"/>
                <w:b w:val="0"/>
                <w:bCs w:val="0"/>
                <w:sz w:val="20"/>
                <w:szCs w:val="20"/>
              </w:rPr>
              <w:t>SPORTDiscus</w:t>
            </w:r>
            <w:proofErr w:type="spellEnd"/>
          </w:p>
        </w:tc>
        <w:tc>
          <w:tcPr>
            <w:tcW w:w="3021" w:type="pct"/>
          </w:tcPr>
          <w:p w14:paraId="27466E3D" w14:textId="7A9041AE" w:rsidR="00760FC7" w:rsidRPr="00610969" w:rsidRDefault="007170AB" w:rsidP="00D81343">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7170AB">
              <w:rPr>
                <w:rFonts w:ascii="Palatino Linotype" w:hAnsi="Palatino Linotype" w:cs="Arial"/>
                <w:sz w:val="20"/>
                <w:szCs w:val="20"/>
              </w:rPr>
              <w:t xml:space="preserve">("relative energy </w:t>
            </w:r>
            <w:proofErr w:type="spellStart"/>
            <w:r w:rsidRPr="007170AB">
              <w:rPr>
                <w:rFonts w:ascii="Palatino Linotype" w:hAnsi="Palatino Linotype" w:cs="Arial"/>
                <w:sz w:val="20"/>
                <w:szCs w:val="20"/>
              </w:rPr>
              <w:t>deficienc</w:t>
            </w:r>
            <w:proofErr w:type="spellEnd"/>
            <w:r w:rsidRPr="007170AB">
              <w:rPr>
                <w:rFonts w:ascii="Palatino Linotype" w:hAnsi="Palatino Linotype" w:cs="Arial"/>
                <w:sz w:val="20"/>
                <w:szCs w:val="20"/>
              </w:rPr>
              <w:t xml:space="preserve">*" OR "male athlete triad" OR "triad" OR "energy intake </w:t>
            </w:r>
            <w:proofErr w:type="spellStart"/>
            <w:r w:rsidRPr="007170AB">
              <w:rPr>
                <w:rFonts w:ascii="Palatino Linotype" w:hAnsi="Palatino Linotype" w:cs="Arial"/>
                <w:sz w:val="20"/>
                <w:szCs w:val="20"/>
              </w:rPr>
              <w:t>deficienc</w:t>
            </w:r>
            <w:proofErr w:type="spellEnd"/>
            <w:r w:rsidRPr="007170AB">
              <w:rPr>
                <w:rFonts w:ascii="Palatino Linotype" w:hAnsi="Palatino Linotype" w:cs="Arial"/>
                <w:sz w:val="20"/>
                <w:szCs w:val="20"/>
              </w:rPr>
              <w:t xml:space="preserve">*" OR "low energy availability" OR "low energy </w:t>
            </w:r>
            <w:proofErr w:type="spellStart"/>
            <w:r w:rsidRPr="007170AB">
              <w:rPr>
                <w:rFonts w:ascii="Palatino Linotype" w:hAnsi="Palatino Linotype" w:cs="Arial"/>
                <w:sz w:val="20"/>
                <w:szCs w:val="20"/>
              </w:rPr>
              <w:t>intak</w:t>
            </w:r>
            <w:proofErr w:type="spellEnd"/>
            <w:r w:rsidRPr="007170AB">
              <w:rPr>
                <w:rFonts w:ascii="Palatino Linotype" w:hAnsi="Palatino Linotype" w:cs="Arial"/>
                <w:sz w:val="20"/>
                <w:szCs w:val="20"/>
              </w:rPr>
              <w:t xml:space="preserve">*" OR "energy balance" OR "REDS" OR "LEA" OR "bone density" OR "bone mineral density" OR "stress fractur*" OR "hypogonadism" OR "hypothalamic-pituitary-gonadal axis" OR "disordered eating" OR "eating disorder") AND ("male </w:t>
            </w:r>
            <w:proofErr w:type="spellStart"/>
            <w:r w:rsidRPr="007170AB">
              <w:rPr>
                <w:rFonts w:ascii="Palatino Linotype" w:hAnsi="Palatino Linotype" w:cs="Arial"/>
                <w:sz w:val="20"/>
                <w:szCs w:val="20"/>
              </w:rPr>
              <w:t>athlet</w:t>
            </w:r>
            <w:proofErr w:type="spellEnd"/>
            <w:r w:rsidRPr="007170AB">
              <w:rPr>
                <w:rFonts w:ascii="Palatino Linotype" w:hAnsi="Palatino Linotype" w:cs="Arial"/>
                <w:sz w:val="20"/>
                <w:szCs w:val="20"/>
              </w:rPr>
              <w:t>*") AND ("</w:t>
            </w:r>
            <w:proofErr w:type="spellStart"/>
            <w:r w:rsidRPr="007170AB">
              <w:rPr>
                <w:rFonts w:ascii="Palatino Linotype" w:hAnsi="Palatino Linotype" w:cs="Arial"/>
                <w:sz w:val="20"/>
                <w:szCs w:val="20"/>
              </w:rPr>
              <w:t>perfomanc</w:t>
            </w:r>
            <w:proofErr w:type="spellEnd"/>
            <w:r w:rsidRPr="007170AB">
              <w:rPr>
                <w:rFonts w:ascii="Palatino Linotype" w:hAnsi="Palatino Linotype" w:cs="Arial"/>
                <w:sz w:val="20"/>
                <w:szCs w:val="20"/>
              </w:rPr>
              <w:t>*" OR "</w:t>
            </w:r>
            <w:proofErr w:type="spellStart"/>
            <w:r w:rsidRPr="007170AB">
              <w:rPr>
                <w:rFonts w:ascii="Palatino Linotype" w:hAnsi="Palatino Linotype" w:cs="Arial"/>
                <w:sz w:val="20"/>
                <w:szCs w:val="20"/>
              </w:rPr>
              <w:t>exercis</w:t>
            </w:r>
            <w:proofErr w:type="spellEnd"/>
            <w:r w:rsidRPr="007170AB">
              <w:rPr>
                <w:rFonts w:ascii="Palatino Linotype" w:hAnsi="Palatino Linotype" w:cs="Arial"/>
                <w:sz w:val="20"/>
                <w:szCs w:val="20"/>
              </w:rPr>
              <w:t>*" OR "overtraining" OR "endurance" OR "running" OR "cycling" OR "swimming" OR "jockeys" OR "boxing" OR "rowers")</w:t>
            </w:r>
          </w:p>
        </w:tc>
        <w:tc>
          <w:tcPr>
            <w:tcW w:w="612" w:type="pct"/>
          </w:tcPr>
          <w:p w14:paraId="60759821" w14:textId="1B2C9F4F" w:rsidR="00760FC7" w:rsidRPr="00610969" w:rsidRDefault="00B6195D" w:rsidP="00D81343">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Pr>
                <w:rFonts w:ascii="Palatino Linotype" w:hAnsi="Palatino Linotype" w:cs="Arial"/>
                <w:sz w:val="20"/>
                <w:szCs w:val="20"/>
              </w:rPr>
              <w:t>118</w:t>
            </w:r>
          </w:p>
        </w:tc>
        <w:tc>
          <w:tcPr>
            <w:tcW w:w="467" w:type="pct"/>
          </w:tcPr>
          <w:p w14:paraId="53FFE71C" w14:textId="6463DA5A" w:rsidR="00760FC7" w:rsidRPr="00610969" w:rsidRDefault="00CB5C10" w:rsidP="00D81343">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Pr>
                <w:rFonts w:ascii="Palatino Linotype" w:hAnsi="Palatino Linotype" w:cs="Arial"/>
                <w:sz w:val="20"/>
                <w:szCs w:val="20"/>
              </w:rPr>
              <w:t>April 16, 2024</w:t>
            </w:r>
          </w:p>
        </w:tc>
      </w:tr>
    </w:tbl>
    <w:p w14:paraId="41E41389" w14:textId="77777777" w:rsidR="00DA254E" w:rsidRPr="002C080C" w:rsidRDefault="00DA254E" w:rsidP="00EA760B">
      <w:pPr>
        <w:rPr>
          <w:rFonts w:ascii="Palatino Linotype" w:hAnsi="Palatino Linotype" w:cs="Arial"/>
          <w:sz w:val="20"/>
          <w:szCs w:val="20"/>
          <w:lang w:val="en-US"/>
        </w:rPr>
      </w:pPr>
    </w:p>
    <w:tbl>
      <w:tblPr>
        <w:tblStyle w:val="Tablanormal2"/>
        <w:tblW w:w="5000" w:type="pct"/>
        <w:tblLook w:val="04A0" w:firstRow="1" w:lastRow="0" w:firstColumn="1" w:lastColumn="0" w:noHBand="0" w:noVBand="1"/>
      </w:tblPr>
      <w:tblGrid>
        <w:gridCol w:w="5954"/>
        <w:gridCol w:w="2544"/>
      </w:tblGrid>
      <w:tr w:rsidR="00B90284" w:rsidRPr="008C3DB3" w14:paraId="751D2F30" w14:textId="77777777" w:rsidTr="00D924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nil"/>
              <w:bottom w:val="single" w:sz="4" w:space="0" w:color="auto"/>
            </w:tcBorders>
          </w:tcPr>
          <w:p w14:paraId="4958F789" w14:textId="55871CB9" w:rsidR="00B90284" w:rsidRPr="002C080C" w:rsidRDefault="00B90284" w:rsidP="00B90284">
            <w:pPr>
              <w:rPr>
                <w:rFonts w:ascii="Palatino Linotype" w:hAnsi="Palatino Linotype" w:cs="Arial"/>
                <w:sz w:val="20"/>
                <w:szCs w:val="20"/>
              </w:rPr>
            </w:pPr>
            <w:r w:rsidRPr="002C080C">
              <w:rPr>
                <w:rFonts w:ascii="Palatino Linotype" w:hAnsi="Palatino Linotype" w:cs="Arial"/>
                <w:sz w:val="20"/>
                <w:szCs w:val="20"/>
              </w:rPr>
              <w:lastRenderedPageBreak/>
              <w:t>Tabl</w:t>
            </w:r>
            <w:r w:rsidR="00E57C19" w:rsidRPr="002C080C">
              <w:rPr>
                <w:rFonts w:ascii="Palatino Linotype" w:hAnsi="Palatino Linotype" w:cs="Arial"/>
                <w:sz w:val="20"/>
                <w:szCs w:val="20"/>
              </w:rPr>
              <w:t>e</w:t>
            </w:r>
            <w:r w:rsidRPr="002C080C">
              <w:rPr>
                <w:rFonts w:ascii="Palatino Linotype" w:hAnsi="Palatino Linotype" w:cs="Arial"/>
                <w:sz w:val="20"/>
                <w:szCs w:val="20"/>
              </w:rPr>
              <w:t xml:space="preserve"> </w:t>
            </w:r>
            <w:r w:rsidR="003603C7" w:rsidRPr="002C080C">
              <w:rPr>
                <w:rFonts w:ascii="Palatino Linotype" w:hAnsi="Palatino Linotype" w:cs="Arial"/>
                <w:sz w:val="20"/>
                <w:szCs w:val="20"/>
              </w:rPr>
              <w:t>S</w:t>
            </w:r>
            <w:r w:rsidR="00DA254E">
              <w:rPr>
                <w:rFonts w:ascii="Palatino Linotype" w:hAnsi="Palatino Linotype" w:cs="Arial"/>
                <w:sz w:val="20"/>
                <w:szCs w:val="20"/>
              </w:rPr>
              <w:t>2</w:t>
            </w:r>
            <w:r w:rsidRPr="002C080C">
              <w:rPr>
                <w:rFonts w:ascii="Palatino Linotype" w:hAnsi="Palatino Linotype" w:cs="Arial"/>
                <w:sz w:val="20"/>
                <w:szCs w:val="20"/>
              </w:rPr>
              <w:t xml:space="preserve">. </w:t>
            </w:r>
            <w:r w:rsidR="00CD5ADE" w:rsidRPr="002C080C">
              <w:rPr>
                <w:rFonts w:ascii="Palatino Linotype" w:hAnsi="Palatino Linotype" w:cs="Arial"/>
                <w:b w:val="0"/>
                <w:bCs w:val="0"/>
                <w:sz w:val="20"/>
                <w:szCs w:val="20"/>
              </w:rPr>
              <w:t>Reasons for exclusion</w:t>
            </w:r>
            <w:r w:rsidRPr="002C080C">
              <w:rPr>
                <w:rFonts w:ascii="Palatino Linotype" w:hAnsi="Palatino Linotype" w:cs="Arial"/>
                <w:b w:val="0"/>
                <w:bCs w:val="0"/>
                <w:sz w:val="20"/>
                <w:szCs w:val="20"/>
              </w:rPr>
              <w:t>.</w:t>
            </w:r>
          </w:p>
        </w:tc>
      </w:tr>
      <w:tr w:rsidR="009E5641" w:rsidRPr="002C080C" w14:paraId="6C00EE9C" w14:textId="77777777" w:rsidTr="007D78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3" w:type="pct"/>
            <w:tcBorders>
              <w:top w:val="single" w:sz="4" w:space="0" w:color="auto"/>
              <w:bottom w:val="single" w:sz="4" w:space="0" w:color="auto"/>
            </w:tcBorders>
          </w:tcPr>
          <w:p w14:paraId="03479B70" w14:textId="232AE5C9" w:rsidR="009E5641" w:rsidRPr="002C080C" w:rsidRDefault="00CD5ADE" w:rsidP="00BF1B42">
            <w:pPr>
              <w:jc w:val="center"/>
              <w:rPr>
                <w:rFonts w:ascii="Palatino Linotype" w:hAnsi="Palatino Linotype" w:cs="Arial"/>
                <w:sz w:val="20"/>
                <w:szCs w:val="20"/>
              </w:rPr>
            </w:pPr>
            <w:r w:rsidRPr="002C080C">
              <w:rPr>
                <w:rFonts w:ascii="Palatino Linotype" w:hAnsi="Palatino Linotype" w:cs="Arial"/>
                <w:sz w:val="20"/>
                <w:szCs w:val="20"/>
              </w:rPr>
              <w:t>Reason</w:t>
            </w:r>
          </w:p>
        </w:tc>
        <w:tc>
          <w:tcPr>
            <w:tcW w:w="1497" w:type="pct"/>
            <w:tcBorders>
              <w:top w:val="single" w:sz="4" w:space="0" w:color="auto"/>
              <w:bottom w:val="single" w:sz="4" w:space="0" w:color="auto"/>
            </w:tcBorders>
          </w:tcPr>
          <w:p w14:paraId="6D22D2E1" w14:textId="42CF0551" w:rsidR="009E5641" w:rsidRPr="002C080C" w:rsidRDefault="00CD5ADE" w:rsidP="00BF1B42">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b/>
                <w:bCs/>
                <w:sz w:val="20"/>
                <w:szCs w:val="20"/>
              </w:rPr>
            </w:pPr>
            <w:r w:rsidRPr="002C080C">
              <w:rPr>
                <w:rFonts w:ascii="Palatino Linotype" w:hAnsi="Palatino Linotype" w:cs="Arial"/>
                <w:b/>
                <w:bCs/>
                <w:sz w:val="20"/>
                <w:szCs w:val="20"/>
              </w:rPr>
              <w:t>Number</w:t>
            </w:r>
          </w:p>
        </w:tc>
      </w:tr>
      <w:tr w:rsidR="009E5641" w:rsidRPr="002C080C" w14:paraId="0CE49560" w14:textId="77777777" w:rsidTr="007D7856">
        <w:tc>
          <w:tcPr>
            <w:cnfStyle w:val="001000000000" w:firstRow="0" w:lastRow="0" w:firstColumn="1" w:lastColumn="0" w:oddVBand="0" w:evenVBand="0" w:oddHBand="0" w:evenHBand="0" w:firstRowFirstColumn="0" w:firstRowLastColumn="0" w:lastRowFirstColumn="0" w:lastRowLastColumn="0"/>
            <w:tcW w:w="3503" w:type="pct"/>
            <w:tcBorders>
              <w:top w:val="single" w:sz="4" w:space="0" w:color="auto"/>
            </w:tcBorders>
          </w:tcPr>
          <w:p w14:paraId="7ACEC497" w14:textId="3BB54437" w:rsidR="009E5641" w:rsidRPr="009E128B" w:rsidRDefault="00070F9D" w:rsidP="00BF1B42">
            <w:pPr>
              <w:jc w:val="center"/>
              <w:rPr>
                <w:rFonts w:ascii="Palatino Linotype" w:hAnsi="Palatino Linotype" w:cs="Arial"/>
                <w:b w:val="0"/>
                <w:bCs w:val="0"/>
                <w:sz w:val="20"/>
                <w:szCs w:val="20"/>
              </w:rPr>
            </w:pPr>
            <w:r w:rsidRPr="009E128B">
              <w:rPr>
                <w:rFonts w:ascii="Palatino Linotype" w:hAnsi="Palatino Linotype" w:cs="Arial"/>
                <w:b w:val="0"/>
                <w:bCs w:val="0"/>
                <w:sz w:val="20"/>
                <w:szCs w:val="20"/>
              </w:rPr>
              <w:t xml:space="preserve">No </w:t>
            </w:r>
            <w:r w:rsidR="009E128B" w:rsidRPr="009E128B">
              <w:rPr>
                <w:rFonts w:ascii="Palatino Linotype" w:hAnsi="Palatino Linotype" w:cs="Arial"/>
                <w:b w:val="0"/>
                <w:bCs w:val="0"/>
                <w:sz w:val="20"/>
                <w:szCs w:val="20"/>
              </w:rPr>
              <w:t>estimation</w:t>
            </w:r>
            <w:r w:rsidRPr="009E128B">
              <w:rPr>
                <w:rFonts w:ascii="Palatino Linotype" w:hAnsi="Palatino Linotype" w:cs="Arial"/>
                <w:b w:val="0"/>
                <w:bCs w:val="0"/>
                <w:sz w:val="20"/>
                <w:szCs w:val="20"/>
              </w:rPr>
              <w:t xml:space="preserve"> </w:t>
            </w:r>
            <w:r w:rsidR="009E128B" w:rsidRPr="009E128B">
              <w:rPr>
                <w:rFonts w:ascii="Palatino Linotype" w:hAnsi="Palatino Linotype" w:cs="Arial"/>
                <w:b w:val="0"/>
                <w:bCs w:val="0"/>
                <w:sz w:val="20"/>
                <w:szCs w:val="20"/>
              </w:rPr>
              <w:t>of dietary energy intake</w:t>
            </w:r>
          </w:p>
        </w:tc>
        <w:tc>
          <w:tcPr>
            <w:tcW w:w="1497" w:type="pct"/>
            <w:tcBorders>
              <w:top w:val="single" w:sz="4" w:space="0" w:color="auto"/>
            </w:tcBorders>
          </w:tcPr>
          <w:p w14:paraId="6958C0AD" w14:textId="77777777" w:rsidR="009E5641" w:rsidRPr="002C080C" w:rsidRDefault="009E5641" w:rsidP="00BF1B42">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(1)</w:t>
            </w:r>
          </w:p>
        </w:tc>
      </w:tr>
      <w:tr w:rsidR="009E5641" w:rsidRPr="002C080C" w14:paraId="695AC4C7" w14:textId="77777777" w:rsidTr="007D78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3" w:type="pct"/>
          </w:tcPr>
          <w:p w14:paraId="38434643" w14:textId="4DE44524" w:rsidR="009E5641" w:rsidRPr="009E128B" w:rsidRDefault="00070F9D" w:rsidP="00BF1B42">
            <w:pPr>
              <w:jc w:val="center"/>
              <w:rPr>
                <w:rFonts w:ascii="Palatino Linotype" w:hAnsi="Palatino Linotype" w:cs="Arial"/>
                <w:b w:val="0"/>
                <w:bCs w:val="0"/>
                <w:sz w:val="20"/>
                <w:szCs w:val="20"/>
              </w:rPr>
            </w:pPr>
            <w:r w:rsidRPr="009E128B">
              <w:rPr>
                <w:rFonts w:ascii="Palatino Linotype" w:hAnsi="Palatino Linotype" w:cs="Arial"/>
                <w:b w:val="0"/>
                <w:bCs w:val="0"/>
                <w:sz w:val="20"/>
                <w:szCs w:val="20"/>
              </w:rPr>
              <w:t xml:space="preserve">No </w:t>
            </w:r>
            <w:r w:rsidR="009E128B" w:rsidRPr="009E128B">
              <w:rPr>
                <w:rFonts w:ascii="Palatino Linotype" w:hAnsi="Palatino Linotype" w:cs="Arial"/>
                <w:b w:val="0"/>
                <w:bCs w:val="0"/>
                <w:sz w:val="20"/>
                <w:szCs w:val="20"/>
              </w:rPr>
              <w:t>estimation</w:t>
            </w:r>
            <w:r w:rsidRPr="009E128B">
              <w:rPr>
                <w:rFonts w:ascii="Palatino Linotype" w:hAnsi="Palatino Linotype" w:cs="Arial"/>
                <w:b w:val="0"/>
                <w:bCs w:val="0"/>
                <w:sz w:val="20"/>
                <w:szCs w:val="20"/>
              </w:rPr>
              <w:t xml:space="preserve"> </w:t>
            </w:r>
            <w:r w:rsidR="009E128B" w:rsidRPr="009E128B">
              <w:rPr>
                <w:rFonts w:ascii="Palatino Linotype" w:hAnsi="Palatino Linotype" w:cs="Arial"/>
                <w:b w:val="0"/>
                <w:bCs w:val="0"/>
                <w:sz w:val="20"/>
                <w:szCs w:val="20"/>
              </w:rPr>
              <w:t>of exercise energy expenditure</w:t>
            </w:r>
          </w:p>
        </w:tc>
        <w:tc>
          <w:tcPr>
            <w:tcW w:w="1497" w:type="pct"/>
          </w:tcPr>
          <w:p w14:paraId="07EB4FA3" w14:textId="77777777" w:rsidR="009E5641" w:rsidRPr="002C080C" w:rsidRDefault="009E5641" w:rsidP="00BF1B42">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(2)</w:t>
            </w:r>
          </w:p>
        </w:tc>
      </w:tr>
      <w:tr w:rsidR="009E5641" w:rsidRPr="002C080C" w14:paraId="10E64DB6" w14:textId="77777777" w:rsidTr="007D7856">
        <w:tc>
          <w:tcPr>
            <w:cnfStyle w:val="001000000000" w:firstRow="0" w:lastRow="0" w:firstColumn="1" w:lastColumn="0" w:oddVBand="0" w:evenVBand="0" w:oddHBand="0" w:evenHBand="0" w:firstRowFirstColumn="0" w:firstRowLastColumn="0" w:lastRowFirstColumn="0" w:lastRowLastColumn="0"/>
            <w:tcW w:w="3503" w:type="pct"/>
          </w:tcPr>
          <w:p w14:paraId="5A3BF8B5" w14:textId="6068C204" w:rsidR="009E5641" w:rsidRPr="005F2929" w:rsidRDefault="00984F2B" w:rsidP="00BF1B42">
            <w:pPr>
              <w:jc w:val="center"/>
              <w:rPr>
                <w:rFonts w:ascii="Palatino Linotype" w:hAnsi="Palatino Linotype" w:cs="Arial"/>
                <w:b w:val="0"/>
                <w:bCs w:val="0"/>
                <w:sz w:val="20"/>
                <w:szCs w:val="20"/>
              </w:rPr>
            </w:pPr>
            <w:r w:rsidRPr="005F2929">
              <w:rPr>
                <w:rFonts w:ascii="Palatino Linotype" w:hAnsi="Palatino Linotype" w:cs="Arial"/>
                <w:b w:val="0"/>
                <w:bCs w:val="0"/>
                <w:sz w:val="20"/>
                <w:szCs w:val="20"/>
              </w:rPr>
              <w:t>No</w:t>
            </w:r>
            <w:r w:rsidR="005F2929" w:rsidRPr="005F2929">
              <w:rPr>
                <w:rFonts w:ascii="Palatino Linotype" w:hAnsi="Palatino Linotype" w:cs="Arial"/>
                <w:b w:val="0"/>
                <w:bCs w:val="0"/>
                <w:sz w:val="20"/>
                <w:szCs w:val="20"/>
              </w:rPr>
              <w:t>t</w:t>
            </w:r>
            <w:r w:rsidRPr="005F2929">
              <w:rPr>
                <w:rFonts w:ascii="Palatino Linotype" w:hAnsi="Palatino Linotype" w:cs="Arial"/>
                <w:b w:val="0"/>
                <w:bCs w:val="0"/>
                <w:sz w:val="20"/>
                <w:szCs w:val="20"/>
              </w:rPr>
              <w:t xml:space="preserve"> </w:t>
            </w:r>
            <w:r w:rsidR="005F2929" w:rsidRPr="005F2929">
              <w:rPr>
                <w:rFonts w:ascii="Palatino Linotype" w:hAnsi="Palatino Linotype" w:cs="Arial"/>
                <w:b w:val="0"/>
                <w:bCs w:val="0"/>
                <w:sz w:val="20"/>
                <w:szCs w:val="20"/>
              </w:rPr>
              <w:t>conducted</w:t>
            </w:r>
            <w:r w:rsidRPr="005F2929">
              <w:rPr>
                <w:rFonts w:ascii="Palatino Linotype" w:hAnsi="Palatino Linotype" w:cs="Arial"/>
                <w:b w:val="0"/>
                <w:bCs w:val="0"/>
                <w:sz w:val="20"/>
                <w:szCs w:val="20"/>
              </w:rPr>
              <w:t xml:space="preserve"> </w:t>
            </w:r>
            <w:r w:rsidR="005F2929" w:rsidRPr="005F2929">
              <w:rPr>
                <w:rFonts w:ascii="Palatino Linotype" w:hAnsi="Palatino Linotype" w:cs="Arial"/>
                <w:b w:val="0"/>
                <w:bCs w:val="0"/>
                <w:sz w:val="20"/>
                <w:szCs w:val="20"/>
              </w:rPr>
              <w:t>in</w:t>
            </w:r>
            <w:r w:rsidRPr="005F2929">
              <w:rPr>
                <w:rFonts w:ascii="Palatino Linotype" w:hAnsi="Palatino Linotype" w:cs="Arial"/>
                <w:b w:val="0"/>
                <w:bCs w:val="0"/>
                <w:sz w:val="20"/>
                <w:szCs w:val="20"/>
              </w:rPr>
              <w:t xml:space="preserve"> </w:t>
            </w:r>
            <w:r w:rsidR="005F2929">
              <w:rPr>
                <w:rFonts w:ascii="Palatino Linotype" w:hAnsi="Palatino Linotype" w:cs="Arial"/>
                <w:b w:val="0"/>
                <w:bCs w:val="0"/>
                <w:sz w:val="20"/>
                <w:szCs w:val="20"/>
              </w:rPr>
              <w:t xml:space="preserve">adult </w:t>
            </w:r>
            <w:r w:rsidR="005F2929" w:rsidRPr="005F2929">
              <w:rPr>
                <w:rFonts w:ascii="Palatino Linotype" w:hAnsi="Palatino Linotype" w:cs="Arial"/>
                <w:b w:val="0"/>
                <w:bCs w:val="0"/>
                <w:sz w:val="20"/>
                <w:szCs w:val="20"/>
              </w:rPr>
              <w:t>male athletes</w:t>
            </w:r>
          </w:p>
        </w:tc>
        <w:tc>
          <w:tcPr>
            <w:tcW w:w="1497" w:type="pct"/>
          </w:tcPr>
          <w:p w14:paraId="49C11F9B" w14:textId="77777777" w:rsidR="009E5641" w:rsidRPr="002C080C" w:rsidRDefault="009E5641" w:rsidP="00BF1B42">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(3)</w:t>
            </w:r>
          </w:p>
        </w:tc>
      </w:tr>
      <w:tr w:rsidR="007D7856" w:rsidRPr="002C080C" w14:paraId="3C8501EB" w14:textId="77777777" w:rsidTr="007D78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3" w:type="pct"/>
          </w:tcPr>
          <w:p w14:paraId="4407DB0D" w14:textId="0751C8FD" w:rsidR="007D7856" w:rsidRPr="005F2929" w:rsidRDefault="007D7856" w:rsidP="00BF1B42">
            <w:pPr>
              <w:jc w:val="center"/>
              <w:rPr>
                <w:rFonts w:ascii="Palatino Linotype" w:hAnsi="Palatino Linotype" w:cs="Arial"/>
                <w:b w:val="0"/>
                <w:bCs w:val="0"/>
                <w:sz w:val="20"/>
                <w:szCs w:val="20"/>
              </w:rPr>
            </w:pPr>
            <w:r w:rsidRPr="005F2929">
              <w:rPr>
                <w:rFonts w:ascii="Palatino Linotype" w:hAnsi="Palatino Linotype" w:cs="Arial"/>
                <w:b w:val="0"/>
                <w:bCs w:val="0"/>
                <w:sz w:val="20"/>
                <w:szCs w:val="20"/>
              </w:rPr>
              <w:t xml:space="preserve">No </w:t>
            </w:r>
            <w:r w:rsidR="005F2929" w:rsidRPr="005F2929">
              <w:rPr>
                <w:rFonts w:ascii="Palatino Linotype" w:hAnsi="Palatino Linotype" w:cs="Arial"/>
                <w:b w:val="0"/>
                <w:bCs w:val="0"/>
                <w:sz w:val="20"/>
                <w:szCs w:val="20"/>
              </w:rPr>
              <w:t>evaluation of</w:t>
            </w:r>
            <w:r w:rsidRPr="005F2929">
              <w:rPr>
                <w:rFonts w:ascii="Palatino Linotype" w:hAnsi="Palatino Linotype" w:cs="Arial"/>
                <w:b w:val="0"/>
                <w:bCs w:val="0"/>
                <w:sz w:val="20"/>
                <w:szCs w:val="20"/>
              </w:rPr>
              <w:t xml:space="preserve"> </w:t>
            </w:r>
            <w:r w:rsidR="005F2929" w:rsidRPr="005F2929">
              <w:rPr>
                <w:rFonts w:ascii="Palatino Linotype" w:hAnsi="Palatino Linotype" w:cs="Arial"/>
                <w:b w:val="0"/>
                <w:bCs w:val="0"/>
                <w:sz w:val="20"/>
                <w:szCs w:val="20"/>
              </w:rPr>
              <w:t>blood parameters or athletic performance</w:t>
            </w:r>
          </w:p>
        </w:tc>
        <w:tc>
          <w:tcPr>
            <w:tcW w:w="1497" w:type="pct"/>
          </w:tcPr>
          <w:p w14:paraId="7C6B5411" w14:textId="32D876AF" w:rsidR="007D7856" w:rsidRPr="002C080C" w:rsidRDefault="007D7856" w:rsidP="00BF1B42">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(4)</w:t>
            </w:r>
          </w:p>
        </w:tc>
      </w:tr>
    </w:tbl>
    <w:p w14:paraId="0BE0E74F" w14:textId="77777777" w:rsidR="00420BC5" w:rsidRDefault="00420BC5" w:rsidP="00EA760B">
      <w:pPr>
        <w:rPr>
          <w:rFonts w:ascii="Palatino Linotype" w:hAnsi="Palatino Linotype" w:cs="Arial"/>
          <w:sz w:val="20"/>
          <w:szCs w:val="20"/>
          <w:lang w:val="en-US"/>
        </w:rPr>
      </w:pPr>
    </w:p>
    <w:p w14:paraId="183D2918" w14:textId="77777777" w:rsidR="00E67051" w:rsidRPr="002C080C" w:rsidRDefault="00E67051" w:rsidP="00EA760B">
      <w:pPr>
        <w:rPr>
          <w:rFonts w:ascii="Palatino Linotype" w:hAnsi="Palatino Linotype" w:cs="Arial"/>
          <w:sz w:val="20"/>
          <w:szCs w:val="20"/>
          <w:lang w:val="en-US"/>
        </w:rPr>
      </w:pPr>
    </w:p>
    <w:tbl>
      <w:tblPr>
        <w:tblStyle w:val="Tablanormal2"/>
        <w:tblW w:w="5000" w:type="pct"/>
        <w:tblLook w:val="04A0" w:firstRow="1" w:lastRow="0" w:firstColumn="1" w:lastColumn="0" w:noHBand="0" w:noVBand="1"/>
      </w:tblPr>
      <w:tblGrid>
        <w:gridCol w:w="5813"/>
        <w:gridCol w:w="2685"/>
      </w:tblGrid>
      <w:tr w:rsidR="00B90284" w:rsidRPr="002C080C" w14:paraId="1EA205AF" w14:textId="77777777" w:rsidTr="00D924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Borders>
              <w:top w:val="nil"/>
              <w:bottom w:val="single" w:sz="4" w:space="0" w:color="auto"/>
            </w:tcBorders>
          </w:tcPr>
          <w:p w14:paraId="6A56CA76" w14:textId="4BCBE519" w:rsidR="00B90284" w:rsidRPr="002C080C" w:rsidRDefault="00B90284" w:rsidP="00B90284">
            <w:pPr>
              <w:rPr>
                <w:rFonts w:ascii="Palatino Linotype" w:hAnsi="Palatino Linotype" w:cs="Arial"/>
                <w:sz w:val="20"/>
                <w:szCs w:val="20"/>
              </w:rPr>
            </w:pPr>
            <w:r w:rsidRPr="002C080C">
              <w:rPr>
                <w:rFonts w:ascii="Palatino Linotype" w:hAnsi="Palatino Linotype" w:cs="Arial"/>
                <w:sz w:val="20"/>
                <w:szCs w:val="20"/>
              </w:rPr>
              <w:t>Tabl</w:t>
            </w:r>
            <w:r w:rsidR="00E57C19" w:rsidRPr="002C080C">
              <w:rPr>
                <w:rFonts w:ascii="Palatino Linotype" w:hAnsi="Palatino Linotype" w:cs="Arial"/>
                <w:sz w:val="20"/>
                <w:szCs w:val="20"/>
              </w:rPr>
              <w:t>e</w:t>
            </w:r>
            <w:r w:rsidRPr="002C080C">
              <w:rPr>
                <w:rFonts w:ascii="Palatino Linotype" w:hAnsi="Palatino Linotype" w:cs="Arial"/>
                <w:sz w:val="20"/>
                <w:szCs w:val="20"/>
              </w:rPr>
              <w:t xml:space="preserve"> </w:t>
            </w:r>
            <w:r w:rsidR="003603C7" w:rsidRPr="002C080C">
              <w:rPr>
                <w:rFonts w:ascii="Palatino Linotype" w:hAnsi="Palatino Linotype" w:cs="Arial"/>
                <w:sz w:val="20"/>
                <w:szCs w:val="20"/>
              </w:rPr>
              <w:t>S</w:t>
            </w:r>
            <w:r w:rsidR="00DA254E">
              <w:rPr>
                <w:rFonts w:ascii="Palatino Linotype" w:hAnsi="Palatino Linotype" w:cs="Arial"/>
                <w:sz w:val="20"/>
                <w:szCs w:val="20"/>
              </w:rPr>
              <w:t>3</w:t>
            </w:r>
            <w:r w:rsidRPr="002C080C">
              <w:rPr>
                <w:rFonts w:ascii="Palatino Linotype" w:hAnsi="Palatino Linotype" w:cs="Arial"/>
                <w:sz w:val="20"/>
                <w:szCs w:val="20"/>
              </w:rPr>
              <w:t xml:space="preserve">. </w:t>
            </w:r>
            <w:r w:rsidR="00CD5ADE" w:rsidRPr="002C080C">
              <w:rPr>
                <w:rFonts w:ascii="Palatino Linotype" w:hAnsi="Palatino Linotype" w:cs="Arial"/>
                <w:b w:val="0"/>
                <w:bCs w:val="0"/>
                <w:sz w:val="20"/>
                <w:szCs w:val="20"/>
              </w:rPr>
              <w:t>Excluded studies</w:t>
            </w:r>
            <w:r w:rsidRPr="002C080C">
              <w:rPr>
                <w:rFonts w:ascii="Palatino Linotype" w:hAnsi="Palatino Linotype" w:cs="Arial"/>
                <w:b w:val="0"/>
                <w:bCs w:val="0"/>
                <w:sz w:val="20"/>
                <w:szCs w:val="20"/>
              </w:rPr>
              <w:t>.</w:t>
            </w:r>
          </w:p>
        </w:tc>
      </w:tr>
      <w:tr w:rsidR="00420BC5" w:rsidRPr="002C080C" w14:paraId="0ED883F2"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Borders>
              <w:top w:val="single" w:sz="4" w:space="0" w:color="auto"/>
              <w:bottom w:val="single" w:sz="4" w:space="0" w:color="auto"/>
            </w:tcBorders>
          </w:tcPr>
          <w:p w14:paraId="22077057" w14:textId="5A850FA8" w:rsidR="00420BC5" w:rsidRPr="002C080C" w:rsidRDefault="00CD5ADE" w:rsidP="00BF1B42">
            <w:pPr>
              <w:jc w:val="center"/>
              <w:rPr>
                <w:rFonts w:ascii="Palatino Linotype" w:hAnsi="Palatino Linotype" w:cs="Arial"/>
                <w:sz w:val="20"/>
                <w:szCs w:val="20"/>
              </w:rPr>
            </w:pPr>
            <w:r w:rsidRPr="002C080C">
              <w:rPr>
                <w:rFonts w:ascii="Palatino Linotype" w:hAnsi="Palatino Linotype" w:cs="Arial"/>
                <w:sz w:val="20"/>
                <w:szCs w:val="20"/>
              </w:rPr>
              <w:t>Reference</w:t>
            </w:r>
          </w:p>
        </w:tc>
        <w:tc>
          <w:tcPr>
            <w:tcW w:w="1580" w:type="pct"/>
            <w:tcBorders>
              <w:top w:val="single" w:sz="4" w:space="0" w:color="auto"/>
              <w:bottom w:val="single" w:sz="4" w:space="0" w:color="auto"/>
            </w:tcBorders>
          </w:tcPr>
          <w:p w14:paraId="126D86C9" w14:textId="618906EC" w:rsidR="00420BC5" w:rsidRPr="002C080C" w:rsidRDefault="00CD5ADE" w:rsidP="00BF1B42">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b/>
                <w:bCs/>
                <w:sz w:val="20"/>
                <w:szCs w:val="20"/>
              </w:rPr>
            </w:pPr>
            <w:r w:rsidRPr="002C080C">
              <w:rPr>
                <w:rFonts w:ascii="Palatino Linotype" w:hAnsi="Palatino Linotype" w:cs="Arial"/>
                <w:b/>
                <w:bCs/>
                <w:sz w:val="20"/>
                <w:szCs w:val="20"/>
              </w:rPr>
              <w:t>Reason</w:t>
            </w:r>
          </w:p>
        </w:tc>
      </w:tr>
      <w:tr w:rsidR="00365D85" w:rsidRPr="002C080C" w14:paraId="55BFFE0D" w14:textId="77777777" w:rsidTr="002C080C">
        <w:tc>
          <w:tcPr>
            <w:cnfStyle w:val="001000000000" w:firstRow="0" w:lastRow="0" w:firstColumn="1" w:lastColumn="0" w:oddVBand="0" w:evenVBand="0" w:oddHBand="0" w:evenHBand="0" w:firstRowFirstColumn="0" w:firstRowLastColumn="0" w:lastRowFirstColumn="0" w:lastRowLastColumn="0"/>
            <w:tcW w:w="3420" w:type="pct"/>
            <w:tcBorders>
              <w:top w:val="single" w:sz="4" w:space="0" w:color="auto"/>
            </w:tcBorders>
          </w:tcPr>
          <w:p w14:paraId="09A1493F" w14:textId="70BA1E08" w:rsidR="00C36C83" w:rsidRPr="002C080C" w:rsidRDefault="00C36C83"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Abulmeaty et al., 2024</w:t>
            </w:r>
            <w:r w:rsidR="00A074B7" w:rsidRPr="002C080C">
              <w:rPr>
                <w:rFonts w:ascii="Palatino Linotype" w:hAnsi="Palatino Linotype" w:cs="Arial"/>
                <w:b w:val="0"/>
                <w:bCs w:val="0"/>
                <w:sz w:val="20"/>
                <w:szCs w:val="20"/>
              </w:rPr>
              <w:t xml:space="preserve"> </w:t>
            </w:r>
            <w:r w:rsidR="00AA1D76"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{"citationID":"atbn35pa5s","properties":{"formattedCitation":"[1]","plainCitation":"[1]","noteIndex":0},"citationItems":[{"id":18114,"uris":["http://zotero.org/users/10591407/items/WJASK8BL"],"itemData":{"id":18114,"type":"article-journal","abstract":"Active athletes frequently develop low energy (LEA) and protein availabilities (LPA) with consequent changes in the vital metabolic processes, especially resting metabolic rate (RMR) and substrate utilization. This study investigated the association of energy and protein intakes with RMR and substrate utilization in male and female athletes and those with LEA and LPA. Sixty athletes (35% female, 26.83 ± 7.12 y) were enrolled in this study. Anthropometric measurements and body composition analysis were reported to estimate fat-free mass (eFFM). Dietary intakes were recorded by two-day multiple-pass 24 h recall records and three-day food records and then analyzed by food processor software to calculate protein intake (PI) and energy intake (EI). Indirect calorimetry was used to measure RMR and percentages of substrate utilization. Activity–energy expenditure (AEE) was assessed by using an Actighrphy sensor for three days. Energy availability was calculated using the following formula (EA = EI − AEE/eFFM). The correlation of EI and PI with RMR and substrate utilization was tested with Pearson correlation. In the LEA group, both EI and PI correlated positively with RMR (r = 0.308, 0.355, respectively, p &lt; 0.05). In addition, EI showed a positive correlation with the percentage of fat utilization. In the male and sufficient-PA groups, PI correlated positively with the RMR and negatively with the percentage of protein utilization. In conclusion, the percentage of LEA is markedly prevalent in our sample, with a higher prevalence among males. Athletes with LEA had lower fat utilization and lower RMR, while those with sufficient PA showed lower protein utilization with excessive PI. These findings may explain the metabolic responses in the cases of LEA and LPA.","archive":"Scopus","container-title":"Metabolites","DOI":"10.3390/metabo14030167","issue":"3","title":"Resting Metabolic Rate and Substrate Utilization during Energy and Protein Availability in Male and Female Athletes","URL":"https://www.scopus.com/inward/record.uri?eid=2-s2.0-85188942768&amp;doi=10.3390%2fmetabo14030167&amp;partnerID=40&amp;md5=2ece84deb016696efafe0ac0fc6cf4b4","volume":"14","author":[{"family":"Abulmeaty","given":"M.M.A."},{"family":"Almajwal","given":"A."},{"family":"Elsayed","given":"M."},{"family":"Hassan","given":"H."},{"family":"Alsager","given":"T."},{"family":"Aldossari","given":"Z."}],"issued":{"date-parts":[["2024"]]}}}],"schema":"https://github.com/citation-style-language/schema/raw/master/csl-citation.json"} </w:instrText>
            </w:r>
            <w:r w:rsidR="00AA1D76"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w:t>
            </w:r>
            <w:r w:rsidR="00AA1D76" w:rsidRPr="002C080C">
              <w:rPr>
                <w:rFonts w:ascii="Palatino Linotype" w:hAnsi="Palatino Linotype" w:cs="Arial"/>
                <w:sz w:val="20"/>
                <w:szCs w:val="20"/>
              </w:rPr>
              <w:fldChar w:fldCharType="end"/>
            </w:r>
          </w:p>
        </w:tc>
        <w:tc>
          <w:tcPr>
            <w:tcW w:w="1580" w:type="pct"/>
            <w:tcBorders>
              <w:top w:val="single" w:sz="4" w:space="0" w:color="auto"/>
            </w:tcBorders>
          </w:tcPr>
          <w:p w14:paraId="0B83AE3C" w14:textId="6E45FC37" w:rsidR="00365D85" w:rsidRPr="002C080C" w:rsidRDefault="00C36C83" w:rsidP="00B90284">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(4)</w:t>
            </w:r>
          </w:p>
        </w:tc>
      </w:tr>
      <w:tr w:rsidR="00420BC5" w:rsidRPr="002C080C" w14:paraId="392E5F69"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Borders>
              <w:top w:val="single" w:sz="4" w:space="0" w:color="auto"/>
            </w:tcBorders>
          </w:tcPr>
          <w:p w14:paraId="234A93DD" w14:textId="4A5F07A8" w:rsidR="00420BC5" w:rsidRPr="002C080C" w:rsidRDefault="00A92C6E"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Bell et al., 2023</w:t>
            </w:r>
            <w:r w:rsidR="00896F49" w:rsidRPr="002C080C">
              <w:rPr>
                <w:rFonts w:ascii="Palatino Linotype" w:hAnsi="Palatino Linotype" w:cs="Arial"/>
                <w:b w:val="0"/>
                <w:bCs w:val="0"/>
                <w:sz w:val="20"/>
                <w:szCs w:val="20"/>
              </w:rPr>
              <w:t xml:space="preserve"> </w:t>
            </w:r>
            <w:r w:rsidR="00896F49"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{"citationID":"auuecr58bb","properties":{"formattedCitation":"[2]","plainCitation":"[2]","noteIndex":0},"citationItems":[{"id":18034,"uris":["http://zotero.org/users/10591407/items/45CY34BX"],"itemData":{"id":18034,"type":"article-journal","abstract":"Evidence suggests that athletes competing in team sports do not follow dietary recommendations. However, only few studies have investigated energy needs and supplement use in adolescent athletes, and whether they are meeting their energy requirements. This observational study examined energy expenditure, dietary energy intake, and use of nutritional supplements in 58 adolescent (14-17 years old) volleyball athletes (15 males, 43 females) and 58 age-matched nonathletic controls (13 males, 45 females). Participants completed an online survey including questions on demographic information, body mass, and a series of standardized questionnaires assessing energy expenditure, dietary energy, macronutrient, micronutrient, and supplement intake. Energy expenditure relative to body mass was higher in athletes than nonathletes by 13 kcal/kg/day (group effect, p &lt; 0.001), and in males compared to females by 5.7 kcal/kg/day (sex effect, p = 0.004). Athletes had higher energy intake than nonathletes (+6.4 kcal/kg/day, p = 0.019) and greater consumption of fruits (p = 0.034), vegetables (p = 0.047), grains (p = 0.016), dairy (p = 0.038), meats and meat alternatives (p &lt; 0.001), as well as higher intakes of fat (p &lt; 0.001), carbohydrates, protein, sugar, fiber, vitamin C, calcium, and sodium (p = 0.05) compared to nonathletes. The average protein intakes exceeded the upper recommendations in all groups, suggesting that this is not a nutrient of concern for young volleyball athletes. However, athletes were only meeting 60% of the estimated energy requirements (EER) for their age, height, body mass, and physical activity score, (3322 +/- 520 kcal/day), while nonathletes were meeting 74% of the EER (p &lt; 0.001). The relative energy balance of male athletes was lower compared to both female athletes (p = 0.006) and male nonathletes (p = 0.004). Finally, more athletes reported using performance-related supplements than nonathletes, but there were no differences in the consumption of other dietary supplements. Overall, when compared to nonathletic controls, both male and female adolescent volleyball athletes were found to match their higher energy expenditure with a greater dietary energy intake; however, all adolescents were below the estimated energy requirements, a finding more profound among the volleyball athletes.","archive_location":"WOS:000970151700001","container-title":"NUTRIENTS","DOI":"10.3390/nu15071788","issue":"7","title":"Energy Expenditure, Dietary Energy Intake, and Nutritional Supplements in Adolescent Volleyball Athletes versus Nonathletic Controls","volume":"15","author":[{"family":"Bell","given":"Madison"},{"family":"Ghatora","given":"Ravneet"},{"family":"Retsidou","given":"Maria Ilektra"},{"family":"Chatzigianni","given":"Efthalia (Elia)"},{"family":"Klentrou","given":"Panagiota"}],"accessed":{"date-parts":[["2023",5,6]]},"issued":{"date-parts":[["2023",4]]}}}],"schema":"https://github.com/citation-style-language/schema/raw/master/csl-citation.json"} </w:instrText>
            </w:r>
            <w:r w:rsidR="00896F49"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[2]</w:t>
            </w:r>
            <w:r w:rsidR="00896F49" w:rsidRPr="002C080C">
              <w:rPr>
                <w:rFonts w:ascii="Palatino Linotype" w:hAnsi="Palatino Linotype" w:cs="Arial"/>
                <w:sz w:val="20"/>
                <w:szCs w:val="20"/>
              </w:rPr>
              <w:fldChar w:fldCharType="end"/>
            </w:r>
          </w:p>
        </w:tc>
        <w:tc>
          <w:tcPr>
            <w:tcW w:w="1580" w:type="pct"/>
            <w:tcBorders>
              <w:top w:val="single" w:sz="4" w:space="0" w:color="auto"/>
            </w:tcBorders>
          </w:tcPr>
          <w:p w14:paraId="7F173A8E" w14:textId="126303AA" w:rsidR="00420BC5" w:rsidRPr="002C080C" w:rsidRDefault="00420BC5" w:rsidP="00B90284">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(1</w:t>
            </w:r>
            <w:r w:rsidR="00A92C6E" w:rsidRPr="002C080C">
              <w:rPr>
                <w:rFonts w:ascii="Palatino Linotype" w:hAnsi="Palatino Linotype" w:cs="Arial"/>
                <w:sz w:val="20"/>
                <w:szCs w:val="20"/>
              </w:rPr>
              <w:t>,2</w:t>
            </w:r>
            <w:r w:rsidR="00B76224" w:rsidRPr="002C080C">
              <w:rPr>
                <w:rFonts w:ascii="Palatino Linotype" w:hAnsi="Palatino Linotype" w:cs="Arial"/>
                <w:sz w:val="20"/>
                <w:szCs w:val="20"/>
              </w:rPr>
              <w:t>,4</w:t>
            </w:r>
            <w:r w:rsidRPr="002C080C">
              <w:rPr>
                <w:rFonts w:ascii="Palatino Linotype" w:hAnsi="Palatino Linotype" w:cs="Arial"/>
                <w:sz w:val="20"/>
                <w:szCs w:val="20"/>
              </w:rPr>
              <w:t>)</w:t>
            </w:r>
          </w:p>
        </w:tc>
      </w:tr>
      <w:tr w:rsidR="00420BC5" w:rsidRPr="002C080C" w14:paraId="77A11F88" w14:textId="77777777" w:rsidTr="002C080C">
        <w:tc>
          <w:tcPr>
            <w:cnfStyle w:val="001000000000" w:firstRow="0" w:lastRow="0" w:firstColumn="1" w:lastColumn="0" w:oddVBand="0" w:evenVBand="0" w:oddHBand="0" w:evenHBand="0" w:firstRowFirstColumn="0" w:firstRowLastColumn="0" w:lastRowFirstColumn="0" w:lastRowLastColumn="0"/>
            <w:tcW w:w="3420" w:type="pct"/>
          </w:tcPr>
          <w:p w14:paraId="430F0281" w14:textId="729B4A9D" w:rsidR="00420BC5" w:rsidRPr="002C080C" w:rsidRDefault="00E420C1" w:rsidP="004A22D0">
            <w:pPr>
              <w:jc w:val="center"/>
              <w:rPr>
                <w:rFonts w:ascii="Palatino Linotype" w:hAnsi="Palatino Linotype" w:cs="Arial"/>
                <w:b w:val="0"/>
                <w:bCs w:val="0"/>
                <w:sz w:val="20"/>
                <w:szCs w:val="20"/>
              </w:rPr>
            </w:pPr>
            <w:proofErr w:type="spellStart"/>
            <w:r w:rsidRPr="002C080C">
              <w:rPr>
                <w:rFonts w:ascii="Palatino Linotype" w:hAnsi="Palatino Linotype" w:cs="Arial"/>
                <w:b w:val="0"/>
                <w:bCs w:val="0"/>
                <w:sz w:val="20"/>
                <w:szCs w:val="20"/>
              </w:rPr>
              <w:t>Długołęcka</w:t>
            </w:r>
            <w:proofErr w:type="spellEnd"/>
            <w:r w:rsidRPr="002C080C">
              <w:rPr>
                <w:rFonts w:ascii="Palatino Linotype" w:hAnsi="Palatino Linotype" w:cs="Arial"/>
                <w:b w:val="0"/>
                <w:bCs w:val="0"/>
                <w:sz w:val="20"/>
                <w:szCs w:val="20"/>
              </w:rPr>
              <w:t xml:space="preserve"> y </w:t>
            </w:r>
            <w:proofErr w:type="spellStart"/>
            <w:r w:rsidRPr="002C080C">
              <w:rPr>
                <w:rFonts w:ascii="Palatino Linotype" w:hAnsi="Palatino Linotype" w:cs="Arial"/>
                <w:b w:val="0"/>
                <w:bCs w:val="0"/>
                <w:sz w:val="20"/>
                <w:szCs w:val="20"/>
              </w:rPr>
              <w:t>Jówko</w:t>
            </w:r>
            <w:proofErr w:type="spellEnd"/>
            <w:r w:rsidRPr="002C080C">
              <w:rPr>
                <w:rFonts w:ascii="Palatino Linotype" w:hAnsi="Palatino Linotype" w:cs="Arial"/>
                <w:b w:val="0"/>
                <w:bCs w:val="0"/>
                <w:sz w:val="20"/>
                <w:szCs w:val="20"/>
              </w:rPr>
              <w:t>, 2022</w:t>
            </w:r>
            <w:r w:rsidR="00896F49" w:rsidRPr="002C080C">
              <w:rPr>
                <w:rFonts w:ascii="Palatino Linotype" w:hAnsi="Palatino Linotype" w:cs="Arial"/>
                <w:b w:val="0"/>
                <w:bCs w:val="0"/>
                <w:sz w:val="20"/>
                <w:szCs w:val="20"/>
              </w:rPr>
              <w:t xml:space="preserve"> </w:t>
            </w:r>
            <w:r w:rsidR="00896F49"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{"citationID":"a22dq4hjhe5","properties":{"formattedCitation":"[3]","plainCitation":"[3]","noteIndex":0},"citationItems":[{"id":17727,"uris":["http://zotero.org/users/10591407/items/J4E5AKPB"],"itemData":{"id":17727,"type":"article-journal","abstract":"Introduction. The aim of this work was to assess bone mineral content (BMC) and bone mineral density (BMD) in male athletes performing weight-bearing and weight-supporting sports activities as well as in untrained men. Material and methods. The study included 140 men aged 20-23. The study group consisted of wrestlers, football players, cyclists and untrained men. BMC (g) and BMD (g/cm2) in the lumbar spine (L2-L4) were determined with the use of the DEXA method. Biochemical parameters (concentration of osteocalcin, testosterone and 25-OH vitamin D in blood) were measured using the ELISA method. Diet composition was assessed based on three individual questionnaire interviews regarding nutrition in the last 24 hours prior to the study. Results. Statistical analysis revealed that wrestlers demonstrated the highest levels of parameters related to bone mass. In this group, mean values of BMC, BMD as well as BMD compared to peak populational bone mass were significantly higher than in cyclists and the men from the control group. In the case of BMD (g/cm2), the difference was at the level of p &lt; 0.001, whereas in the remaining parameters, i.e. BMC (g) and BMD with reference to age (%), it was at the level of p &lt; 0.01. No significant differences between the groups were observed in the concentration of osteocalcin, testosterone and 25-OH vitamin D in blood and in nutrition. Conclusions. Athletes who perform sports that predispose to the development of bone pathology should also do exercises that would support bone mineralisation and prevent osteoporosis in the future. ABSTRACT FROM AUTHOR","archive":"SPORTDiscus with Full Text","container-title":"Polish Journal of Sport &amp; Tourism","DOI":"10.2478/pjst-2022-0015","ISSN":"18991998","issue":"3","journalAbbreviation":"Polish Journal of Sport &amp; Tourism","note":"publisher: Sciendo","page":"9-14","source":"EBSCOhost","title":"Effects of Weight-Bearing and Weight-Supporting Sports on Bone Mass in Males.","volume":"29","author":[{"family":"Długołęcka","given":"Barbara"},{"family":"Jówko","given":"Ewa"}],"issued":{"date-parts":[["2022",9]]}}}],"schema":"https://github.com/citation-style-language/schema/raw/master/csl-citation.json"} </w:instrText>
            </w:r>
            <w:r w:rsidR="00896F49"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[3]</w:t>
            </w:r>
            <w:r w:rsidR="00896F49" w:rsidRPr="002C080C">
              <w:rPr>
                <w:rFonts w:ascii="Palatino Linotype" w:hAnsi="Palatino Linotype" w:cs="Arial"/>
                <w:sz w:val="20"/>
                <w:szCs w:val="20"/>
              </w:rPr>
              <w:fldChar w:fldCharType="end"/>
            </w:r>
          </w:p>
        </w:tc>
        <w:tc>
          <w:tcPr>
            <w:tcW w:w="1580" w:type="pct"/>
          </w:tcPr>
          <w:p w14:paraId="31DFF405" w14:textId="237C9D0A" w:rsidR="00420BC5" w:rsidRPr="002C080C" w:rsidRDefault="00420BC5" w:rsidP="00B90284">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w:t>
            </w:r>
            <w:r w:rsidR="00E420C1" w:rsidRPr="002C080C">
              <w:rPr>
                <w:rFonts w:ascii="Palatino Linotype" w:hAnsi="Palatino Linotype" w:cs="Arial"/>
                <w:sz w:val="20"/>
                <w:szCs w:val="20"/>
              </w:rPr>
              <w:t>2</w:t>
            </w:r>
            <w:r w:rsidRPr="002C080C">
              <w:rPr>
                <w:rFonts w:ascii="Palatino Linotype" w:hAnsi="Palatino Linotype" w:cs="Arial"/>
                <w:sz w:val="20"/>
                <w:szCs w:val="20"/>
              </w:rPr>
              <w:t>)</w:t>
            </w:r>
          </w:p>
        </w:tc>
      </w:tr>
      <w:tr w:rsidR="00420BC5" w:rsidRPr="002C080C" w14:paraId="2820BE72"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Pr>
          <w:p w14:paraId="7B439BB0" w14:textId="6DA47EBB" w:rsidR="00420BC5" w:rsidRPr="002C080C" w:rsidRDefault="001215A4"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Hackney y Hooper, 2020</w:t>
            </w:r>
            <w:r w:rsidR="00896F49" w:rsidRPr="002C080C">
              <w:rPr>
                <w:rFonts w:ascii="Palatino Linotype" w:hAnsi="Palatino Linotype" w:cs="Arial"/>
                <w:b w:val="0"/>
                <w:bCs w:val="0"/>
                <w:sz w:val="20"/>
                <w:szCs w:val="20"/>
              </w:rPr>
              <w:t xml:space="preserve"> </w:t>
            </w:r>
            <w:r w:rsidR="00896F49"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{"citationID":"a1kgjm1eu40","properties":{"formattedCitation":"[4]","plainCitation":"[4]","noteIndex":0},"citationItems":[{"id":17702,"uris":["http://zotero.org/users/10591407/items/GQ3JCQJ3"],"itemData":{"id":17702,"type":"article-journal","abstract":"Our findings indicate that the participants of an 18 week intensive endurance exercise training program experienced significant (p &lt; 0.001) reductions in resting testosterone (-25 to -45% decrease from pre-training), with some reaching the clinical criteria for androgen deficiency during the training regimen. Nonetheless, none of the participants displayed any running performance decrement, in fact, the opposite occurred (+18.6% improvement; p &lt; 0.05). These preliminary findings suggest acute decreases in testosterone in and of itself may not be entirely indicative of a compromised exercise performance potential although elements of reproductive and bone health may still be compromised. ABSTRACT FROM AUTHOR","archive":"SPORTDiscus with Full Text","container-title":"Aging Male","DOI":"10.1080/13685538.2019.1574736","ISSN":"13685538","issue":"1","journalAbbreviation":"Aging Male","note":"publisher: Taylor &amp; Francis Ltd","page":"33-34","source":"EBSCOhost","title":"Reductions in testosterone are not indicative of exercise performance decrement in male endurance athletes.","volume":"23","author":[{"family":"Hackney","given":"Anthony C."},{"family":"Hooper","given":"David R."}],"issued":{"date-parts":[["2020",3]]}}}],"schema":"https://github.com/citation-style-language/schema/raw/master/csl-citation.json"} </w:instrText>
            </w:r>
            <w:r w:rsidR="00896F49"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[4]</w:t>
            </w:r>
            <w:r w:rsidR="00896F49" w:rsidRPr="002C080C">
              <w:rPr>
                <w:rFonts w:ascii="Palatino Linotype" w:hAnsi="Palatino Linotype" w:cs="Arial"/>
                <w:sz w:val="20"/>
                <w:szCs w:val="20"/>
              </w:rPr>
              <w:fldChar w:fldCharType="end"/>
            </w:r>
          </w:p>
        </w:tc>
        <w:tc>
          <w:tcPr>
            <w:tcW w:w="1580" w:type="pct"/>
          </w:tcPr>
          <w:p w14:paraId="6BB8B5BB" w14:textId="37CE9A08" w:rsidR="00420BC5" w:rsidRPr="002C080C" w:rsidRDefault="00420BC5" w:rsidP="00B90284">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w:t>
            </w:r>
            <w:r w:rsidR="001215A4" w:rsidRPr="002C080C">
              <w:rPr>
                <w:rFonts w:ascii="Palatino Linotype" w:hAnsi="Palatino Linotype" w:cs="Arial"/>
                <w:sz w:val="20"/>
                <w:szCs w:val="20"/>
              </w:rPr>
              <w:t>1,</w:t>
            </w:r>
            <w:r w:rsidRPr="002C080C">
              <w:rPr>
                <w:rFonts w:ascii="Palatino Linotype" w:hAnsi="Palatino Linotype" w:cs="Arial"/>
                <w:sz w:val="20"/>
                <w:szCs w:val="20"/>
              </w:rPr>
              <w:t>2)</w:t>
            </w:r>
          </w:p>
        </w:tc>
      </w:tr>
      <w:tr w:rsidR="008420C9" w:rsidRPr="002C080C" w14:paraId="5A3F3D16" w14:textId="77777777" w:rsidTr="002C080C">
        <w:tc>
          <w:tcPr>
            <w:cnfStyle w:val="001000000000" w:firstRow="0" w:lastRow="0" w:firstColumn="1" w:lastColumn="0" w:oddVBand="0" w:evenVBand="0" w:oddHBand="0" w:evenHBand="0" w:firstRowFirstColumn="0" w:firstRowLastColumn="0" w:lastRowFirstColumn="0" w:lastRowLastColumn="0"/>
            <w:tcW w:w="3420" w:type="pct"/>
          </w:tcPr>
          <w:p w14:paraId="5FCBA0E2" w14:textId="117AEF60" w:rsidR="008420C9" w:rsidRPr="002C080C" w:rsidRDefault="008420C9"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Kasper et al., 2019</w:t>
            </w:r>
            <w:r w:rsidR="00896F49" w:rsidRPr="002C080C">
              <w:rPr>
                <w:rFonts w:ascii="Palatino Linotype" w:hAnsi="Palatino Linotype" w:cs="Arial"/>
                <w:b w:val="0"/>
                <w:bCs w:val="0"/>
                <w:sz w:val="20"/>
                <w:szCs w:val="20"/>
              </w:rPr>
              <w:t xml:space="preserve"> </w:t>
            </w:r>
            <w:r w:rsidR="00896F49"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{"citationID":"a1u892rov6k","properties":{"formattedCitation":"[5]","plainCitation":"[5]","noteIndex":0},"citationItems":[{"id":17635,"uris":["http://zotero.org/users/10591407/items/5KJZHPM4"],"itemData":{"id":17635,"type":"article-journal","abstract":"The aim of the present case study was to quantify the physiological and metabolic impact of extreme weight cutting by an elite male mixed martial arts athlete. Throughout an 8-week period, we obtained regular assessments of body composition, resting metabolic rate, peak oxygen uptake, and blood clinical chemistry to assess endocrine status, lipid profiles, hydration, and kidney function. The athlete adhered to a \"phased\" weight loss plan consisting of 7 weeks of reduced energy (ranging from 1,300 to 1,900 kcal/day) intake (Phase 1), 5 days of water loading with 8 L/day for 4 days followed by 250 ml on Day 5 (Phase 2), 20 hr of fasting and dehydration (Phase 3), and 32 hr of rehydration and refueling prior to competition (Phase 4). Body mass declined by 18.1% (80.2 to 65.7 kg) corresponding to changes of 4.4, 2.8, and 7.3 kg in Phases 1, 2, and 3, respectively. We observed clear indices of relative energy deficiency, as evidenced by reduced resting metabolic rate (−331 kcal), inability to complete performance tests, alterations to endocrine hormones (testosterone: &lt;3 nmol/L), and hypercholesterolemia (&gt;6 mmol/L). Moreover, severe dehydration (reducing body mass by 9.3%) in the final 24 hr prior to weigh-in-induced hypernatremia (plasma sodium: 148 mmol/L) and acute kidney injury (serum creatinine: 177 μmol/L). These data, therefore, support publicized reports of the harmful (and potentially fatal) effects of extreme weight cutting in mixed martial arts athletes and represent a call for action to governing bodies to safeguard the welfare of mixed martial arts athletes. ABSTRACT FROM AUTHOR","archive":"SPORTDiscus with Full Text","container-title":"International Journal of Sport Nutrition &amp; Exercise Metabolism","DOI":"10.1123/ijsnem.2018-0029","ISSN":"1526484X","issue":"3","journalAbbreviation":"International Journal of Sport Nutrition &amp; Exercise Metabolism","note":"publisher: Human Kinetics Publishers, Inc.","page":"331-338","source":"EBSCOhost","title":"Case Study: Extreme Weight Making Causes Relative Energy Deficiency, Dehydration, and Acute Kidney Injury in a Male Mixed Martial Arts Athlete.","volume":"29","author":[{"family":"Kasper","given":"Andreas M."},{"family":"Crighton","given":"Ben"},{"family":"Langan-Evans","given":"Carl"},{"family":"Riley","given":"Philip"},{"family":"Sharma","given":"Asheesh"},{"family":"Close","given":"Graeme L."},{"family":"Morton","given":"James P."}],"issued":{"date-parts":[["2019",5]]}}}],"schema":"https://github.com/citation-style-language/schema/raw/master/csl-citation.json"} </w:instrText>
            </w:r>
            <w:r w:rsidR="00896F49"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[5]</w:t>
            </w:r>
            <w:r w:rsidR="00896F49" w:rsidRPr="002C080C">
              <w:rPr>
                <w:rFonts w:ascii="Palatino Linotype" w:hAnsi="Palatino Linotype" w:cs="Arial"/>
                <w:sz w:val="20"/>
                <w:szCs w:val="20"/>
              </w:rPr>
              <w:fldChar w:fldCharType="end"/>
            </w:r>
          </w:p>
        </w:tc>
        <w:tc>
          <w:tcPr>
            <w:tcW w:w="1580" w:type="pct"/>
          </w:tcPr>
          <w:p w14:paraId="21E7F218" w14:textId="7FC416E5" w:rsidR="008420C9" w:rsidRPr="002C080C" w:rsidRDefault="008420C9" w:rsidP="008420C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(2</w:t>
            </w:r>
            <w:r w:rsidR="001A7C90" w:rsidRPr="002C080C">
              <w:rPr>
                <w:rFonts w:ascii="Palatino Linotype" w:hAnsi="Palatino Linotype" w:cs="Arial"/>
                <w:sz w:val="20"/>
                <w:szCs w:val="20"/>
              </w:rPr>
              <w:t>,4</w:t>
            </w:r>
            <w:r w:rsidRPr="002C080C">
              <w:rPr>
                <w:rFonts w:ascii="Palatino Linotype" w:hAnsi="Palatino Linotype" w:cs="Arial"/>
                <w:sz w:val="20"/>
                <w:szCs w:val="20"/>
              </w:rPr>
              <w:t>)</w:t>
            </w:r>
          </w:p>
        </w:tc>
      </w:tr>
      <w:tr w:rsidR="008420C9" w:rsidRPr="002C080C" w14:paraId="6FEF89A7"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Pr>
          <w:p w14:paraId="0B36EA78" w14:textId="6442A648" w:rsidR="008420C9" w:rsidRPr="002C080C" w:rsidRDefault="008420C9"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Keay et al., 2018</w:t>
            </w:r>
            <w:r w:rsidR="00896F49" w:rsidRPr="002C080C">
              <w:rPr>
                <w:rFonts w:ascii="Palatino Linotype" w:hAnsi="Palatino Linotype" w:cs="Arial"/>
                <w:b w:val="0"/>
                <w:bCs w:val="0"/>
                <w:sz w:val="20"/>
                <w:szCs w:val="20"/>
              </w:rPr>
              <w:t xml:space="preserve"> </w:t>
            </w:r>
            <w:r w:rsidR="00896F49"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{"citationID":"aobnbasepf","properties":{"formattedCitation":"[6]","plainCitation":"[6]","noteIndex":0},"citationItems":[{"id":17167,"uris":["http://zotero.org/users/10591407/items/WZ9BZP65"],"itemData":{"id":17167,"type":"article-journal","abstract":"OBJECTIVES: To evaluate the efficacy of a sport-specific energy availability (EA) questionnaire, combined with clinical interview, for identifying male athletes at risk of developing bone health, endocrine and performance consequences of relative energy deficiency in sports (RED-S).\nMETHODS: Fifty competitive male road cyclists, recruited through links of participants in a pilot study, were assessed by a newly developed sport-specific questionnaire and clinical interview (SEAQ-I) and received dual energy X-ray absorptiometry (DXA) bone mineral density (BMD) and body composition scans and blood tests for endocrine markers.\nRESULTS: Low EA as assessed using the SEAQ-I, was observed in 28% of cyclists. Low lumbar spine BMD (Z-score&lt;-1.0) was found in 44% of cyclists. EA was the most significant determinant of lumbar spine BMD Z-score (p&lt;0.001). Among low EA cyclists, lack of previous load-bearing sport was associated with the lowest BMD (p=0.013). Low EA was associated with reduced total percentage fat (p&lt;0.019). The 10 cyclists with chronic low EA had lower levels of testosterone compared with those having adequate EA (p=0.024). Mean vitamin D concentration was below the level recommended for athletes (90  nmol/L). Training loads were positively associated with power-to-weight ratios, assessed as 60  min functional threshold power (FTP) per kg (p&lt;0.001). Percentage body fat was not significantly linked to cycling performance.\nCONCLUSIONS: This study demonstrates that a SEAQ-I is effective for identifying male road cyclists with acute intermittent and chronic sustained low EA. Cyclists with low EA, particularly in the long-term, displayed adverse quantifiable measures of bone, endocrinology and performance consequences of RED-S.","container-title":"BMJ open sport &amp; exercise medicine","DOI":"10.1136/bmjsem-2018-000424","ISSN":"2055-7647","issue":"1","journalAbbreviation":"BMJ Open Sport Exerc Med","language":"eng","note":"PMID: 30364549\nPMCID: PMC6196965","page":"e000424","source":"PubMed","title":"Low energy availability assessed by a sport-specific questionnaire and clinical interview indicative of bone health, endocrine profile and cycling performance in competitive male cyclists","volume":"4","author":[{"family":"Keay","given":"Nicola"},{"family":"Francis","given":"Gavin"},{"family":"Hind","given":"Karen"}],"issued":{"date-parts":[["2018"]]}}}],"schema":"https://github.com/citation-style-language/schema/raw/master/csl-citation.json"} </w:instrText>
            </w:r>
            <w:r w:rsidR="00896F49"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[6]</w:t>
            </w:r>
            <w:r w:rsidR="00896F49" w:rsidRPr="002C080C">
              <w:rPr>
                <w:rFonts w:ascii="Palatino Linotype" w:hAnsi="Palatino Linotype" w:cs="Arial"/>
                <w:sz w:val="20"/>
                <w:szCs w:val="20"/>
              </w:rPr>
              <w:fldChar w:fldCharType="end"/>
            </w:r>
          </w:p>
        </w:tc>
        <w:tc>
          <w:tcPr>
            <w:tcW w:w="1580" w:type="pct"/>
          </w:tcPr>
          <w:p w14:paraId="54CDA2E8" w14:textId="022432C6" w:rsidR="008420C9" w:rsidRPr="002C080C" w:rsidRDefault="008420C9" w:rsidP="008420C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(1,2)</w:t>
            </w:r>
          </w:p>
        </w:tc>
      </w:tr>
      <w:tr w:rsidR="008420C9" w:rsidRPr="002C080C" w14:paraId="6269E4AF" w14:textId="77777777" w:rsidTr="002C080C">
        <w:tc>
          <w:tcPr>
            <w:cnfStyle w:val="001000000000" w:firstRow="0" w:lastRow="0" w:firstColumn="1" w:lastColumn="0" w:oddVBand="0" w:evenVBand="0" w:oddHBand="0" w:evenHBand="0" w:firstRowFirstColumn="0" w:firstRowLastColumn="0" w:lastRowFirstColumn="0" w:lastRowLastColumn="0"/>
            <w:tcW w:w="3420" w:type="pct"/>
          </w:tcPr>
          <w:p w14:paraId="2E632D3C" w14:textId="6DB172DF" w:rsidR="008420C9" w:rsidRPr="002C080C" w:rsidRDefault="008420C9"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Keay et al., 2019</w:t>
            </w:r>
            <w:r w:rsidR="00736F42" w:rsidRPr="002C080C">
              <w:rPr>
                <w:rFonts w:ascii="Palatino Linotype" w:hAnsi="Palatino Linotype" w:cs="Arial"/>
                <w:b w:val="0"/>
                <w:bCs w:val="0"/>
                <w:sz w:val="20"/>
                <w:szCs w:val="20"/>
              </w:rPr>
              <w:t xml:space="preserve"> </w:t>
            </w:r>
            <w:r w:rsidR="00736F42"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{"citationID":"ajpi5ai8di","properties":{"formattedCitation":"[7]","plainCitation":"[7]","noteIndex":0},"citationItems":[{"id":17152,"uris":["http://zotero.org/users/10591407/items/DTRYRKYC"],"itemData":{"id":17152,"type":"article-journal","abstract":"OBJECTIVE: To clinically evaluate education to improve eating behaviour and skeletal loading exercise in male cyclists at risk of poor bone health and impaired performance due to relative energy deficiency in sports.\nMETHODS: Early race season, 50 competitive male road cyclists were matched, in pairs, based on Z-scores for lumbar spine bone mineral density (BMD). One member of each pair was randomly allocated to receive educational interventions. After the season, 45 cyclists returned for dual-energy X-ray absorptiometry scans and blood tests. Least significant change was applied to identify clinically meaningful BMD changes. Cyclists completed a follow-up sport-specific questionnaire and clinical interview to ascertain adherence to the interventions.\nRESULTS: The questionnaire and clinical interview categorised behaviour changes as positive, negative or unchanged. Positive changes in nutrition and skeletal loading were associated with a statistically significant increase of 2.0% in lumbar spine BMD; 7 of 11 cyclists' increases were clinically meaningful. Negative changes in both behaviours were associated with a significant decrease of 2.7% in lumbar BMD; all nine cyclists' BMD decreases were clinically meaningful. Regarding performance, taking account of functional threshold power, changes in nutritional behaviour accounted for gains or losses of 95 British Cycling racing points. Cyclists reported psychological barriers to change in behaviours, specifically fear of negatively impacting performance.\nCONCLUSIONS: Educational nutritional and skeletal loading interventions can improve bone health, well-being and race performance in male cyclists over a 6-month race season. Psychological support may be required to help some athletes change behaviour.","container-title":"BMJ open sport &amp; exercise medicine","DOI":"10.1136/bmjsem-2019-000523","ISSN":"2055-7647","issue":"1","journalAbbreviation":"BMJ Open Sport Exerc Med","language":"eng","note":"PMID: 31191973\nPMCID: PMC6539156","page":"e000523","source":"PubMed","title":"Clinical evaluation of education relating to nutrition and skeletal loading in competitive male road cyclists at risk of relative energy deficiency in sports (RED-S): 6-month randomised controlled trial","title-short":"Clinical evaluation of education relating to nutrition and skeletal loading in competitive male road cyclists at risk of relative energy deficiency in sports (RED-S)","volume":"5","author":[{"family":"Keay","given":"Nicola"},{"family":"Francis","given":"Gavin"},{"family":"Entwistle","given":"Ian"},{"family":"Hind","given":"Karen"}],"issued":{"date-parts":[["2019"]]}}}],"schema":"https://github.com/citation-style-language/schema/raw/master/csl-citation.json"} </w:instrText>
            </w:r>
            <w:r w:rsidR="00736F42"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[7]</w:t>
            </w:r>
            <w:r w:rsidR="00736F42" w:rsidRPr="002C080C">
              <w:rPr>
                <w:rFonts w:ascii="Palatino Linotype" w:hAnsi="Palatino Linotype" w:cs="Arial"/>
                <w:sz w:val="20"/>
                <w:szCs w:val="20"/>
              </w:rPr>
              <w:fldChar w:fldCharType="end"/>
            </w:r>
          </w:p>
        </w:tc>
        <w:tc>
          <w:tcPr>
            <w:tcW w:w="1580" w:type="pct"/>
          </w:tcPr>
          <w:p w14:paraId="2DCB1178" w14:textId="7B77537F" w:rsidR="008420C9" w:rsidRPr="002C080C" w:rsidRDefault="008420C9" w:rsidP="008420C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(1,2)</w:t>
            </w:r>
          </w:p>
        </w:tc>
      </w:tr>
      <w:tr w:rsidR="008420C9" w:rsidRPr="002C080C" w14:paraId="6129118E"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Pr>
          <w:p w14:paraId="166DEA4C" w14:textId="5B394315" w:rsidR="008420C9" w:rsidRPr="002C080C" w:rsidRDefault="008420C9"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Kemmler et al., 2006</w:t>
            </w:r>
            <w:r w:rsidR="00736F42" w:rsidRPr="002C080C">
              <w:rPr>
                <w:rFonts w:ascii="Palatino Linotype" w:hAnsi="Palatino Linotype" w:cs="Arial"/>
                <w:b w:val="0"/>
                <w:bCs w:val="0"/>
                <w:sz w:val="20"/>
                <w:szCs w:val="20"/>
              </w:rPr>
              <w:t xml:space="preserve"> </w:t>
            </w:r>
            <w:r w:rsidR="00736F42"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{"citationID":"a1a0dr94v8o","properties":{"formattedCitation":"[8]","plainCitation":"[8]","noteIndex":0},"citationItems":[{"id":17707,"uris":["http://zotero.org/users/10591407/items/8J5QCRGE"],"itemData":{"id":17707,"type":"article-journal","abstract":"A low body mass index is considered essential for high performance in rock climbing; however its effect on bone may be negative. In this study we compared the BMD of competitive male rock climbers (n = 20) and age- and BMI-matched non-training controls (n = 11). Subjects with any medication or illness affecting bone metabolism or a family history of osteoporosis were not included in the analysis. Total body BMD was measured by dual-energy X-ray absorptiometry. Quantitative computed tomographic scans were made from the femoral neck and the lumbar spine. Dietary intake was assessed by a 5-day protocol. BMD of the TB-scan was significantly higher in the climbers group for all sub-regions except the skull (p = 0.191) and the lower extremities (p = 0.079). Trabecular and cortical BMD of the LS were significantly higher (p = 0.036 and p = 0.004) in the climbers. The same was true for total (p = 0.005) and cortical (p = 0.002) BMD of the FN. Trabecular BMD (p = 0.054), CSA (p &lt; 0.343) and cortical thickness (p = 0.065) of the FN was non-significantly higher for the climbers. Our study indicates that the effect of climbing on bone parameters per se is not detrimental in elite male athletes. Contrarily climbers demonstrated significantly higher BMD values at all loaded regions without \"steal effects\" at skeletal sites with low mechanical impact. Although we determined a moderately negative effect of low BMI on BMD we could not decide whether a low BMI value should be used as an exclusion criterion in high level climbing competitions as practiced by the Austrian Sportclimbing Organization. [ABSTRACT FROM AUTHOR]","archive":"SPORTDiscus with Full Text","container-title":"International Journal of Sports Medicine","ISSN":"01724622","issue":"8","journalAbbreviation":"International Journal of Sports Medicine","note":"publisher-place: Germany, Federal Republic of","page":"653-659","source":"EBSCOhost","title":"Effect of Exercise, Body Composition, and Nutritional Intake on Bone Parameters in Male Elite Rock Climbers.","volume":"27","author":[{"family":"Kemmler","given":"W."},{"family":"Roloff","given":"I."},{"family":"Baumann","given":"H."},{"family":"Schoeffl","given":"V."},{"family":"Weineck","given":"J."},{"family":"Kalender","given":"W."},{"family":"Engelke","given":"K."}],"issued":{"date-parts":[["2006",8]]}}}],"schema":"https://github.com/citation-style-language/schema/raw/master/csl-citation.json"} </w:instrText>
            </w:r>
            <w:r w:rsidR="00736F42"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[8]</w:t>
            </w:r>
            <w:r w:rsidR="00736F42" w:rsidRPr="002C080C">
              <w:rPr>
                <w:rFonts w:ascii="Palatino Linotype" w:hAnsi="Palatino Linotype" w:cs="Arial"/>
                <w:sz w:val="20"/>
                <w:szCs w:val="20"/>
              </w:rPr>
              <w:fldChar w:fldCharType="end"/>
            </w:r>
          </w:p>
        </w:tc>
        <w:tc>
          <w:tcPr>
            <w:tcW w:w="1580" w:type="pct"/>
          </w:tcPr>
          <w:p w14:paraId="11C22C45" w14:textId="1D4CA89C" w:rsidR="008420C9" w:rsidRPr="002C080C" w:rsidRDefault="008420C9" w:rsidP="008420C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(2</w:t>
            </w:r>
            <w:r w:rsidR="00C93C22" w:rsidRPr="002C080C">
              <w:rPr>
                <w:rFonts w:ascii="Palatino Linotype" w:hAnsi="Palatino Linotype" w:cs="Arial"/>
                <w:sz w:val="20"/>
                <w:szCs w:val="20"/>
              </w:rPr>
              <w:t>,4</w:t>
            </w:r>
            <w:r w:rsidRPr="002C080C">
              <w:rPr>
                <w:rFonts w:ascii="Palatino Linotype" w:hAnsi="Palatino Linotype" w:cs="Arial"/>
                <w:sz w:val="20"/>
                <w:szCs w:val="20"/>
              </w:rPr>
              <w:t>)</w:t>
            </w:r>
          </w:p>
        </w:tc>
      </w:tr>
      <w:tr w:rsidR="0099424E" w:rsidRPr="002C080C" w14:paraId="05C724B6" w14:textId="77777777" w:rsidTr="002C080C">
        <w:tc>
          <w:tcPr>
            <w:cnfStyle w:val="001000000000" w:firstRow="0" w:lastRow="0" w:firstColumn="1" w:lastColumn="0" w:oddVBand="0" w:evenVBand="0" w:oddHBand="0" w:evenHBand="0" w:firstRowFirstColumn="0" w:firstRowLastColumn="0" w:lastRowFirstColumn="0" w:lastRowLastColumn="0"/>
            <w:tcW w:w="3420" w:type="pct"/>
          </w:tcPr>
          <w:p w14:paraId="42A6B6C8" w14:textId="71F01BC2" w:rsidR="00493B43" w:rsidRPr="002C080C" w:rsidRDefault="0099424E"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Motonaga et al., 200</w:t>
            </w:r>
            <w:r w:rsidR="00493B43" w:rsidRPr="002C080C">
              <w:rPr>
                <w:rFonts w:ascii="Palatino Linotype" w:hAnsi="Palatino Linotype" w:cs="Arial"/>
                <w:b w:val="0"/>
                <w:bCs w:val="0"/>
                <w:sz w:val="20"/>
                <w:szCs w:val="20"/>
              </w:rPr>
              <w:t>6</w:t>
            </w:r>
            <w:r w:rsidR="00A074B7" w:rsidRPr="002C080C">
              <w:rPr>
                <w:rFonts w:ascii="Palatino Linotype" w:hAnsi="Palatino Linotype" w:cs="Arial"/>
                <w:b w:val="0"/>
                <w:bCs w:val="0"/>
                <w:sz w:val="20"/>
                <w:szCs w:val="20"/>
              </w:rPr>
              <w:t xml:space="preserve"> </w:t>
            </w:r>
            <w:r w:rsidR="00B8732D"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23f5deom89","properties":{"formattedCitation":"[9]","plainCitation":"[9]","noteIndex":0},"citationItems":[{"id":12086,"uris":["http://zotero.org/users/10591407/items/JHL5YV7M"],"itemData":{"id":12086,"type":"article-journal","archive":"Scopus","container-title":"Journal of Nutritional Science and Vitaminology","DOI":"10.3177/jnsv.52.360","issue":"5","page":"360-367","title":"Estimation of total daily energy expenditure and its components by monitoring the heart rate of Japanese endurance athletes","volume":"52","author":[{"family":"Motonaga","given":"K."},{"family":"Yoshida","given":"S."},{"family":"Yamagami","given":"F."},{"family":"Kawano","given":"T."},{"family":"Takeda","given":"E."}],"issued":{"date-parts":[["2006"]]}}}],"schema":"https://github.com/citation-style-language/schema/raw/master/csl-citation.json"} </w:instrText>
            </w:r>
            <w:r w:rsidR="00B8732D"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[9]</w:t>
            </w:r>
            <w:r w:rsidR="00B8732D" w:rsidRPr="002C080C">
              <w:rPr>
                <w:rFonts w:ascii="Palatino Linotype" w:hAnsi="Palatino Linotype" w:cs="Arial"/>
                <w:sz w:val="20"/>
                <w:szCs w:val="20"/>
              </w:rPr>
              <w:fldChar w:fldCharType="end"/>
            </w:r>
          </w:p>
        </w:tc>
        <w:tc>
          <w:tcPr>
            <w:tcW w:w="1580" w:type="pct"/>
          </w:tcPr>
          <w:p w14:paraId="10BEE0EA" w14:textId="62A35BF0" w:rsidR="0099424E" w:rsidRPr="002C080C" w:rsidRDefault="007D7856" w:rsidP="008420C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(4)</w:t>
            </w:r>
          </w:p>
        </w:tc>
      </w:tr>
      <w:tr w:rsidR="008420C9" w:rsidRPr="002C080C" w14:paraId="15011BA8"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Pr>
          <w:p w14:paraId="5380B0AC" w14:textId="510165E2" w:rsidR="008420C9" w:rsidRPr="002C080C" w:rsidRDefault="008420C9"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Narla et al., 2019</w:t>
            </w:r>
            <w:r w:rsidR="00736F42" w:rsidRPr="002C080C">
              <w:rPr>
                <w:rFonts w:ascii="Palatino Linotype" w:hAnsi="Palatino Linotype" w:cs="Arial"/>
                <w:b w:val="0"/>
                <w:bCs w:val="0"/>
                <w:sz w:val="20"/>
                <w:szCs w:val="20"/>
              </w:rPr>
              <w:t xml:space="preserve"> </w:t>
            </w:r>
            <w:r w:rsidR="00736F42"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{"citationID":"avo5agc813","properties":{"formattedCitation":"[10]","plainCitation":"[10]","noteIndex":0},"citationItems":[{"id":17270,"uris":["http://zotero.org/users/10591407/items/M4AVRAYQ"],"itemData":{"id":17270,"type":"article-journal","abstract":"OBJECTIVE: Recognize extremely low testosterone due to hypothalamic dysfunction from overtraining syndrome in a male athlete with relative energy deficiency in sport (RED-S).\nMETHODS: Clinical and laboratory information are described.\nRESULTS: A 20-year-old male division I collegiate swimmer was found to have strikingly low total, free, and bioavailable testosterone levels with normal sex hormone-binding globulin and inappropriately normal follicle-stimulating hormone and luteinizing hormone. Lab testing ruled out hyperprolactinemia and hypothyroidism as etiologies, and pituitary imaging was normal. A diagnosis of RED-S was made, and the patient worked with the sports medicine team to increase nutrition and modify physical activity. His repeat testosterone levels improved after minor weight gain and decreased training regimen and eventually returned to normal.\nCONCLUSION: Secondary hypogonadism with extremely low testosterone can be seen in male athletes with suspected RED-S.","container-title":"AACE clinical case reports","DOI":"10.4158/ACCR-2018-0345","ISSN":"2376-0605","issue":"2","journalAbbreviation":"AACE Clin Case Rep","language":"eng","note":"PMID: 31967017\nPMCID: PMC6873856","page":"e129-e131","source":"PubMed","title":"EXTREMELY LOW TESTOSTERONE DUE TO RELATIVE ENERGY DEFICIENCY IN SPORT: A CASE REPORT","title-short":"EXTREMELY LOW TESTOSTERONE DUE TO RELATIVE ENERGY DEFICIENCY IN SPORT","volume":"5","author":[{"family":"Narla","given":"Ana"},{"family":"Kaiser","given":"Kimberly"},{"family":"Tannock","given":"Lisa R."}],"issued":{"date-parts":[["2019"]]}}}],"schema":"https://github.com/citation-style-language/schema/raw/master/csl-citation.json"} </w:instrText>
            </w:r>
            <w:r w:rsidR="00736F42"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[10]</w:t>
            </w:r>
            <w:r w:rsidR="00736F42" w:rsidRPr="002C080C">
              <w:rPr>
                <w:rFonts w:ascii="Palatino Linotype" w:hAnsi="Palatino Linotype" w:cs="Arial"/>
                <w:sz w:val="20"/>
                <w:szCs w:val="20"/>
              </w:rPr>
              <w:fldChar w:fldCharType="end"/>
            </w:r>
          </w:p>
        </w:tc>
        <w:tc>
          <w:tcPr>
            <w:tcW w:w="1580" w:type="pct"/>
          </w:tcPr>
          <w:p w14:paraId="0B068AA2" w14:textId="63A91900" w:rsidR="008420C9" w:rsidRPr="002C080C" w:rsidRDefault="008420C9" w:rsidP="008420C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(1,2)</w:t>
            </w:r>
          </w:p>
        </w:tc>
      </w:tr>
      <w:tr w:rsidR="008420C9" w:rsidRPr="002C080C" w14:paraId="48E1976A" w14:textId="77777777" w:rsidTr="002C080C">
        <w:tc>
          <w:tcPr>
            <w:cnfStyle w:val="001000000000" w:firstRow="0" w:lastRow="0" w:firstColumn="1" w:lastColumn="0" w:oddVBand="0" w:evenVBand="0" w:oddHBand="0" w:evenHBand="0" w:firstRowFirstColumn="0" w:firstRowLastColumn="0" w:lastRowFirstColumn="0" w:lastRowLastColumn="0"/>
            <w:tcW w:w="3420" w:type="pct"/>
          </w:tcPr>
          <w:p w14:paraId="668EB559" w14:textId="3173F1B9" w:rsidR="008420C9" w:rsidRPr="002C080C" w:rsidRDefault="008420C9"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Reid et al., 2017</w:t>
            </w:r>
            <w:r w:rsidR="00736F42" w:rsidRPr="002C080C">
              <w:rPr>
                <w:rFonts w:ascii="Palatino Linotype" w:hAnsi="Palatino Linotype" w:cs="Arial"/>
                <w:b w:val="0"/>
                <w:bCs w:val="0"/>
                <w:sz w:val="20"/>
                <w:szCs w:val="20"/>
              </w:rPr>
              <w:t xml:space="preserve"> </w:t>
            </w:r>
            <w:r w:rsidR="00736F42"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{"citationID":"aen40tjeja","properties":{"formattedCitation":"[11]","plainCitation":"[11]","noteIndex":0},"citationItems":[{"id":17763,"uris":["http://zotero.org/users/10591407/items/NLJPUKL8"],"itemData":{"id":17763,"type":"article-journal","abstract":"Meeting the energy demands of prolonged arduous expeditions and endurance sport may be a significant barrier to success. Expedition rowing is associated with high levels of body-mass loss, reflecting the challenge of meeting energy expenditure in this exacting environment. Purpose: To use the doubly labeled water (DLW) technique to calculate the total energy expenditure (TEE) and body-composition changes of two 28-y-old healthy male athletes during a 50-d continuous and unsupported row around Great Britain. Methods: A measured dose of DLW was taken at the start of 2 separate study periods (days 5-19 and 34-48) followed by sequential urine collection, which was analyzed on return to land. Results: Mean TEE was 15.3 MJ/d: athlete 1, 16.4 MJ/d; athlete 2, 14.9 MJ/d. Athlete 1 lost 11.2 kg and athlete 2 lost 14.9 kg of body mass during the row. Average energy provision was 19.1 MJ per 24-h ration pack. Conclusions: These results highlight the difficulty of maintaining energy balance during expedition rowing. A starvation state was observed despite dietary provision in excess of estimated energy expenditure, indicating that nutritional strategy rather than caloric availability was at fault. The authors recommend that future expeditions prioritize thorough testing and the individualization of rations to ensure that they are both palatable and practical during the weeks to months at sea. ABSTRACT FROM AUTHOR","archive":"SPORTDiscus with Full Text","container-title":"International Journal of Sports Physiology &amp; Performance","DOI":"10.1123/ijspp.2016-0349","ISSN":"15550265","issue":"8","journalAbbreviation":"International Journal of Sports Physiology &amp; Performance","note":"publisher: Human Kinetics Publishers, Inc.","page":"1012-1016","source":"EBSCOhost","title":"Starvation Resulting From Inadequate Dietary Planning for a 50-Day Rowing Expedition.","volume":"12","author":[{"family":"Reid","given":"Hamish A. B."},{"family":"Dennison","given":"Nicholas C."},{"family":"Quayle","given":"Jonathan"},{"family":"Preston","given":"Tom"}],"issued":{"date-parts":[["2017",9]]}}}],"schema":"https://github.com/citation-style-language/schema/raw/master/csl-citation.json"} </w:instrText>
            </w:r>
            <w:r w:rsidR="00736F42"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[11]</w:t>
            </w:r>
            <w:r w:rsidR="00736F42" w:rsidRPr="002C080C">
              <w:rPr>
                <w:rFonts w:ascii="Palatino Linotype" w:hAnsi="Palatino Linotype" w:cs="Arial"/>
                <w:sz w:val="20"/>
                <w:szCs w:val="20"/>
              </w:rPr>
              <w:fldChar w:fldCharType="end"/>
            </w:r>
          </w:p>
        </w:tc>
        <w:tc>
          <w:tcPr>
            <w:tcW w:w="1580" w:type="pct"/>
          </w:tcPr>
          <w:p w14:paraId="0BD015D1" w14:textId="1617BAE9" w:rsidR="008420C9" w:rsidRPr="002C080C" w:rsidRDefault="008420C9" w:rsidP="008420C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(2</w:t>
            </w:r>
            <w:r w:rsidR="003D54EF" w:rsidRPr="002C080C">
              <w:rPr>
                <w:rFonts w:ascii="Palatino Linotype" w:hAnsi="Palatino Linotype" w:cs="Arial"/>
                <w:sz w:val="20"/>
                <w:szCs w:val="20"/>
              </w:rPr>
              <w:t>,4</w:t>
            </w:r>
            <w:r w:rsidRPr="002C080C">
              <w:rPr>
                <w:rFonts w:ascii="Palatino Linotype" w:hAnsi="Palatino Linotype" w:cs="Arial"/>
                <w:sz w:val="20"/>
                <w:szCs w:val="20"/>
              </w:rPr>
              <w:t>)</w:t>
            </w:r>
          </w:p>
        </w:tc>
      </w:tr>
      <w:tr w:rsidR="008420C9" w:rsidRPr="002C080C" w14:paraId="73DC4B0E"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Pr>
          <w:p w14:paraId="117AA8F5" w14:textId="481BD25D" w:rsidR="008420C9" w:rsidRPr="002C080C" w:rsidRDefault="008420C9" w:rsidP="004A22D0">
            <w:pPr>
              <w:jc w:val="center"/>
              <w:rPr>
                <w:rFonts w:ascii="Palatino Linotype" w:hAnsi="Palatino Linotype" w:cs="Arial"/>
                <w:b w:val="0"/>
                <w:bCs w:val="0"/>
                <w:sz w:val="20"/>
                <w:szCs w:val="20"/>
              </w:rPr>
            </w:pPr>
            <w:proofErr w:type="spellStart"/>
            <w:r w:rsidRPr="002C080C">
              <w:rPr>
                <w:rFonts w:ascii="Palatino Linotype" w:hAnsi="Palatino Linotype" w:cs="Arial"/>
                <w:b w:val="0"/>
                <w:bCs w:val="0"/>
                <w:sz w:val="20"/>
                <w:szCs w:val="20"/>
              </w:rPr>
              <w:t>Sesbreno</w:t>
            </w:r>
            <w:proofErr w:type="spellEnd"/>
            <w:r w:rsidRPr="002C080C">
              <w:rPr>
                <w:rFonts w:ascii="Palatino Linotype" w:hAnsi="Palatino Linotype" w:cs="Arial"/>
                <w:b w:val="0"/>
                <w:bCs w:val="0"/>
                <w:sz w:val="20"/>
                <w:szCs w:val="20"/>
              </w:rPr>
              <w:t xml:space="preserve"> et al., 2021</w:t>
            </w:r>
            <w:r w:rsidR="00736F42" w:rsidRPr="002C080C">
              <w:rPr>
                <w:rFonts w:ascii="Palatino Linotype" w:hAnsi="Palatino Linotype" w:cs="Arial"/>
                <w:b w:val="0"/>
                <w:bCs w:val="0"/>
                <w:sz w:val="20"/>
                <w:szCs w:val="20"/>
              </w:rPr>
              <w:t xml:space="preserve"> </w:t>
            </w:r>
            <w:r w:rsidR="00736F42"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{"citationID":"a1skmbmuohm","properties":{"formattedCitation":"[12]","plainCitation":"[12]","noteIndex":0},"citationItems":[{"id":17125,"uris":["http://zotero.org/users/10591407/items/MUVBTHUG"],"itemData":{"id":17125,"type":"article-journal","abstract":"Elite volleyball athletes experience significant physical and psychological demands during the competitive season. The aim was to compare the dietary intake of male volleyball athletes with recommendations for sport and health, and to examine the association of physique traits and knee health on eating behaviours and of eating behaviours on reported dietary intake. Using a retrospective cross-sectional design, 22 male athletes from a national indoor volleyball program underwent anthropometric, dual-energy X-ray absorptiometry and resting metabolic rate testing, 4-day dietary intake and hematological analysis, and also completed the three-factor eating questionnaire-R18 for eating behaviours and the Victorian Institute of Sport Assessment-patellar tendon (VISA-P) questionnaire for knee health. Most players under-consumed energy compared to reference guidelines, secondary to under-consuming carbohydrate for exercise. The primary eating behaviour was cognitive restraint, which was associated with body mass index and ectomorphy. Emotional eating behaviour was associated with VISA-P. Differences in emotional and cognitive restraint eating behaviours did not impact dietary intake. The findings suggest that players are at risk of an impaired ability to adapt to and recover from training during an important segment of the competitive season. Future work should explore the presence of low energy availability in elite male volleyball players.","container-title":"Nutrients","DOI":"10.3390/nu13051435","ISSN":"2072-6643","issue":"5","journalAbbreviation":"Nutrients","language":"eng","note":"PMID: 33923156\nPMCID: PMC8146803","page":"1435","source":"PubMed","title":"Elite Male Volleyball Players Are at Risk of Insufficient Energy and Carbohydrate Intake","volume":"13","author":[{"family":"Sesbreno","given":"Erik"},{"family":"Dziedzic","given":"Christine E."},{"family":"Sygo","given":"Jennifer"},{"family":"Blondin","given":"Denis P."},{"family":"Haman","given":"François"},{"family":"Leclerc","given":"Suzanne"},{"family":"Brazeau","given":"Anne-Sophie"},{"family":"Mountjoy","given":"Margo"}],"issued":{"date-parts":[["2021",4,24]]}}}],"schema":"https://github.com/citation-style-language/schema/raw/master/csl-citation.json"} </w:instrText>
            </w:r>
            <w:r w:rsidR="00736F42"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[12]</w:t>
            </w:r>
            <w:r w:rsidR="00736F42" w:rsidRPr="002C080C">
              <w:rPr>
                <w:rFonts w:ascii="Palatino Linotype" w:hAnsi="Palatino Linotype" w:cs="Arial"/>
                <w:sz w:val="20"/>
                <w:szCs w:val="20"/>
              </w:rPr>
              <w:fldChar w:fldCharType="end"/>
            </w:r>
          </w:p>
        </w:tc>
        <w:tc>
          <w:tcPr>
            <w:tcW w:w="1580" w:type="pct"/>
          </w:tcPr>
          <w:p w14:paraId="29B0849D" w14:textId="266A2A3D" w:rsidR="008420C9" w:rsidRPr="002C080C" w:rsidRDefault="008420C9" w:rsidP="008420C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(2</w:t>
            </w:r>
            <w:r w:rsidR="0007309B" w:rsidRPr="002C080C">
              <w:rPr>
                <w:rFonts w:ascii="Palatino Linotype" w:hAnsi="Palatino Linotype" w:cs="Arial"/>
                <w:sz w:val="20"/>
                <w:szCs w:val="20"/>
              </w:rPr>
              <w:t>)</w:t>
            </w:r>
          </w:p>
        </w:tc>
      </w:tr>
      <w:tr w:rsidR="008420C9" w:rsidRPr="002C080C" w14:paraId="005FB94A" w14:textId="77777777" w:rsidTr="002C080C">
        <w:tc>
          <w:tcPr>
            <w:cnfStyle w:val="001000000000" w:firstRow="0" w:lastRow="0" w:firstColumn="1" w:lastColumn="0" w:oddVBand="0" w:evenVBand="0" w:oddHBand="0" w:evenHBand="0" w:firstRowFirstColumn="0" w:firstRowLastColumn="0" w:lastRowFirstColumn="0" w:lastRowLastColumn="0"/>
            <w:tcW w:w="3420" w:type="pct"/>
          </w:tcPr>
          <w:p w14:paraId="653857FD" w14:textId="435990D8" w:rsidR="008420C9" w:rsidRPr="002C080C" w:rsidRDefault="008420C9" w:rsidP="004A22D0">
            <w:pPr>
              <w:jc w:val="center"/>
              <w:rPr>
                <w:rFonts w:ascii="Palatino Linotype" w:hAnsi="Palatino Linotype" w:cs="Arial"/>
                <w:b w:val="0"/>
                <w:bCs w:val="0"/>
                <w:sz w:val="20"/>
                <w:szCs w:val="20"/>
              </w:rPr>
            </w:pPr>
            <w:proofErr w:type="spellStart"/>
            <w:r w:rsidRPr="002C080C">
              <w:rPr>
                <w:rFonts w:ascii="Palatino Linotype" w:hAnsi="Palatino Linotype" w:cs="Arial"/>
                <w:b w:val="0"/>
                <w:bCs w:val="0"/>
                <w:sz w:val="20"/>
                <w:szCs w:val="20"/>
              </w:rPr>
              <w:t>Stenqvist</w:t>
            </w:r>
            <w:proofErr w:type="spellEnd"/>
            <w:r w:rsidRPr="002C080C">
              <w:rPr>
                <w:rFonts w:ascii="Palatino Linotype" w:hAnsi="Palatino Linotype" w:cs="Arial"/>
                <w:b w:val="0"/>
                <w:bCs w:val="0"/>
                <w:sz w:val="20"/>
                <w:szCs w:val="20"/>
              </w:rPr>
              <w:t xml:space="preserve"> et al., 2021</w:t>
            </w:r>
            <w:r w:rsidR="00736F42" w:rsidRPr="002C080C">
              <w:rPr>
                <w:rFonts w:ascii="Palatino Linotype" w:hAnsi="Palatino Linotype" w:cs="Arial"/>
                <w:b w:val="0"/>
                <w:bCs w:val="0"/>
                <w:sz w:val="20"/>
                <w:szCs w:val="20"/>
              </w:rPr>
              <w:t xml:space="preserve"> </w:t>
            </w:r>
            <w:r w:rsidR="00736F42"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{"citationID":"a27c7jpqsgq","properties":{"formattedCitation":"[13]","plainCitation":"[13]","noteIndex":0},"citationItems":[{"id":17153,"uris":["http://zotero.org/users/10591407/items/72V8TQAC"],"itemData":{"id":17153,"type":"article-journal","abstract":"The syndrome of Relative Energy Deficiency in Sport (RED-S) includes wide-ranging effects on physiological and psychological functioning, performance, and general health. However, RED-S is understudied among male athletes at the highest performance levels. This cross-sectional study aimed to investigate surrogate RED-S markers prevalence in Norwegian male Olympic-level athletes. Athletes (n = 44) aged 24.7 ± 3.8 years, body mass 81.3 ± 15.9 kg, body fat 13.7% ± 5.8%, and training volume 76.1 ± 22.9 hr/month were included. Assessed parameters included resting metabolic rate (RMR), body composition, and bone mineral density by dual-energy X-ray absorptiometry and venous blood variables (testosterone, free triiodothyronine, cortisol, and lipids). Seven athletes (16%) grouped by the presence of low RMR (RMRratio &lt; 0.90) (0.81 ± 0.07 vs. 1.04 ± 0.09, p &lt; .001, effect size 2.6), also showed lower testosterone (12.9 ± 5.3 vs. 19.0 ± 5.3 nmol/L, p = .020) than in normal RMR group. In low RMRratio individuals, prevalence of other RED-S markers (-subclinical-low testosterone, low free triiodothyronine, high cortisol, and elevated low-density lipoprotein) was (N/number of markers): 2/0, 2/1, 2/2, 1/3. Low bone mineral density (z-score &lt; -1) was found in 16% of the athletes, all with normal RMR. Subclinical low testosterone and free triiodothyronine levels were found in nine (25%) and two (5%) athletes, respectively. Subclinical high cortisol was found in 23% of athletes while 34% had elevated low-density lipoprotein cholesterol levels. Seven of 12 athletes with two or more RED-S markers had normal RMR. In conclusion, this study found that multiple RED-S markers also exist in male Olympic-level athletes. This highlights the importance of regular screening of male elite athletes, to ensure early detection and treatment of RED-S.","container-title":"International Journal of Sport Nutrition and Exercise Metabolism","DOI":"10.1123/ijsnem.2020-0368","ISSN":"1543-2742","issue":"6","journalAbbreviation":"Int J Sport Nutr Exerc Metab","language":"eng","note":"PMID: 34489365","page":"497-506","source":"PubMed","title":"Prevalence of Surrogate Markers of Relative Energy Deficiency in Male Norwegian Olympic-Level Athletes","volume":"31","author":[{"family":"Stenqvist","given":"Thomas Birkedal"},{"family":"Melin","given":"Anna Katarina"},{"family":"Garthe","given":"Ina"},{"family":"Slater","given":"Gary"},{"family":"Paulsen","given":"Gøran"},{"family":"Iraki","given":"Juma"},{"family":"Areta","given":"Jose"},{"family":"Torstveit","given":"Monica Klungland"}],"issued":{"date-parts":[["2021",11,1]]}}}],"schema":"https://github.com/citation-style-language/schema/raw/master/csl-citation.json"} </w:instrText>
            </w:r>
            <w:r w:rsidR="00736F42"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[13]</w:t>
            </w:r>
            <w:r w:rsidR="00736F42" w:rsidRPr="002C080C">
              <w:rPr>
                <w:rFonts w:ascii="Palatino Linotype" w:hAnsi="Palatino Linotype" w:cs="Arial"/>
                <w:sz w:val="20"/>
                <w:szCs w:val="20"/>
              </w:rPr>
              <w:fldChar w:fldCharType="end"/>
            </w:r>
          </w:p>
        </w:tc>
        <w:tc>
          <w:tcPr>
            <w:tcW w:w="1580" w:type="pct"/>
          </w:tcPr>
          <w:p w14:paraId="3D946126" w14:textId="667D8BE0" w:rsidR="008420C9" w:rsidRPr="002C080C" w:rsidRDefault="008420C9" w:rsidP="008420C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(1,2)</w:t>
            </w:r>
          </w:p>
        </w:tc>
      </w:tr>
      <w:tr w:rsidR="008420C9" w:rsidRPr="002C080C" w14:paraId="24AFE3A5"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Pr>
          <w:p w14:paraId="7353EE1F" w14:textId="3DB73192" w:rsidR="008420C9" w:rsidRPr="002C080C" w:rsidRDefault="008420C9" w:rsidP="004A22D0">
            <w:pPr>
              <w:jc w:val="center"/>
              <w:rPr>
                <w:rFonts w:ascii="Palatino Linotype" w:hAnsi="Palatino Linotype" w:cs="Arial"/>
                <w:b w:val="0"/>
                <w:bCs w:val="0"/>
                <w:sz w:val="20"/>
                <w:szCs w:val="20"/>
              </w:rPr>
            </w:pPr>
            <w:proofErr w:type="spellStart"/>
            <w:r w:rsidRPr="002C080C">
              <w:rPr>
                <w:rFonts w:ascii="Palatino Linotype" w:hAnsi="Palatino Linotype" w:cs="Arial"/>
                <w:b w:val="0"/>
                <w:bCs w:val="0"/>
                <w:sz w:val="20"/>
                <w:szCs w:val="20"/>
              </w:rPr>
              <w:t>Stenqvist</w:t>
            </w:r>
            <w:proofErr w:type="spellEnd"/>
            <w:r w:rsidRPr="002C080C">
              <w:rPr>
                <w:rFonts w:ascii="Palatino Linotype" w:hAnsi="Palatino Linotype" w:cs="Arial"/>
                <w:b w:val="0"/>
                <w:bCs w:val="0"/>
                <w:sz w:val="20"/>
                <w:szCs w:val="20"/>
              </w:rPr>
              <w:t xml:space="preserve"> et al., 2020</w:t>
            </w:r>
            <w:r w:rsidR="0060303C" w:rsidRPr="002C080C">
              <w:rPr>
                <w:rFonts w:ascii="Palatino Linotype" w:hAnsi="Palatino Linotype" w:cs="Arial"/>
                <w:b w:val="0"/>
                <w:bCs w:val="0"/>
                <w:sz w:val="20"/>
                <w:szCs w:val="20"/>
              </w:rPr>
              <w:t xml:space="preserve"> </w:t>
            </w:r>
            <w:r w:rsidR="0060303C"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{"citationID":"a26q80g6sga","properties":{"formattedCitation":"[14]","plainCitation":"[14]","noteIndex":0},"citationItems":[{"id":17163,"uris":["http://zotero.org/users/10591407/items/WRKKQQBM"],"itemData":{"id":17163,"type":"article-journal","abstract":"Cyclists often apply block periodization to high training volumes in meso- and macrocycles to optimize training adaptation and to prepare for competition. Body mass influences performance in many sports, including endurance disciplines, and conditions related to the syndrome Relative Energy Deficiency in Sports (RED-S) such as metabolic adaptations and premature osteoporosis have also been reported in male cyclists. This study aimed to determine how a 4-week mesocycle of intensified endurance training designed to increase performance, would affect markers of RED-S in well-trained male cyclists. Twenty-two participants (age: 33.5 ± 6.6 years, height: 181.4 ± 5.2 cm, weight: 76.5 ± 7.4 kg, peak oxygen uptake (VO2peak): 63.5 ± 6.6 mL·kg-1·min-1) were recruited and instructed to maintain their background training load and to follow a supervised training protocol consisting of three high-intensity interval training sessions per week with a work duration of 32 min per session. Protocols included pre- and postintervention assessment of resting metabolic rate (RMR) using a ventilated hood, body composition and bone health by dual-energy X-ray absorptiometry (DXA), blood samples, energy intake, and aerobic performance. The interval training increased participants' aerobic performance-peak power output [4.8%, p &lt; 0.001], VO2peak [2.4%, p = 0.005], and functional threshold power [6.5%, p &lt; 0.001] as well as total testosterone levels [8.1%, p = 0.011]-while no changes were observed in free testosterone [4.1%, p = 0.326]. Bodyweight, body composition, and energy intake were unchanged from pre- to post-test. Triiodothyronine (T3) [4.8%, p = 0.008], absolute RMR [3.0%, p = 0.010], relative RMR [2.6%, p = 0.013], and RMRratio [3.3%, p = 0.011] decreased, and cortisol levels increased [12.9%, p = 0.021], while no change were observed in the total testosterone:cortisol ratio [1.6%, p = 0.789] or the free testosterone:cortisol (fT:cor) ratio [3.2%, p = 0.556]. A subgroup analysis of the five participants with the largest increase in fT:cor ratio, revealed a greater improvement in functional threshold power (9.5 vs. 2.5%, p = 0.037), and higher relative RMR (0.6 vs. -4.2% p = 0.039, respectively). In conclusion, 4 weeks of intensified endurance interval training increased the athletes' aerobic performance and testosterone levels. However, negative changes in markers related to RED-S, such as a reduction in RMR and T3, and an increase in cortisol were observed. These results indicate the complexity involved, and that male athletes are at risk of developing clinical indications of RED-S even during a short 4-week endurance training mesocycle.","container-title":"Frontiers in Endocrinology","DOI":"10.3389/fendo.2020.512365","ISSN":"1664-2392","journalAbbreviation":"Front Endocrinol (Lausanne)","language":"eng","note":"PMID: 33101190\nPMCID: PMC7545350","page":"512365","source":"PubMed","title":"Impact of a 4-Week Intensified Endurance Training Intervention on Markers of Relative Energy Deficiency in Sport (RED-S) and Performance Among Well-Trained Male Cyclists","volume":"11","author":[{"family":"Stenqvist","given":"Thomas Birkedal"},{"family":"Torstveit","given":"Monica Klungland"},{"family":"Faber","given":"Jens"},{"family":"Melin","given":"Anna Katarina"}],"issued":{"date-parts":[["2020"]]}}}],"schema":"https://github.com/citation-style-language/schema/raw/master/csl-citation.json"} </w:instrText>
            </w:r>
            <w:r w:rsidR="0060303C"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[14]</w:t>
            </w:r>
            <w:r w:rsidR="0060303C" w:rsidRPr="002C080C">
              <w:rPr>
                <w:rFonts w:ascii="Palatino Linotype" w:hAnsi="Palatino Linotype" w:cs="Arial"/>
                <w:sz w:val="20"/>
                <w:szCs w:val="20"/>
              </w:rPr>
              <w:fldChar w:fldCharType="end"/>
            </w:r>
          </w:p>
        </w:tc>
        <w:tc>
          <w:tcPr>
            <w:tcW w:w="1580" w:type="pct"/>
          </w:tcPr>
          <w:p w14:paraId="75E31BD6" w14:textId="77777777" w:rsidR="008420C9" w:rsidRPr="002C080C" w:rsidRDefault="008420C9" w:rsidP="008420C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(2)</w:t>
            </w:r>
          </w:p>
        </w:tc>
      </w:tr>
      <w:tr w:rsidR="008420C9" w:rsidRPr="002C080C" w14:paraId="443B8266" w14:textId="77777777" w:rsidTr="002C080C">
        <w:tc>
          <w:tcPr>
            <w:cnfStyle w:val="001000000000" w:firstRow="0" w:lastRow="0" w:firstColumn="1" w:lastColumn="0" w:oddVBand="0" w:evenVBand="0" w:oddHBand="0" w:evenHBand="0" w:firstRowFirstColumn="0" w:firstRowLastColumn="0" w:lastRowFirstColumn="0" w:lastRowLastColumn="0"/>
            <w:tcW w:w="3420" w:type="pct"/>
          </w:tcPr>
          <w:p w14:paraId="68F31BDA" w14:textId="5F157ED6" w:rsidR="008420C9" w:rsidRPr="002C080C" w:rsidRDefault="008420C9" w:rsidP="004A22D0">
            <w:pPr>
              <w:jc w:val="center"/>
              <w:rPr>
                <w:rFonts w:ascii="Palatino Linotype" w:hAnsi="Palatino Linotype" w:cs="Arial"/>
                <w:b w:val="0"/>
                <w:bCs w:val="0"/>
                <w:sz w:val="20"/>
                <w:szCs w:val="20"/>
              </w:rPr>
            </w:pPr>
            <w:proofErr w:type="spellStart"/>
            <w:r w:rsidRPr="002C080C">
              <w:rPr>
                <w:rFonts w:ascii="Palatino Linotype" w:hAnsi="Palatino Linotype" w:cs="Arial"/>
                <w:b w:val="0"/>
                <w:bCs w:val="0"/>
                <w:sz w:val="20"/>
                <w:szCs w:val="20"/>
              </w:rPr>
              <w:t>Stenqvist</w:t>
            </w:r>
            <w:proofErr w:type="spellEnd"/>
            <w:r w:rsidRPr="002C080C">
              <w:rPr>
                <w:rFonts w:ascii="Palatino Linotype" w:hAnsi="Palatino Linotype" w:cs="Arial"/>
                <w:b w:val="0"/>
                <w:bCs w:val="0"/>
                <w:sz w:val="20"/>
                <w:szCs w:val="20"/>
              </w:rPr>
              <w:t xml:space="preserve"> et al., 2023</w:t>
            </w:r>
            <w:r w:rsidR="0060303C" w:rsidRPr="002C080C">
              <w:rPr>
                <w:rFonts w:ascii="Palatino Linotype" w:hAnsi="Palatino Linotype" w:cs="Arial"/>
                <w:b w:val="0"/>
                <w:bCs w:val="0"/>
                <w:sz w:val="20"/>
                <w:szCs w:val="20"/>
              </w:rPr>
              <w:t xml:space="preserve"> </w:t>
            </w:r>
            <w:r w:rsidR="0060303C"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{"citationID":"a1mop97drk9","properties":{"formattedCitation":"[15]","plainCitation":"[15]","noteIndex":0},"citationItems":[{"id":17239,"uris":["http://zotero.org/users/10591407/items/ZNE64YBA"],"itemData":{"id":17239,"type":"article-journal","abstract":"Longitudinal measurements of Relative Energy Deficiency in Sport (REDs) among adolescent male elite athletes are lacking. We aimed to monitor REDs indicators and their possible impact on performance in elite high-school cross-country skiing and biathlon athletes (n = 13) (16.3 ± 0.4 years, 179.4 ± 7.6 cm, 63.6 ± 8.2 kg body mass (BM), and peak oxygen uptake (VO2peak): 61.5 ± 5.3 mL/kg BM/min) every 6 months for 3 years. Protocols included assessments of energy availability (EA), body composition and bone mineral density (BMD), resting metabolic rate (RMR), disordered eating behavior, exercise addiction, VO2peak, and muscle strength. Data were analyzed using a linear mixed model. At baseline, 38% had low lumbar BMD (Z-score ≤ -1), and overall, bone health increased only slightly. VO2peak and muscle strength improved (p &lt; 0.001), RMR decreased (p = 0.016), and no change was observed in EA or physiological or psychological REDs indicators. Conclusively, many of these young male athletes had poor bone health at baseline, and most either lost or did not achieve the expected pubertal bone mineral accrual, although no other indication of REDs was observed, while performance improved during the study period. Our findings highlight the importance of elite sports high schools focusing on screening for early detection of impaired bone health in male athletes.","container-title":"Nutrients","DOI":"10.3390/nu15245086","ISSN":"2072-6643","issue":"24","journalAbbreviation":"Nutrients","language":"eng","note":"PMID: 38140345\nPMCID: PMC10745353","page":"5086","source":"PubMed","title":"Relative Energy Deficiency in Sport (REDs) Indicators in Male Adolescent Endurance Athletes: A 3-Year Longitudinal Study","title-short":"Relative Energy Deficiency in Sport (REDs) Indicators in Male Adolescent Endurance Athletes","volume":"15","author":[{"family":"Stenqvist","given":"Thomas Birkedal"},{"family":"Melin","given":"Anna Katarina"},{"family":"Torstveit","given":"Monica Klungland"}],"issued":{"date-parts":[["2023",12,12]]}}}],"schema":"https://github.com/citation-style-language/schema/raw/master/csl-citation.json"} </w:instrText>
            </w:r>
            <w:r w:rsidR="0060303C"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[15]</w:t>
            </w:r>
            <w:r w:rsidR="0060303C" w:rsidRPr="002C080C">
              <w:rPr>
                <w:rFonts w:ascii="Palatino Linotype" w:hAnsi="Palatino Linotype" w:cs="Arial"/>
                <w:sz w:val="20"/>
                <w:szCs w:val="20"/>
              </w:rPr>
              <w:fldChar w:fldCharType="end"/>
            </w:r>
          </w:p>
        </w:tc>
        <w:tc>
          <w:tcPr>
            <w:tcW w:w="1580" w:type="pct"/>
          </w:tcPr>
          <w:p w14:paraId="51805B4D" w14:textId="616119B6" w:rsidR="008420C9" w:rsidRPr="002C080C" w:rsidRDefault="008420C9" w:rsidP="008420C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(3)</w:t>
            </w:r>
          </w:p>
        </w:tc>
      </w:tr>
      <w:tr w:rsidR="008420C9" w:rsidRPr="002C080C" w14:paraId="19D16185"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Pr>
          <w:p w14:paraId="0ABCF102" w14:textId="2C53F161" w:rsidR="008420C9" w:rsidRPr="002C080C" w:rsidRDefault="008420C9"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Thompson et al., 1993</w:t>
            </w:r>
            <w:r w:rsidR="0060303C" w:rsidRPr="002C080C">
              <w:rPr>
                <w:rFonts w:ascii="Palatino Linotype" w:hAnsi="Palatino Linotype" w:cs="Arial"/>
                <w:b w:val="0"/>
                <w:bCs w:val="0"/>
                <w:sz w:val="20"/>
                <w:szCs w:val="20"/>
              </w:rPr>
              <w:t xml:space="preserve"> </w:t>
            </w:r>
            <w:r w:rsidR="0060303C"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{"citationID":"a18fgmm7ib3","properties":{"formattedCitation":"[16]","plainCitation":"[16]","noteIndex":0},"citationItems":[{"id":18589,"uris":["http://zotero.org/users/10591407/items/KW7J2L93"],"itemData":{"id":18589,"type":"article-journal","abstract":"The resting metabolic rate (RMR) and thermic effect of a meal (TEM) were determined in 13 low-energy intake (LOW) and 11 adequate-energy intake (ADQ) male endurance athletes. The LOW athletes reported eating 1,490 kcal.day-' less than the ADQ group, while the activity level of both g-roup.s was similar. Despite these differences, both groups had a similar fat-free mass (FFM) and had been weight stable for at least 2 years. The RMR was significantly lower @&lt;0.05) in the LOW group compared to the values of the ADQ group (1.19 vs. 1.29 kcal.FFM-'.hr-l, respectively); this difference represents a lower resting expenditure of 158 kcal.day-'. No differences were found in TEM between the two groups. These results suggest that a lower RMR is one mechanism that contributes to weight maintenance in a group of low- versus adequate-energy intake male athletes.","container-title":"International Journal of Sport Nutrition","DOI":"10.1123/ijsn.3.2.194","ISSN":"1050-1606","issue":"2","language":"en","page":"194-206","source":"DOI.org (Crossref)","title":"Resting Metabolic Rate and Thermic Effect of a Meal in Low- and Adequate-Energy Intake Male Endurance Athletes","volume":"3","author":[{"family":"Thompson","given":"Janice"},{"family":"Manore","given":"Melinda M."},{"family":"Skinner","given":"James S."}],"issued":{"date-parts":[["1993",6]]}}}],"schema":"https://github.com/citation-style-language/schema/raw/master/csl-citation.json"} </w:instrText>
            </w:r>
            <w:r w:rsidR="0060303C"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[16]</w:t>
            </w:r>
            <w:r w:rsidR="0060303C" w:rsidRPr="002C080C">
              <w:rPr>
                <w:rFonts w:ascii="Palatino Linotype" w:hAnsi="Palatino Linotype" w:cs="Arial"/>
                <w:sz w:val="20"/>
                <w:szCs w:val="20"/>
              </w:rPr>
              <w:fldChar w:fldCharType="end"/>
            </w:r>
          </w:p>
        </w:tc>
        <w:tc>
          <w:tcPr>
            <w:tcW w:w="1580" w:type="pct"/>
          </w:tcPr>
          <w:p w14:paraId="0D7698D2" w14:textId="037E43E8" w:rsidR="008420C9" w:rsidRPr="002C080C" w:rsidRDefault="008420C9" w:rsidP="008420C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(2)</w:t>
            </w:r>
          </w:p>
        </w:tc>
      </w:tr>
      <w:tr w:rsidR="008420C9" w:rsidRPr="002C080C" w14:paraId="6ABD619F" w14:textId="77777777" w:rsidTr="002C080C">
        <w:tc>
          <w:tcPr>
            <w:cnfStyle w:val="001000000000" w:firstRow="0" w:lastRow="0" w:firstColumn="1" w:lastColumn="0" w:oddVBand="0" w:evenVBand="0" w:oddHBand="0" w:evenHBand="0" w:firstRowFirstColumn="0" w:firstRowLastColumn="0" w:lastRowFirstColumn="0" w:lastRowLastColumn="0"/>
            <w:tcW w:w="3420" w:type="pct"/>
          </w:tcPr>
          <w:p w14:paraId="671160A4" w14:textId="18003622" w:rsidR="008420C9" w:rsidRPr="002C080C" w:rsidRDefault="008420C9"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Wilson et al., 2018</w:t>
            </w:r>
            <w:r w:rsidR="00A074B7" w:rsidRPr="002C080C">
              <w:rPr>
                <w:rFonts w:ascii="Palatino Linotype" w:hAnsi="Palatino Linotype" w:cs="Arial"/>
                <w:b w:val="0"/>
                <w:bCs w:val="0"/>
                <w:sz w:val="20"/>
                <w:szCs w:val="20"/>
              </w:rPr>
              <w:t xml:space="preserve"> </w:t>
            </w:r>
            <w:r w:rsidR="00C23364"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{"citationID":"a2is1ucnug1","properties":{"formattedCitation":"[17]","plainCitation":"[17]","noteIndex":0},"citationItems":[{"id":17629,"uris":["http://zotero.org/users/10591407/items/9RMGIZDL"],"itemData":{"id":17629,"type":"article-journal","abstract":"Despite consistent reports of poor bone health in male jockeys, it is not yet known if this is a consequence of low energy availability or lack of an osteogenic stimulus. Given the rationale that low energy availability is a contributing factor in low bone health, we tested the hypothesis that both hip and lumbar bone mineral density (BMD) should progressively worsen in accordance with the years of riding. In a cross-sectional design, male apprentice (n = 17) and senior (n = 14) jockeys (matched for body mass and fat-free mass) were assessed for hip and lumbar spine BMD, as well as both measured and predicted resting metabolic rate (RMR). Despite differences (p &lt;.05) in years of race riding (3.4 ± 2 vs. 16.3 ± 6.8), no differences were apparent (p &gt;.05) in hip (−0.9 ± 1.1 vs. −0.8 ± 0.7) and lumbar Z-scores (−1.3 ± 1.4 vs. −1.5 ± 1) or measured RMR (1,459 ± 160 vs. 1,500 ± 165 kcal/day) between apprentices and senior jockeys, respectively. Additionally, years of race riding did not demonstrate any significant correlations (p &gt;.05) with either hip or lumbar spine BMD. Measured RMR was also not different (p &gt;.05) from predicted RMR in either apprentice (1,520 ± 44 kcal/day) or senior jockeys (1,505 ± 70 kcal/day). When considered with previously published data examining underreporting of energy intake and direct assessments of energy expenditure, we suggest that low BMD in jockeys is not due to low energy availability per se but rather the lack of an osteogenic stimulus associated with riding. ABSTRACT FROM AUTHOR","archive":"SPORTDiscus with Full Text","container-title":"International Journal of Sport Nutrition &amp; Exercise Metabolism","DOI":"10.1123/ijsnem.2017-0371","ISSN":"1526484X","issue":"4","journalAbbreviation":"International Journal of Sport Nutrition &amp; Exercise Metabolism","note":"publisher: Human Kinetics Publishers, Inc.","page":"434-439","source":"EBSCOhost","title":"Male Flat Jockeys Do Not Display Deteriorations in Bone Density or Resting Metabolic Rate in Accordance With Race Riding Experience: Implications for RED-S.","volume":"28","author":[{"family":"Wilson","given":"George"},{"family":"Martin","given":"Dan"},{"family":"Morton","given":"James P."},{"family":"Close","given":"Graeme L."}],"issued":{"date-parts":[["2018",7]]}}}],"schema":"https://github.com/citation-style-language/schema/raw/master/csl-citation.json"} </w:instrText>
            </w:r>
            <w:r w:rsidR="00C23364"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[17]</w:t>
            </w:r>
            <w:r w:rsidR="00C23364" w:rsidRPr="002C080C">
              <w:rPr>
                <w:rFonts w:ascii="Palatino Linotype" w:hAnsi="Palatino Linotype" w:cs="Arial"/>
                <w:sz w:val="20"/>
                <w:szCs w:val="20"/>
              </w:rPr>
              <w:fldChar w:fldCharType="end"/>
            </w:r>
          </w:p>
        </w:tc>
        <w:tc>
          <w:tcPr>
            <w:tcW w:w="1580" w:type="pct"/>
          </w:tcPr>
          <w:p w14:paraId="20B56A57" w14:textId="64719D70" w:rsidR="008420C9" w:rsidRPr="002C080C" w:rsidRDefault="008420C9" w:rsidP="008420C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(1,2</w:t>
            </w:r>
            <w:r w:rsidR="007272E6" w:rsidRPr="002C080C">
              <w:rPr>
                <w:rFonts w:ascii="Palatino Linotype" w:hAnsi="Palatino Linotype" w:cs="Arial"/>
                <w:sz w:val="20"/>
                <w:szCs w:val="20"/>
              </w:rPr>
              <w:t>,4</w:t>
            </w:r>
            <w:r w:rsidRPr="002C080C">
              <w:rPr>
                <w:rFonts w:ascii="Palatino Linotype" w:hAnsi="Palatino Linotype" w:cs="Arial"/>
                <w:sz w:val="20"/>
                <w:szCs w:val="20"/>
              </w:rPr>
              <w:t>)</w:t>
            </w:r>
          </w:p>
        </w:tc>
      </w:tr>
      <w:tr w:rsidR="008420C9" w:rsidRPr="002C080C" w14:paraId="2FE34CA3" w14:textId="77777777" w:rsidTr="002C08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pct"/>
          </w:tcPr>
          <w:p w14:paraId="7E56FEAE" w14:textId="0FB341ED" w:rsidR="008420C9" w:rsidRPr="002C080C" w:rsidRDefault="008420C9" w:rsidP="004A22D0">
            <w:pPr>
              <w:jc w:val="center"/>
              <w:rPr>
                <w:rFonts w:ascii="Palatino Linotype" w:hAnsi="Palatino Linotype" w:cs="Arial"/>
                <w:b w:val="0"/>
                <w:bCs w:val="0"/>
                <w:sz w:val="20"/>
                <w:szCs w:val="20"/>
              </w:rPr>
            </w:pPr>
            <w:r w:rsidRPr="002C080C">
              <w:rPr>
                <w:rFonts w:ascii="Palatino Linotype" w:hAnsi="Palatino Linotype" w:cs="Arial"/>
                <w:b w:val="0"/>
                <w:bCs w:val="0"/>
                <w:sz w:val="20"/>
                <w:szCs w:val="20"/>
              </w:rPr>
              <w:t>Zekarias y Shrestha, 2019</w:t>
            </w:r>
            <w:r w:rsidR="00C23364" w:rsidRPr="002C080C">
              <w:rPr>
                <w:rFonts w:ascii="Palatino Linotype" w:hAnsi="Palatino Linotype" w:cs="Arial"/>
                <w:b w:val="0"/>
                <w:bCs w:val="0"/>
                <w:sz w:val="20"/>
                <w:szCs w:val="20"/>
              </w:rPr>
              <w:t xml:space="preserve"> </w:t>
            </w:r>
            <w:r w:rsidR="00490D35" w:rsidRPr="002C080C">
              <w:rPr>
                <w:rFonts w:ascii="Palatino Linotype" w:hAnsi="Palatino Linotype" w:cs="Arial"/>
                <w:sz w:val="20"/>
                <w:szCs w:val="20"/>
              </w:rPr>
              <w:fldChar w:fldCharType="begin"/>
            </w:r>
            <w:r w:rsidR="00194C00" w:rsidRPr="002C080C">
              <w:rPr>
                <w:rFonts w:ascii="Palatino Linotype" w:hAnsi="Palatino Linotype" w:cs="Arial"/>
                <w:b w:val="0"/>
                <w:bCs w:val="0"/>
                <w:sz w:val="20"/>
                <w:szCs w:val="20"/>
              </w:rPr>
              <w:instrText xml:space="preserve"> ADDIN ZOTERO_ITEM CSL_CITATION {"citationID":"a19ac6ij5bk","properties":{"formattedCitation":"[18]","plainCitation":"[18]","noteIndex":0},"citationItems":[{"id":17737,"uris":["http://zotero.org/users/10591407/items/CSF3VZIZ"],"itemData":{"id":17737,"type":"article-journal","abstract":"Objective: Exercise hypogonadal male condition is a well-recognized condition in women but much less understood in men. The aim of this case report is to highlight exercise-induced hypogonadotropic hypogonadism in a male who recovered with lifestyle modifications. Methods: We report a case of an adolescent male who developed hypogonadotropic hypogonadism secondary to excessive exercise and malnutrition that was followed up for a year without exogenous testosterone supplementation. Informed consent was obtained from the patient for his information to be used in a manuscript submitted to a journal. Results: An 18-yr-old adolescent male presented to the clinic with symptoms of fatigue and low endurance, low libido, and lack of morning erections. At the time of his presentation, he was running about 60 miles per week for school cross-country team in addition to cross training with kickboxing. Physical examination was remarkable for low body mass index of 19 kg·m−2 but was otherwise normal. Biochemical workup confirmed hypogonadotropic hypogonadism and a mild pancytopenia. Other pituitary laboratory values and MRI of the brain were unremarkable. Bone marrow biopsy performed for anemia showed features consistent with malnutrition. With a working diagnosis of exercise hypogonadal male condition, he was advised to reduce the frequency and intensity of his exercise and increase calorie intake. Cell counts and testosterone levels normalized, and his symptoms resolved without any further interventions. Conclusion: Significant reversible hypogonadism can develop after intensive and prolonged exercise. One of the mechanisms of hypogonadism in endurance athletes performing intensive exercise could be relative malnutrition. Further studies to evaluate the role of nutrition and body mass index in male endurance athletes presenting with hypogonadism are needed to identify the underlying mechanism of this condition. ABSTRACT FROM AUTHOR","archive":"SPORTDiscus with Full Text","container-title":"Medicine &amp; Science in Sports &amp; Exercise","DOI":"10.1249/MSS.0000000000001783","ISSN":"01959131","issue":"2","journalAbbreviation":"Medicine &amp; Science in Sports &amp; Exercise","page":"234-236","source":"EBSCOhost","title":"Role of Relative Malnutrition in Exercise Hypogonadal Male Condition.","volume":"51","author":[{"family":"Zekarias","given":"KIDMEALEM"},{"family":"Shrestha","given":"RUPENDRA T."}],"issued":{"date-parts":[["2019",2]]}}}],"schema":"https://github.com/citation-style-language/schema/raw/master/csl-citation.json"} </w:instrText>
            </w:r>
            <w:r w:rsidR="00490D35" w:rsidRPr="002C080C">
              <w:rPr>
                <w:rFonts w:ascii="Palatino Linotype" w:hAnsi="Palatino Linotype" w:cs="Arial"/>
                <w:sz w:val="20"/>
                <w:szCs w:val="20"/>
              </w:rPr>
              <w:fldChar w:fldCharType="separate"/>
            </w:r>
            <w:r w:rsidR="00194C00" w:rsidRPr="002C080C">
              <w:rPr>
                <w:rFonts w:ascii="Palatino Linotype" w:hAnsi="Palatino Linotype" w:cs="Arial"/>
                <w:b w:val="0"/>
                <w:bCs w:val="0"/>
                <w:sz w:val="20"/>
                <w:szCs w:val="20"/>
              </w:rPr>
              <w:t>[18]</w:t>
            </w:r>
            <w:r w:rsidR="00490D35" w:rsidRPr="002C080C">
              <w:rPr>
                <w:rFonts w:ascii="Palatino Linotype" w:hAnsi="Palatino Linotype" w:cs="Arial"/>
                <w:sz w:val="20"/>
                <w:szCs w:val="20"/>
              </w:rPr>
              <w:fldChar w:fldCharType="end"/>
            </w:r>
          </w:p>
        </w:tc>
        <w:tc>
          <w:tcPr>
            <w:tcW w:w="1580" w:type="pct"/>
          </w:tcPr>
          <w:p w14:paraId="6A7544F5" w14:textId="4617AF70" w:rsidR="008420C9" w:rsidRPr="002C080C" w:rsidRDefault="008420C9" w:rsidP="008420C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s="Arial"/>
                <w:sz w:val="20"/>
                <w:szCs w:val="20"/>
              </w:rPr>
            </w:pPr>
            <w:r w:rsidRPr="002C080C">
              <w:rPr>
                <w:rFonts w:ascii="Palatino Linotype" w:hAnsi="Palatino Linotype" w:cs="Arial"/>
                <w:sz w:val="20"/>
                <w:szCs w:val="20"/>
              </w:rPr>
              <w:t>(1,2)</w:t>
            </w:r>
          </w:p>
        </w:tc>
      </w:tr>
    </w:tbl>
    <w:p w14:paraId="208E681D" w14:textId="77777777" w:rsidR="00A029F9" w:rsidRPr="008C3DB3" w:rsidRDefault="00A029F9" w:rsidP="00C52928">
      <w:pPr>
        <w:spacing w:line="360" w:lineRule="auto"/>
        <w:jc w:val="both"/>
        <w:rPr>
          <w:rFonts w:ascii="Palatino Linotype" w:hAnsi="Palatino Linotype" w:cs="Arial"/>
          <w:sz w:val="12"/>
          <w:szCs w:val="12"/>
          <w:lang w:val="en-US"/>
        </w:rPr>
      </w:pPr>
    </w:p>
    <w:p w14:paraId="22958E84" w14:textId="77777777" w:rsidR="00194C00" w:rsidRPr="002C080C" w:rsidRDefault="00490D35" w:rsidP="00194C00">
      <w:pPr>
        <w:pStyle w:val="Bibliografa2"/>
        <w:rPr>
          <w:rFonts w:ascii="Palatino Linotype" w:hAnsi="Palatino Linotype"/>
          <w:sz w:val="20"/>
          <w:szCs w:val="20"/>
        </w:rPr>
      </w:pPr>
      <w:r w:rsidRPr="002C080C">
        <w:rPr>
          <w:rFonts w:ascii="Palatino Linotype" w:hAnsi="Palatino Linotype"/>
          <w:sz w:val="20"/>
          <w:szCs w:val="20"/>
        </w:rPr>
        <w:fldChar w:fldCharType="begin"/>
      </w:r>
      <w:r w:rsidR="00194C00" w:rsidRPr="002C080C">
        <w:rPr>
          <w:rFonts w:ascii="Palatino Linotype" w:hAnsi="Palatino Linotype"/>
          <w:sz w:val="20"/>
          <w:szCs w:val="20"/>
        </w:rPr>
        <w:instrText xml:space="preserve"> ADDIN ZOTERO_BIBL {"uncited":[],"omitted":[],"custom":[]} CSL_BIBLIOGRAPHY </w:instrText>
      </w:r>
      <w:r w:rsidRPr="002C080C">
        <w:rPr>
          <w:rFonts w:ascii="Palatino Linotype" w:hAnsi="Palatino Linotype"/>
          <w:sz w:val="20"/>
          <w:szCs w:val="20"/>
        </w:rPr>
        <w:fldChar w:fldCharType="separate"/>
      </w:r>
      <w:r w:rsidR="00194C00" w:rsidRPr="002C080C">
        <w:rPr>
          <w:rFonts w:ascii="Palatino Linotype" w:hAnsi="Palatino Linotype"/>
          <w:sz w:val="20"/>
          <w:szCs w:val="20"/>
        </w:rPr>
        <w:t>1.</w:t>
      </w:r>
      <w:r w:rsidR="00194C00" w:rsidRPr="002C080C">
        <w:rPr>
          <w:rFonts w:ascii="Palatino Linotype" w:hAnsi="Palatino Linotype"/>
          <w:sz w:val="20"/>
          <w:szCs w:val="20"/>
        </w:rPr>
        <w:tab/>
        <w:t>Abulmeaty MMA, Almajwal A, Elsayed M, Hassan H, Alsager T, Aldossari Z. Resting Metabolic Rate and Substrate Utilization during Energy and Protein Availability in Male and Female Athletes. Metabolites [Internet]. 2024;14(3). Available from: https://www.scopus.com/inward/record.uri?eid=2-s2.0-85188942768&amp;doi=10.3390%2fmetabo14030167&amp;partnerID=40&amp;md5=2ece84deb016696efafe0ac0fc6cf4b4</w:t>
      </w:r>
    </w:p>
    <w:p w14:paraId="5E8914E0"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2.</w:t>
      </w:r>
      <w:r w:rsidRPr="002C080C">
        <w:rPr>
          <w:rFonts w:ascii="Palatino Linotype" w:hAnsi="Palatino Linotype"/>
          <w:sz w:val="20"/>
          <w:szCs w:val="20"/>
        </w:rPr>
        <w:tab/>
        <w:t xml:space="preserve">Bell M, Ghatora R, Retsidou MI, Chatzigianni E (Elia), Klentrou P. Energy Expenditure, Dietary Energy Intake, and Nutritional Supplements in Adolescent Volleyball Athletes versus Nonathletic Controls. NUTRIENTS. 2023 Apr;15(7). </w:t>
      </w:r>
    </w:p>
    <w:p w14:paraId="4BF2B4AF"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3.</w:t>
      </w:r>
      <w:r w:rsidRPr="002C080C">
        <w:rPr>
          <w:rFonts w:ascii="Palatino Linotype" w:hAnsi="Palatino Linotype"/>
          <w:sz w:val="20"/>
          <w:szCs w:val="20"/>
        </w:rPr>
        <w:tab/>
        <w:t xml:space="preserve">Długołęcka B, Jówko E. Effects of Weight-Bearing and Weight-Supporting Sports on Bone Mass in Males. Polish Journal of Sport &amp; Tourism. 2022 Sep;29(3):9–14. </w:t>
      </w:r>
    </w:p>
    <w:p w14:paraId="390A7936"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4.</w:t>
      </w:r>
      <w:r w:rsidRPr="002C080C">
        <w:rPr>
          <w:rFonts w:ascii="Palatino Linotype" w:hAnsi="Palatino Linotype"/>
          <w:sz w:val="20"/>
          <w:szCs w:val="20"/>
        </w:rPr>
        <w:tab/>
        <w:t xml:space="preserve">Hackney AC, Hooper DR. Reductions in testosterone are not indicative of exercise performance decrement in male endurance athletes. Aging Male. 2020 Mar;23(1):33–4. </w:t>
      </w:r>
    </w:p>
    <w:p w14:paraId="61D8EC13"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5.</w:t>
      </w:r>
      <w:r w:rsidRPr="002C080C">
        <w:rPr>
          <w:rFonts w:ascii="Palatino Linotype" w:hAnsi="Palatino Linotype"/>
          <w:sz w:val="20"/>
          <w:szCs w:val="20"/>
        </w:rPr>
        <w:tab/>
        <w:t xml:space="preserve">Kasper AM, Crighton B, Langan-Evans C, Riley P, Sharma A, Close GL, et al. Case Study: Extreme Weight Making Causes Relative Energy Deficiency, Dehydration, and Acute Kidney Injury in a Male Mixed Martial Arts Athlete. International Journal of Sport Nutrition &amp; Exercise Metabolism. 2019 May;29(3):331–8. </w:t>
      </w:r>
    </w:p>
    <w:p w14:paraId="59E57E7A"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lastRenderedPageBreak/>
        <w:t>6.</w:t>
      </w:r>
      <w:r w:rsidRPr="002C080C">
        <w:rPr>
          <w:rFonts w:ascii="Palatino Linotype" w:hAnsi="Palatino Linotype"/>
          <w:sz w:val="20"/>
          <w:szCs w:val="20"/>
        </w:rPr>
        <w:tab/>
        <w:t xml:space="preserve">Keay N, Francis G, Hind K. Low energy availability assessed by a sport-specific questionnaire and clinical interview indicative of bone health, endocrine profile and cycling performance in competitive male cyclists. BMJ Open Sport Exerc Med. 2018;4(1):e000424. </w:t>
      </w:r>
    </w:p>
    <w:p w14:paraId="5431E589"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7.</w:t>
      </w:r>
      <w:r w:rsidRPr="002C080C">
        <w:rPr>
          <w:rFonts w:ascii="Palatino Linotype" w:hAnsi="Palatino Linotype"/>
          <w:sz w:val="20"/>
          <w:szCs w:val="20"/>
        </w:rPr>
        <w:tab/>
        <w:t xml:space="preserve">Keay N, Francis G, Entwistle I, Hind K. Clinical evaluation of education relating to nutrition and skeletal loading in competitive male road cyclists at risk of relative energy deficiency in sports (RED-S): 6-month randomised controlled trial. BMJ Open Sport Exerc Med. 2019;5(1):e000523. </w:t>
      </w:r>
    </w:p>
    <w:p w14:paraId="193FA318"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8.</w:t>
      </w:r>
      <w:r w:rsidRPr="002C080C">
        <w:rPr>
          <w:rFonts w:ascii="Palatino Linotype" w:hAnsi="Palatino Linotype"/>
          <w:sz w:val="20"/>
          <w:szCs w:val="20"/>
        </w:rPr>
        <w:tab/>
        <w:t xml:space="preserve">Kemmler W, Roloff I, Baumann H, Schoeffl V, Weineck J, Kalender W, et al. Effect of Exercise, Body Composition, and Nutritional Intake on Bone Parameters in Male Elite Rock Climbers. International Journal of Sports Medicine. 2006 Aug;27(8):653–9. </w:t>
      </w:r>
    </w:p>
    <w:p w14:paraId="39609FE5"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9.</w:t>
      </w:r>
      <w:r w:rsidRPr="002C080C">
        <w:rPr>
          <w:rFonts w:ascii="Palatino Linotype" w:hAnsi="Palatino Linotype"/>
          <w:sz w:val="20"/>
          <w:szCs w:val="20"/>
        </w:rPr>
        <w:tab/>
        <w:t xml:space="preserve">Motonaga K, Yoshida S, Yamagami F, Kawano T, Takeda E. Estimation of total daily energy expenditure and its components by monitoring the heart rate of Japanese endurance athletes. Journal of Nutritional Science and Vitaminology. 2006;52(5):360–7. </w:t>
      </w:r>
    </w:p>
    <w:p w14:paraId="4AE2D54E" w14:textId="212B3E7D"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10.</w:t>
      </w:r>
      <w:r w:rsidRPr="002C080C">
        <w:rPr>
          <w:rFonts w:ascii="Palatino Linotype" w:hAnsi="Palatino Linotype"/>
          <w:sz w:val="20"/>
          <w:szCs w:val="20"/>
        </w:rPr>
        <w:tab/>
        <w:t xml:space="preserve">Narla A, Kaiser K, Tannock LR. </w:t>
      </w:r>
      <w:r w:rsidR="008C3DB3" w:rsidRPr="002C080C">
        <w:rPr>
          <w:rFonts w:ascii="Palatino Linotype" w:hAnsi="Palatino Linotype"/>
          <w:sz w:val="20"/>
          <w:szCs w:val="20"/>
        </w:rPr>
        <w:t>Extremely low testosterone due to relative energy deficiency in sport: a case report</w:t>
      </w:r>
      <w:r w:rsidRPr="002C080C">
        <w:rPr>
          <w:rFonts w:ascii="Palatino Linotype" w:hAnsi="Palatino Linotype"/>
          <w:sz w:val="20"/>
          <w:szCs w:val="20"/>
        </w:rPr>
        <w:t xml:space="preserve">. AACE Clin Case Rep. 2019;5(2):e129–31. </w:t>
      </w:r>
    </w:p>
    <w:p w14:paraId="7B1DE541"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11.</w:t>
      </w:r>
      <w:r w:rsidRPr="002C080C">
        <w:rPr>
          <w:rFonts w:ascii="Palatino Linotype" w:hAnsi="Palatino Linotype"/>
          <w:sz w:val="20"/>
          <w:szCs w:val="20"/>
        </w:rPr>
        <w:tab/>
        <w:t xml:space="preserve">Reid HAB, Dennison NC, Quayle J, Preston T. Starvation Resulting From Inadequate Dietary Planning for a 50-Day Rowing Expedition. International Journal of Sports Physiology &amp; Performance. 2017 Sep;12(8):1012–6. </w:t>
      </w:r>
    </w:p>
    <w:p w14:paraId="44F0D93C"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12.</w:t>
      </w:r>
      <w:r w:rsidRPr="002C080C">
        <w:rPr>
          <w:rFonts w:ascii="Palatino Linotype" w:hAnsi="Palatino Linotype"/>
          <w:sz w:val="20"/>
          <w:szCs w:val="20"/>
        </w:rPr>
        <w:tab/>
        <w:t xml:space="preserve">Sesbreno E, Dziedzic CE, Sygo J, Blondin DP, Haman F, Leclerc S, et al. Elite Male Volleyball Players Are at Risk of Insufficient Energy and Carbohydrate Intake. Nutrients. 2021 Apr 24;13(5):1435. </w:t>
      </w:r>
    </w:p>
    <w:p w14:paraId="66CABEEB"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13.</w:t>
      </w:r>
      <w:r w:rsidRPr="002C080C">
        <w:rPr>
          <w:rFonts w:ascii="Palatino Linotype" w:hAnsi="Palatino Linotype"/>
          <w:sz w:val="20"/>
          <w:szCs w:val="20"/>
        </w:rPr>
        <w:tab/>
        <w:t xml:space="preserve">Stenqvist TB, Melin AK, Garthe I, Slater G, Paulsen G, Iraki J, et al. Prevalence of Surrogate Markers of Relative Energy Deficiency in Male Norwegian Olympic-Level Athletes. Int J Sport Nutr Exerc Metab. 2021 Nov 1;31(6):497–506. </w:t>
      </w:r>
    </w:p>
    <w:p w14:paraId="0B0B1B56"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14.</w:t>
      </w:r>
      <w:r w:rsidRPr="002C080C">
        <w:rPr>
          <w:rFonts w:ascii="Palatino Linotype" w:hAnsi="Palatino Linotype"/>
          <w:sz w:val="20"/>
          <w:szCs w:val="20"/>
        </w:rPr>
        <w:tab/>
        <w:t xml:space="preserve">Stenqvist TB, Torstveit MK, Faber J, Melin AK. Impact of a 4-Week Intensified Endurance Training Intervention on Markers of Relative Energy Deficiency in Sport (RED-S) and Performance Among Well-Trained Male Cyclists. Front Endocrinol (Lausanne). 2020;11:512365. </w:t>
      </w:r>
    </w:p>
    <w:p w14:paraId="44245D2D"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15.</w:t>
      </w:r>
      <w:r w:rsidRPr="002C080C">
        <w:rPr>
          <w:rFonts w:ascii="Palatino Linotype" w:hAnsi="Palatino Linotype"/>
          <w:sz w:val="20"/>
          <w:szCs w:val="20"/>
        </w:rPr>
        <w:tab/>
        <w:t xml:space="preserve">Stenqvist TB, Melin AK, Torstveit MK. Relative Energy Deficiency in Sport (REDs) Indicators in Male Adolescent Endurance Athletes: A 3-Year Longitudinal Study. Nutrients. 2023 Dec 12;15(24):5086. </w:t>
      </w:r>
    </w:p>
    <w:p w14:paraId="42176442"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16.</w:t>
      </w:r>
      <w:r w:rsidRPr="002C080C">
        <w:rPr>
          <w:rFonts w:ascii="Palatino Linotype" w:hAnsi="Palatino Linotype"/>
          <w:sz w:val="20"/>
          <w:szCs w:val="20"/>
        </w:rPr>
        <w:tab/>
        <w:t xml:space="preserve">Thompson J, Manore MM, Skinner JS. Resting Metabolic Rate and Thermic Effect of a Meal in Low- and Adequate-Energy Intake Male Endurance Athletes. International Journal of Sport Nutrition. 1993 Jun;3(2):194–206. </w:t>
      </w:r>
    </w:p>
    <w:p w14:paraId="166E1ACF"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17.</w:t>
      </w:r>
      <w:r w:rsidRPr="002C080C">
        <w:rPr>
          <w:rFonts w:ascii="Palatino Linotype" w:hAnsi="Palatino Linotype"/>
          <w:sz w:val="20"/>
          <w:szCs w:val="20"/>
        </w:rPr>
        <w:tab/>
        <w:t xml:space="preserve">Wilson G, Martin D, Morton JP, Close GL. Male Flat Jockeys Do Not Display Deteriorations in Bone Density or Resting Metabolic Rate in Accordance With Race Riding Experience: Implications for RED-S. International Journal of Sport Nutrition &amp; Exercise Metabolism. 2018 Jul;28(4):434–9. </w:t>
      </w:r>
    </w:p>
    <w:p w14:paraId="19074115" w14:textId="77777777" w:rsidR="00194C00" w:rsidRPr="002C080C" w:rsidRDefault="00194C00" w:rsidP="00194C00">
      <w:pPr>
        <w:pStyle w:val="Bibliografa2"/>
        <w:rPr>
          <w:rFonts w:ascii="Palatino Linotype" w:hAnsi="Palatino Linotype"/>
          <w:sz w:val="20"/>
          <w:szCs w:val="20"/>
        </w:rPr>
      </w:pPr>
      <w:r w:rsidRPr="002C080C">
        <w:rPr>
          <w:rFonts w:ascii="Palatino Linotype" w:hAnsi="Palatino Linotype"/>
          <w:sz w:val="20"/>
          <w:szCs w:val="20"/>
        </w:rPr>
        <w:t>18.</w:t>
      </w:r>
      <w:r w:rsidRPr="002C080C">
        <w:rPr>
          <w:rFonts w:ascii="Palatino Linotype" w:hAnsi="Palatino Linotype"/>
          <w:sz w:val="20"/>
          <w:szCs w:val="20"/>
        </w:rPr>
        <w:tab/>
        <w:t xml:space="preserve">Zekarias K, Shrestha RT. Role of Relative Malnutrition in Exercise Hypogonadal Male Condition. Medicine &amp; Science in Sports &amp; Exercise. 2019 Feb;51(2):234–6. </w:t>
      </w:r>
    </w:p>
    <w:p w14:paraId="61E4C937" w14:textId="4C792AC9" w:rsidR="00945768" w:rsidRPr="008C3DB3" w:rsidRDefault="00490D35" w:rsidP="004B3C3D">
      <w:pPr>
        <w:jc w:val="both"/>
        <w:rPr>
          <w:rFonts w:ascii="Arial" w:hAnsi="Arial" w:cs="Arial"/>
          <w:sz w:val="2"/>
          <w:szCs w:val="2"/>
          <w:lang w:val="en-US"/>
        </w:rPr>
      </w:pPr>
      <w:r w:rsidRPr="002C080C">
        <w:rPr>
          <w:rFonts w:ascii="Palatino Linotype" w:hAnsi="Palatino Linotype" w:cs="Arial"/>
          <w:sz w:val="20"/>
          <w:szCs w:val="20"/>
          <w:lang w:val="en-US"/>
        </w:rPr>
        <w:fldChar w:fldCharType="end"/>
      </w:r>
    </w:p>
    <w:sectPr w:rsidR="00945768" w:rsidRPr="008C3DB3" w:rsidSect="003416F0">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1D5C1F"/>
    <w:multiLevelType w:val="hybridMultilevel"/>
    <w:tmpl w:val="CC8A721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8927680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60B"/>
    <w:rsid w:val="0001384B"/>
    <w:rsid w:val="000150EA"/>
    <w:rsid w:val="00046AEB"/>
    <w:rsid w:val="00070F9D"/>
    <w:rsid w:val="0007309B"/>
    <w:rsid w:val="00075574"/>
    <w:rsid w:val="000828C8"/>
    <w:rsid w:val="001215A4"/>
    <w:rsid w:val="001372FB"/>
    <w:rsid w:val="00194C00"/>
    <w:rsid w:val="001A2B66"/>
    <w:rsid w:val="001A7C90"/>
    <w:rsid w:val="00267540"/>
    <w:rsid w:val="00283087"/>
    <w:rsid w:val="002C01D5"/>
    <w:rsid w:val="002C080C"/>
    <w:rsid w:val="002F1618"/>
    <w:rsid w:val="003416F0"/>
    <w:rsid w:val="003603C7"/>
    <w:rsid w:val="00365D85"/>
    <w:rsid w:val="00373838"/>
    <w:rsid w:val="0038692B"/>
    <w:rsid w:val="0039797B"/>
    <w:rsid w:val="003A5497"/>
    <w:rsid w:val="003D54EF"/>
    <w:rsid w:val="00410949"/>
    <w:rsid w:val="00420BC5"/>
    <w:rsid w:val="0043469E"/>
    <w:rsid w:val="00435797"/>
    <w:rsid w:val="00437BB3"/>
    <w:rsid w:val="00442289"/>
    <w:rsid w:val="00490D35"/>
    <w:rsid w:val="00493B43"/>
    <w:rsid w:val="004A22D0"/>
    <w:rsid w:val="004B06E0"/>
    <w:rsid w:val="004B3C3D"/>
    <w:rsid w:val="004B5EDE"/>
    <w:rsid w:val="004D3699"/>
    <w:rsid w:val="004E2ADB"/>
    <w:rsid w:val="004E40A5"/>
    <w:rsid w:val="00524FFE"/>
    <w:rsid w:val="0056014E"/>
    <w:rsid w:val="005703C5"/>
    <w:rsid w:val="005C3BDE"/>
    <w:rsid w:val="005E69A3"/>
    <w:rsid w:val="005F2929"/>
    <w:rsid w:val="0060303C"/>
    <w:rsid w:val="00610969"/>
    <w:rsid w:val="0061691B"/>
    <w:rsid w:val="0063006B"/>
    <w:rsid w:val="0064164B"/>
    <w:rsid w:val="006C73AF"/>
    <w:rsid w:val="006E7D8F"/>
    <w:rsid w:val="006E7E39"/>
    <w:rsid w:val="007170AB"/>
    <w:rsid w:val="007272E6"/>
    <w:rsid w:val="00731DFC"/>
    <w:rsid w:val="00736F42"/>
    <w:rsid w:val="007510F1"/>
    <w:rsid w:val="0075725C"/>
    <w:rsid w:val="00760FC7"/>
    <w:rsid w:val="007C192C"/>
    <w:rsid w:val="007D7856"/>
    <w:rsid w:val="007F2EC6"/>
    <w:rsid w:val="008132B2"/>
    <w:rsid w:val="0083763B"/>
    <w:rsid w:val="008420C9"/>
    <w:rsid w:val="00896F49"/>
    <w:rsid w:val="008C1D82"/>
    <w:rsid w:val="008C3DB3"/>
    <w:rsid w:val="008D2B16"/>
    <w:rsid w:val="00930A0F"/>
    <w:rsid w:val="00945768"/>
    <w:rsid w:val="00955F73"/>
    <w:rsid w:val="00960D76"/>
    <w:rsid w:val="00984F2B"/>
    <w:rsid w:val="0099424E"/>
    <w:rsid w:val="009D06B1"/>
    <w:rsid w:val="009E0FFE"/>
    <w:rsid w:val="009E128B"/>
    <w:rsid w:val="009E40CC"/>
    <w:rsid w:val="009E5641"/>
    <w:rsid w:val="00A029F9"/>
    <w:rsid w:val="00A074B7"/>
    <w:rsid w:val="00A25234"/>
    <w:rsid w:val="00A57E2E"/>
    <w:rsid w:val="00A92C6E"/>
    <w:rsid w:val="00AA1D76"/>
    <w:rsid w:val="00AD3888"/>
    <w:rsid w:val="00B058DC"/>
    <w:rsid w:val="00B10422"/>
    <w:rsid w:val="00B12B21"/>
    <w:rsid w:val="00B6195D"/>
    <w:rsid w:val="00B61D5B"/>
    <w:rsid w:val="00B76224"/>
    <w:rsid w:val="00B8732D"/>
    <w:rsid w:val="00B90284"/>
    <w:rsid w:val="00BE4782"/>
    <w:rsid w:val="00C23364"/>
    <w:rsid w:val="00C36C83"/>
    <w:rsid w:val="00C52928"/>
    <w:rsid w:val="00C532E6"/>
    <w:rsid w:val="00C63AFA"/>
    <w:rsid w:val="00C9253F"/>
    <w:rsid w:val="00C93C22"/>
    <w:rsid w:val="00CB5C10"/>
    <w:rsid w:val="00CC712B"/>
    <w:rsid w:val="00CD2888"/>
    <w:rsid w:val="00CD5ADE"/>
    <w:rsid w:val="00CE734B"/>
    <w:rsid w:val="00D062F1"/>
    <w:rsid w:val="00D27300"/>
    <w:rsid w:val="00D61F93"/>
    <w:rsid w:val="00D66507"/>
    <w:rsid w:val="00D70852"/>
    <w:rsid w:val="00D81AD1"/>
    <w:rsid w:val="00D81CBE"/>
    <w:rsid w:val="00D92434"/>
    <w:rsid w:val="00D93B93"/>
    <w:rsid w:val="00DA254E"/>
    <w:rsid w:val="00E420C1"/>
    <w:rsid w:val="00E57C19"/>
    <w:rsid w:val="00E648DD"/>
    <w:rsid w:val="00E67051"/>
    <w:rsid w:val="00E97480"/>
    <w:rsid w:val="00EA0836"/>
    <w:rsid w:val="00EA760B"/>
    <w:rsid w:val="00F3475E"/>
    <w:rsid w:val="00FA15A7"/>
    <w:rsid w:val="00FE012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312B78"/>
  <w15:chartTrackingRefBased/>
  <w15:docId w15:val="{3651FFEF-3B1C-B840-8E61-4D017C8FF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A76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A76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A760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A760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A760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A760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A760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A760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A760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A760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A760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A760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A760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A760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A760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A760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A760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A760B"/>
    <w:rPr>
      <w:rFonts w:eastAsiaTheme="majorEastAsia" w:cstheme="majorBidi"/>
      <w:color w:val="272727" w:themeColor="text1" w:themeTint="D8"/>
    </w:rPr>
  </w:style>
  <w:style w:type="paragraph" w:styleId="Ttulo">
    <w:name w:val="Title"/>
    <w:basedOn w:val="Normal"/>
    <w:next w:val="Normal"/>
    <w:link w:val="TtuloCar"/>
    <w:uiPriority w:val="10"/>
    <w:qFormat/>
    <w:rsid w:val="00EA760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A760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A760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A760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A760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A760B"/>
    <w:rPr>
      <w:i/>
      <w:iCs/>
      <w:color w:val="404040" w:themeColor="text1" w:themeTint="BF"/>
    </w:rPr>
  </w:style>
  <w:style w:type="paragraph" w:styleId="Prrafodelista">
    <w:name w:val="List Paragraph"/>
    <w:basedOn w:val="Normal"/>
    <w:uiPriority w:val="34"/>
    <w:qFormat/>
    <w:rsid w:val="00EA760B"/>
    <w:pPr>
      <w:ind w:left="720"/>
      <w:contextualSpacing/>
    </w:pPr>
  </w:style>
  <w:style w:type="character" w:styleId="nfasisintenso">
    <w:name w:val="Intense Emphasis"/>
    <w:basedOn w:val="Fuentedeprrafopredeter"/>
    <w:uiPriority w:val="21"/>
    <w:qFormat/>
    <w:rsid w:val="00EA760B"/>
    <w:rPr>
      <w:i/>
      <w:iCs/>
      <w:color w:val="0F4761" w:themeColor="accent1" w:themeShade="BF"/>
    </w:rPr>
  </w:style>
  <w:style w:type="paragraph" w:styleId="Citadestacada">
    <w:name w:val="Intense Quote"/>
    <w:basedOn w:val="Normal"/>
    <w:next w:val="Normal"/>
    <w:link w:val="CitadestacadaCar"/>
    <w:uiPriority w:val="30"/>
    <w:qFormat/>
    <w:rsid w:val="00EA76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A760B"/>
    <w:rPr>
      <w:i/>
      <w:iCs/>
      <w:color w:val="0F4761" w:themeColor="accent1" w:themeShade="BF"/>
    </w:rPr>
  </w:style>
  <w:style w:type="character" w:styleId="Referenciaintensa">
    <w:name w:val="Intense Reference"/>
    <w:basedOn w:val="Fuentedeprrafopredeter"/>
    <w:uiPriority w:val="32"/>
    <w:qFormat/>
    <w:rsid w:val="00EA760B"/>
    <w:rPr>
      <w:b/>
      <w:bCs/>
      <w:smallCaps/>
      <w:color w:val="0F4761" w:themeColor="accent1" w:themeShade="BF"/>
      <w:spacing w:val="5"/>
    </w:rPr>
  </w:style>
  <w:style w:type="table" w:styleId="Tablanormal2">
    <w:name w:val="Plain Table 2"/>
    <w:basedOn w:val="Tablanormal"/>
    <w:uiPriority w:val="42"/>
    <w:rsid w:val="009E5641"/>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Bibliografa1">
    <w:name w:val="Bibliografía1"/>
    <w:basedOn w:val="Normal"/>
    <w:link w:val="BibliographyCar"/>
    <w:rsid w:val="00490D35"/>
    <w:pPr>
      <w:spacing w:line="480" w:lineRule="auto"/>
      <w:ind w:left="720" w:hanging="720"/>
      <w:jc w:val="both"/>
    </w:pPr>
    <w:rPr>
      <w:rFonts w:ascii="Arial" w:hAnsi="Arial" w:cs="Arial"/>
    </w:rPr>
  </w:style>
  <w:style w:type="character" w:customStyle="1" w:styleId="BibliographyCar">
    <w:name w:val="Bibliography Car"/>
    <w:basedOn w:val="Fuentedeprrafopredeter"/>
    <w:link w:val="Bibliografa1"/>
    <w:rsid w:val="00490D35"/>
    <w:rPr>
      <w:rFonts w:ascii="Arial" w:hAnsi="Arial" w:cs="Arial"/>
    </w:rPr>
  </w:style>
  <w:style w:type="paragraph" w:customStyle="1" w:styleId="Bibliografa2">
    <w:name w:val="Bibliografía2"/>
    <w:basedOn w:val="Normal"/>
    <w:link w:val="BibliographyCar1"/>
    <w:rsid w:val="00194C00"/>
    <w:pPr>
      <w:tabs>
        <w:tab w:val="left" w:pos="380"/>
      </w:tabs>
      <w:spacing w:after="240"/>
      <w:ind w:left="384" w:hanging="384"/>
    </w:pPr>
    <w:rPr>
      <w:rFonts w:ascii="Arial" w:hAnsi="Arial" w:cs="Arial"/>
      <w:lang w:val="en-US"/>
    </w:rPr>
  </w:style>
  <w:style w:type="character" w:customStyle="1" w:styleId="BibliographyCar1">
    <w:name w:val="Bibliography Car1"/>
    <w:basedOn w:val="Fuentedeprrafopredeter"/>
    <w:link w:val="Bibliografa2"/>
    <w:rsid w:val="00194C00"/>
    <w:rPr>
      <w:rFonts w:ascii="Arial" w:hAnsi="Arial" w:cs="Arial"/>
      <w:lang w:val="en-US"/>
    </w:rPr>
  </w:style>
  <w:style w:type="paragraph" w:styleId="Revisin">
    <w:name w:val="Revision"/>
    <w:hidden/>
    <w:uiPriority w:val="99"/>
    <w:semiHidden/>
    <w:rsid w:val="00397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3</Pages>
  <Words>7789</Words>
  <Characters>45570</Characters>
  <Application>Microsoft Office Word</Application>
  <DocSecurity>0</DocSecurity>
  <Lines>1380</Lines>
  <Paragraphs>762</Paragraphs>
  <ScaleCrop>false</ScaleCrop>
  <Company/>
  <LinksUpToDate>false</LinksUpToDate>
  <CharactersWithSpaces>52597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Valiño Marques Alberto</dc:creator>
  <cp:keywords/>
  <dc:description/>
  <cp:lastModifiedBy>ANTONIO JESUS SANCHEZ OLIVER</cp:lastModifiedBy>
  <cp:revision>111</cp:revision>
  <dcterms:created xsi:type="dcterms:W3CDTF">2024-04-16T15:00:00Z</dcterms:created>
  <dcterms:modified xsi:type="dcterms:W3CDTF">2024-12-03T10:22:00Z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id="OiQa1juz"/&gt;&lt;style id="http://www.zotero.org/styles/vancouver" locale="en-GB" hasBibliography="1" bibliographyStyleHasBeenSet="1"/&gt;&lt;prefs&gt;&lt;pref name="fieldType" value="Field"/&gt;&lt;pref name="delayCit</vt:lpwstr>
  </property>
  <property fmtid="{D5CDD505-2E9C-101B-9397-08002B2CF9AE}" pid="3" name="ZOTERO_PREF_2">
    <vt:lpwstr>ationUpdates" value="true"/&gt;&lt;/prefs&gt;&lt;/data&gt;</vt:lpwstr>
  </property>
  <property fmtid="{D5CDD505-2E9C-101B-9397-08002B2CF9AE}" pid="4" name="GrammarlyDocumentId">
    <vt:lpwstr>91c2b4b483ec6c7991645e8b619d85805f542a314c36b3e7a521cc485593707f</vt:lpwstr>
  </property>
</Properties>
</file>