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84D" w:rsidRDefault="00FD7C62">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Supplemental Information</w:t>
      </w:r>
    </w:p>
    <w:p w:rsidR="00F7284D" w:rsidRDefault="00FD7C62">
      <w:pPr>
        <w:spacing w:before="240" w:line="240" w:lineRule="auto"/>
        <w:rPr>
          <w:rFonts w:ascii="Times New Roman" w:eastAsia="Times New Roman" w:hAnsi="Times New Roman" w:cs="Times New Roman"/>
          <w:b/>
          <w:sz w:val="52"/>
          <w:szCs w:val="52"/>
        </w:rPr>
      </w:pPr>
      <w:r>
        <w:rPr>
          <w:rFonts w:ascii="Times New Roman" w:eastAsia="Times New Roman" w:hAnsi="Times New Roman" w:cs="Times New Roman"/>
          <w:b/>
          <w:sz w:val="52"/>
          <w:szCs w:val="52"/>
        </w:rPr>
        <w:t>Molecular Diversity of Dissolved Organic Matter Reflects Macroecological Patterns in River Networks</w:t>
      </w:r>
    </w:p>
    <w:p w:rsidR="00F7284D" w:rsidRDefault="00FD7C62">
      <w:pPr>
        <w:spacing w:before="24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Authors</w:t>
      </w:r>
      <w:r>
        <w:rPr>
          <w:rFonts w:ascii="Times New Roman" w:eastAsia="Times New Roman" w:hAnsi="Times New Roman" w:cs="Times New Roman"/>
          <w:sz w:val="24"/>
          <w:szCs w:val="24"/>
        </w:rPr>
        <w:t>: Erika C. Freeman</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Maruti K. Mudunuru</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Kelli L.Feeser</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Emily Ann McClure</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Ricardo González-Pinzón</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Christopher S. Ward</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Eric M. Bottos</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Stefan Krause</w:t>
      </w:r>
      <w:r>
        <w:rPr>
          <w:rFonts w:ascii="Times New Roman" w:eastAsia="Times New Roman" w:hAnsi="Times New Roman" w:cs="Times New Roman"/>
          <w:sz w:val="24"/>
          <w:szCs w:val="24"/>
          <w:vertAlign w:val="superscript"/>
        </w:rPr>
        <w:t>9,10</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Jasquelin Peña</w:t>
      </w:r>
      <w:r>
        <w:rPr>
          <w:rFonts w:ascii="Times New Roman" w:eastAsia="Times New Roman" w:hAnsi="Times New Roman" w:cs="Times New Roman"/>
          <w:sz w:val="24"/>
          <w:szCs w:val="24"/>
          <w:vertAlign w:val="superscript"/>
        </w:rPr>
        <w:t>11,12</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Michelle E. Newcomer*</w:t>
      </w:r>
      <w:r>
        <w:rPr>
          <w:rFonts w:ascii="Times New Roman" w:eastAsia="Times New Roman" w:hAnsi="Times New Roman" w:cs="Times New Roman"/>
          <w:sz w:val="24"/>
          <w:szCs w:val="24"/>
          <w:vertAlign w:val="superscript"/>
        </w:rPr>
        <w:t>13</w:t>
      </w:r>
    </w:p>
    <w:p w:rsidR="00F7284D" w:rsidRDefault="00FD7C62">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Department of Plant Sciences, University of Cambridge, Cambridge, United Kingdom.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w:t>
      </w:r>
      <w:hyperlink r:id="rId6">
        <w:r>
          <w:rPr>
            <w:rFonts w:ascii="Times New Roman" w:eastAsia="Times New Roman" w:hAnsi="Times New Roman" w:cs="Times New Roman"/>
            <w:color w:val="1155CC"/>
            <w:sz w:val="24"/>
            <w:szCs w:val="24"/>
            <w:u w:val="single"/>
          </w:rPr>
          <w:t>erika.freem@gmai</w:t>
        </w:r>
        <w:r>
          <w:rPr>
            <w:rFonts w:ascii="Times New Roman" w:eastAsia="Times New Roman" w:hAnsi="Times New Roman" w:cs="Times New Roman"/>
            <w:color w:val="1155CC"/>
            <w:sz w:val="24"/>
            <w:szCs w:val="24"/>
            <w:u w:val="single"/>
          </w:rPr>
          <w:t>l.com</w:t>
        </w:r>
      </w:hyperlink>
      <w:r>
        <w:rPr>
          <w:rFonts w:ascii="Times New Roman" w:eastAsia="Times New Roman" w:hAnsi="Times New Roman" w:cs="Times New Roman"/>
          <w:sz w:val="24"/>
          <w:szCs w:val="24"/>
        </w:rPr>
        <w:t xml:space="preserve">), ORCID: 0000-0001-7161-6038 </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Department of Aquatic Ecology, Swiss Federal Institute of Aquatic Science and Technology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(Eawag), Überlandstrasse 133, CH-8600 Dübendorf, Switzerland</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Pacific Northwest National Laboratory, Richland, Washington, USA (</w:t>
      </w:r>
      <w:hyperlink r:id="rId7">
        <w:r>
          <w:rPr>
            <w:rFonts w:ascii="Times New Roman" w:eastAsia="Times New Roman" w:hAnsi="Times New Roman" w:cs="Times New Roman"/>
            <w:color w:val="1155CC"/>
            <w:sz w:val="24"/>
            <w:szCs w:val="24"/>
            <w:u w:val="single"/>
          </w:rPr>
          <w:t>maruti@pnnl.gov</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ORCID: 0000-0002-2158-7723</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Los Alamos National Laboratory, Bioscience Division, Los Alamos, New Mexico, USA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w:t>
      </w:r>
      <w:hyperlink r:id="rId8">
        <w:r>
          <w:rPr>
            <w:rFonts w:ascii="Times New Roman" w:eastAsia="Times New Roman" w:hAnsi="Times New Roman" w:cs="Times New Roman"/>
            <w:color w:val="1155CC"/>
            <w:sz w:val="24"/>
            <w:szCs w:val="24"/>
            <w:u w:val="single"/>
          </w:rPr>
          <w:t>kfeeser@lanl.gov</w:t>
        </w:r>
      </w:hyperlink>
      <w:r>
        <w:rPr>
          <w:rFonts w:ascii="Times New Roman" w:eastAsia="Times New Roman" w:hAnsi="Times New Roman" w:cs="Times New Roman"/>
          <w:sz w:val="24"/>
          <w:szCs w:val="24"/>
        </w:rPr>
        <w:t>), ORCID: 0000-0002-4144-0294</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perscript"/>
        </w:rPr>
        <w:t xml:space="preserve">5 </w:t>
      </w:r>
      <w:r>
        <w:rPr>
          <w:rFonts w:ascii="Times New Roman" w:eastAsia="Times New Roman" w:hAnsi="Times New Roman" w:cs="Times New Roman"/>
          <w:sz w:val="24"/>
          <w:szCs w:val="24"/>
        </w:rPr>
        <w:t xml:space="preserve">Geisel School of Medicine at Dartmouth, Hanover, NH USA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w:t>
      </w:r>
      <w:hyperlink r:id="rId9">
        <w:r>
          <w:rPr>
            <w:rFonts w:ascii="Times New Roman" w:eastAsia="Times New Roman" w:hAnsi="Times New Roman" w:cs="Times New Roman"/>
            <w:color w:val="1155CC"/>
            <w:sz w:val="24"/>
            <w:szCs w:val="24"/>
            <w:u w:val="single"/>
          </w:rPr>
          <w:t>EmilyA.McClure@dartmouth.edu</w:t>
        </w:r>
      </w:hyperlink>
      <w:r>
        <w:rPr>
          <w:rFonts w:ascii="Times New Roman" w:eastAsia="Times New Roman" w:hAnsi="Times New Roman" w:cs="Times New Roman"/>
          <w:sz w:val="24"/>
          <w:szCs w:val="24"/>
        </w:rPr>
        <w:t>), ORCID: 0000-0002-4401-0724</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Geral</w:t>
      </w:r>
      <w:r>
        <w:rPr>
          <w:rFonts w:ascii="Times New Roman" w:eastAsia="Times New Roman" w:hAnsi="Times New Roman" w:cs="Times New Roman"/>
          <w:sz w:val="24"/>
          <w:szCs w:val="24"/>
        </w:rPr>
        <w:t xml:space="preserve">d May Department of Civil, Construction and Environmental Engineering, University of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New Mexico, Albuquerque, New Mexico, USA (</w:t>
      </w:r>
      <w:hyperlink r:id="rId10">
        <w:r>
          <w:rPr>
            <w:rFonts w:ascii="Times New Roman" w:eastAsia="Times New Roman" w:hAnsi="Times New Roman" w:cs="Times New Roman"/>
            <w:color w:val="1155CC"/>
            <w:sz w:val="24"/>
            <w:szCs w:val="24"/>
            <w:u w:val="single"/>
          </w:rPr>
          <w:t>gonzaric@unm.edu</w:t>
        </w:r>
      </w:hyperlink>
      <w:r>
        <w:rPr>
          <w:rFonts w:ascii="Times New Roman" w:eastAsia="Times New Roman" w:hAnsi="Times New Roman" w:cs="Times New Roman"/>
          <w:sz w:val="24"/>
          <w:szCs w:val="24"/>
        </w:rPr>
        <w:t xml:space="preserve">), ORCID: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 xml:space="preserve">0000-0001-9387-6885 </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Center for Great Lakes and Water</w:t>
      </w:r>
      <w:r>
        <w:rPr>
          <w:rFonts w:ascii="Times New Roman" w:eastAsia="Times New Roman" w:hAnsi="Times New Roman" w:cs="Times New Roman"/>
          <w:sz w:val="24"/>
          <w:szCs w:val="24"/>
        </w:rPr>
        <w:t xml:space="preserve">shed Studies, Bowling Green State University, Bowling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Green, Ohio, USA (</w:t>
      </w:r>
      <w:hyperlink r:id="rId11">
        <w:r>
          <w:rPr>
            <w:rFonts w:ascii="Times New Roman" w:eastAsia="Times New Roman" w:hAnsi="Times New Roman" w:cs="Times New Roman"/>
            <w:color w:val="1155CC"/>
            <w:sz w:val="24"/>
            <w:szCs w:val="24"/>
            <w:u w:val="single"/>
          </w:rPr>
          <w:t>chrward@bgsu.edu</w:t>
        </w:r>
      </w:hyperlink>
      <w:r>
        <w:rPr>
          <w:rFonts w:ascii="Times New Roman" w:eastAsia="Times New Roman" w:hAnsi="Times New Roman" w:cs="Times New Roman"/>
          <w:sz w:val="24"/>
          <w:szCs w:val="24"/>
        </w:rPr>
        <w:t>), ORCID: 0000-0002-9887-232X</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Department of Biological Sciences, Thompson Rivers University, Kamloops, British Columbia,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Canada (</w:t>
      </w:r>
      <w:hyperlink r:id="rId12">
        <w:r>
          <w:rPr>
            <w:rFonts w:ascii="Times New Roman" w:eastAsia="Times New Roman" w:hAnsi="Times New Roman" w:cs="Times New Roman"/>
            <w:color w:val="1155CC"/>
            <w:sz w:val="24"/>
            <w:szCs w:val="24"/>
            <w:u w:val="single"/>
          </w:rPr>
          <w:t>ebottos@tru.ca</w:t>
        </w:r>
      </w:hyperlink>
      <w:r>
        <w:rPr>
          <w:rFonts w:ascii="Times New Roman" w:eastAsia="Times New Roman" w:hAnsi="Times New Roman" w:cs="Times New Roman"/>
          <w:sz w:val="24"/>
          <w:szCs w:val="24"/>
        </w:rPr>
        <w:t>), ORCID: 0000-0001-9671-5657</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perscript"/>
        </w:rPr>
        <w:t>9,10</w:t>
      </w:r>
      <w:r>
        <w:rPr>
          <w:rFonts w:ascii="Times New Roman" w:eastAsia="Times New Roman" w:hAnsi="Times New Roman" w:cs="Times New Roman"/>
          <w:sz w:val="24"/>
          <w:szCs w:val="24"/>
        </w:rPr>
        <w:t xml:space="preserve">University of Birmingham, Birmingham, UK. </w:t>
      </w:r>
      <w:r w:rsidRPr="00FD7C62">
        <w:rPr>
          <w:rFonts w:ascii="Times New Roman" w:eastAsia="Times New Roman" w:hAnsi="Times New Roman" w:cs="Times New Roman"/>
          <w:sz w:val="24"/>
          <w:szCs w:val="24"/>
          <w:lang w:val="fr-CH"/>
        </w:rPr>
        <w:t>(</w:t>
      </w:r>
      <w:hyperlink r:id="rId13">
        <w:r w:rsidRPr="00FD7C62">
          <w:rPr>
            <w:rFonts w:ascii="Times New Roman" w:eastAsia="Times New Roman" w:hAnsi="Times New Roman" w:cs="Times New Roman"/>
            <w:color w:val="1155CC"/>
            <w:sz w:val="24"/>
            <w:szCs w:val="24"/>
            <w:u w:val="single"/>
            <w:lang w:val="fr-CH"/>
          </w:rPr>
          <w:t>s.krause@bham.ac.uk</w:t>
        </w:r>
      </w:hyperlink>
      <w:r w:rsidRPr="00FD7C62">
        <w:rPr>
          <w:rFonts w:ascii="Times New Roman" w:eastAsia="Times New Roman" w:hAnsi="Times New Roman" w:cs="Times New Roman"/>
          <w:sz w:val="24"/>
          <w:szCs w:val="24"/>
          <w:lang w:val="fr-CH"/>
        </w:rPr>
        <w:t xml:space="preserve">), ORCID: </w:t>
      </w:r>
      <w:r w:rsidRPr="00FD7C62">
        <w:rPr>
          <w:rFonts w:ascii="Times New Roman" w:eastAsia="Times New Roman" w:hAnsi="Times New Roman" w:cs="Times New Roman"/>
          <w:sz w:val="24"/>
          <w:szCs w:val="24"/>
          <w:lang w:val="fr-CH"/>
        </w:rPr>
        <w:br/>
        <w:t xml:space="preserve"> </w:t>
      </w:r>
      <w:r w:rsidRPr="00FD7C62">
        <w:rPr>
          <w:rFonts w:ascii="Times New Roman" w:eastAsia="Times New Roman" w:hAnsi="Times New Roman" w:cs="Times New Roman"/>
          <w:sz w:val="24"/>
          <w:szCs w:val="24"/>
          <w:lang w:val="fr-CH"/>
        </w:rPr>
        <w:tab/>
        <w:t>0000-0003-2521-2248</w:t>
      </w:r>
      <w:r w:rsidRPr="00FD7C62">
        <w:rPr>
          <w:rFonts w:ascii="Times New Roman" w:eastAsia="Times New Roman" w:hAnsi="Times New Roman" w:cs="Times New Roman"/>
          <w:sz w:val="24"/>
          <w:szCs w:val="24"/>
          <w:lang w:val="fr-CH"/>
        </w:rPr>
        <w:br/>
      </w:r>
      <w:r w:rsidRPr="00FD7C62">
        <w:rPr>
          <w:rFonts w:ascii="Times New Roman" w:eastAsia="Times New Roman" w:hAnsi="Times New Roman" w:cs="Times New Roman"/>
          <w:sz w:val="24"/>
          <w:szCs w:val="24"/>
          <w:vertAlign w:val="superscript"/>
          <w:lang w:val="fr-CH"/>
        </w:rPr>
        <w:t>11</w:t>
      </w:r>
      <w:r w:rsidRPr="00FD7C62">
        <w:rPr>
          <w:rFonts w:ascii="Times New Roman" w:eastAsia="Times New Roman" w:hAnsi="Times New Roman" w:cs="Times New Roman"/>
          <w:sz w:val="24"/>
          <w:szCs w:val="24"/>
          <w:lang w:val="fr-CH"/>
        </w:rPr>
        <w:t>E</w:t>
      </w:r>
      <w:r w:rsidRPr="00FD7C62">
        <w:rPr>
          <w:rFonts w:ascii="Times New Roman" w:eastAsia="Times New Roman" w:hAnsi="Times New Roman" w:cs="Times New Roman"/>
          <w:color w:val="222222"/>
          <w:sz w:val="24"/>
          <w:szCs w:val="24"/>
          <w:lang w:val="fr-CH"/>
        </w:rPr>
        <w:t xml:space="preserve">cologie des </w:t>
      </w:r>
      <w:r w:rsidRPr="00FD7C62">
        <w:rPr>
          <w:rFonts w:ascii="Times New Roman" w:eastAsia="Times New Roman" w:hAnsi="Times New Roman" w:cs="Times New Roman"/>
          <w:color w:val="222222"/>
          <w:sz w:val="24"/>
          <w:szCs w:val="24"/>
          <w:lang w:val="fr-CH"/>
        </w:rPr>
        <w:t xml:space="preserve">Hydrosystèmes Naturels et Anthropisés (LEHNA), Université Claude Bernard </w:t>
      </w:r>
      <w:r w:rsidRPr="00FD7C62">
        <w:rPr>
          <w:rFonts w:ascii="Times New Roman" w:eastAsia="Times New Roman" w:hAnsi="Times New Roman" w:cs="Times New Roman"/>
          <w:color w:val="222222"/>
          <w:sz w:val="24"/>
          <w:szCs w:val="24"/>
          <w:lang w:val="fr-CH"/>
        </w:rPr>
        <w:br/>
        <w:t xml:space="preserve"> </w:t>
      </w:r>
      <w:r w:rsidRPr="00FD7C62">
        <w:rPr>
          <w:rFonts w:ascii="Times New Roman" w:eastAsia="Times New Roman" w:hAnsi="Times New Roman" w:cs="Times New Roman"/>
          <w:color w:val="222222"/>
          <w:sz w:val="24"/>
          <w:szCs w:val="24"/>
          <w:lang w:val="fr-CH"/>
        </w:rPr>
        <w:tab/>
        <w:t>Lyon 1, 69622 Villeurbanne, France</w:t>
      </w:r>
      <w:r w:rsidRPr="00FD7C62">
        <w:rPr>
          <w:rFonts w:ascii="Times New Roman" w:eastAsia="Times New Roman" w:hAnsi="Times New Roman" w:cs="Times New Roman"/>
          <w:sz w:val="24"/>
          <w:szCs w:val="24"/>
          <w:lang w:val="fr-CH"/>
        </w:rPr>
        <w:br/>
      </w:r>
      <w:r w:rsidRPr="00FD7C62">
        <w:rPr>
          <w:rFonts w:ascii="Times New Roman" w:eastAsia="Times New Roman" w:hAnsi="Times New Roman" w:cs="Times New Roman"/>
          <w:sz w:val="24"/>
          <w:szCs w:val="24"/>
          <w:vertAlign w:val="superscript"/>
          <w:lang w:val="fr-CH"/>
        </w:rPr>
        <w:t>12</w:t>
      </w:r>
      <w:r w:rsidRPr="00FD7C62">
        <w:rPr>
          <w:rFonts w:ascii="Times New Roman" w:eastAsia="Times New Roman" w:hAnsi="Times New Roman" w:cs="Times New Roman"/>
          <w:sz w:val="24"/>
          <w:szCs w:val="24"/>
          <w:lang w:val="fr-CH"/>
        </w:rPr>
        <w:t xml:space="preserve">University of California, Davis. </w:t>
      </w:r>
      <w:r>
        <w:rPr>
          <w:rFonts w:ascii="Times New Roman" w:eastAsia="Times New Roman" w:hAnsi="Times New Roman" w:cs="Times New Roman"/>
          <w:sz w:val="24"/>
          <w:szCs w:val="24"/>
        </w:rPr>
        <w:t>(</w:t>
      </w:r>
      <w:hyperlink r:id="rId14">
        <w:r>
          <w:rPr>
            <w:rFonts w:ascii="Times New Roman" w:eastAsia="Times New Roman" w:hAnsi="Times New Roman" w:cs="Times New Roman"/>
            <w:color w:val="1155CC"/>
            <w:sz w:val="24"/>
            <w:szCs w:val="24"/>
            <w:u w:val="single"/>
          </w:rPr>
          <w:t>pena@ucdavis.edu</w:t>
        </w:r>
      </w:hyperlink>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color w:val="1155CC"/>
            <w:sz w:val="24"/>
            <w:szCs w:val="24"/>
            <w:u w:val="single"/>
          </w:rPr>
          <w:t>jpena@lb</w:t>
        </w:r>
        <w:r>
          <w:rPr>
            <w:rFonts w:ascii="Times New Roman" w:eastAsia="Times New Roman" w:hAnsi="Times New Roman" w:cs="Times New Roman"/>
            <w:color w:val="1155CC"/>
            <w:sz w:val="24"/>
            <w:szCs w:val="24"/>
            <w:u w:val="single"/>
          </w:rPr>
          <w:t>l.gov</w:t>
        </w:r>
      </w:hyperlink>
      <w:r>
        <w:rPr>
          <w:rFonts w:ascii="Times New Roman" w:eastAsia="Times New Roman" w:hAnsi="Times New Roman" w:cs="Times New Roman"/>
          <w:sz w:val="24"/>
          <w:szCs w:val="24"/>
        </w:rPr>
        <w:t xml:space="preserve">), ORCID: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0000-0001-7081-3873</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Lawrence Berkeley National Laboratory, Berkeley, California, USA (</w:t>
      </w:r>
      <w:hyperlink r:id="rId16">
        <w:r>
          <w:rPr>
            <w:rFonts w:ascii="Times New Roman" w:eastAsia="Times New Roman" w:hAnsi="Times New Roman" w:cs="Times New Roman"/>
            <w:color w:val="1155CC"/>
            <w:sz w:val="24"/>
            <w:szCs w:val="24"/>
            <w:u w:val="single"/>
          </w:rPr>
          <w:t>mnewcomer@lbl.gov</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 xml:space="preserve">ORCID: 0000-0001-5138-9026 </w:t>
      </w:r>
    </w:p>
    <w:p w:rsidR="00F7284D" w:rsidRDefault="00FD7C62">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(*corresponding author)</w:t>
      </w:r>
    </w:p>
    <w:p w:rsidR="00F7284D" w:rsidRPr="00FD7C62" w:rsidRDefault="00FD7C62" w:rsidP="00FD7C62">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Supplementary Materials:</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t>Methods S1: WHONDRS Sample Collection and Analysis</w:t>
      </w:r>
      <w:r>
        <w:rPr>
          <w:rFonts w:ascii="Times New Roman" w:eastAsia="Times New Roman" w:hAnsi="Times New Roman" w:cs="Times New Roman"/>
          <w:b/>
          <w:sz w:val="24"/>
          <w:szCs w:val="24"/>
        </w:rPr>
        <w:br/>
        <w:t>Methods S2: WHONDRS Sample Collection and Analysis</w:t>
      </w:r>
      <w:r>
        <w:rPr>
          <w:rFonts w:ascii="Times New Roman" w:eastAsia="Times New Roman" w:hAnsi="Times New Roman" w:cs="Times New Roman"/>
          <w:b/>
          <w:sz w:val="24"/>
          <w:szCs w:val="24"/>
        </w:rPr>
        <w:br/>
        <w:t xml:space="preserve">Fig. S1-5 </w:t>
      </w:r>
      <w:r>
        <w:rPr>
          <w:rFonts w:ascii="Times New Roman" w:eastAsia="Times New Roman" w:hAnsi="Times New Roman" w:cs="Times New Roman"/>
          <w:b/>
          <w:sz w:val="24"/>
          <w:szCs w:val="24"/>
        </w:rPr>
        <w:br/>
        <w:t>Table S1-3</w:t>
      </w:r>
    </w:p>
    <w:p w:rsidR="00F7284D" w:rsidRDefault="00FD7C62">
      <w:pPr>
        <w:pStyle w:val="Heading2"/>
        <w:spacing w:before="0" w:after="0" w:line="480" w:lineRule="auto"/>
        <w:jc w:val="both"/>
        <w:rPr>
          <w:rFonts w:ascii="Times New Roman" w:eastAsia="Times New Roman" w:hAnsi="Times New Roman" w:cs="Times New Roman"/>
          <w:b/>
          <w:sz w:val="24"/>
          <w:szCs w:val="24"/>
        </w:rPr>
      </w:pPr>
      <w:bookmarkStart w:id="0" w:name="_jqlx07x8qf0z" w:colFirst="0" w:colLast="0"/>
      <w:bookmarkEnd w:id="0"/>
      <w:r>
        <w:rPr>
          <w:rFonts w:ascii="Times New Roman" w:eastAsia="Times New Roman" w:hAnsi="Times New Roman" w:cs="Times New Roman"/>
          <w:b/>
          <w:sz w:val="24"/>
          <w:szCs w:val="24"/>
        </w:rPr>
        <w:lastRenderedPageBreak/>
        <w:t>Methods S1: WHONDRS Sample Collection and Analysis</w:t>
      </w:r>
    </w:p>
    <w:p w:rsidR="00F7284D" w:rsidRDefault="00FD7C62">
      <w:pPr>
        <w:spacing w:after="20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Sediment and surface water samples were collected following the protocol of the </w:t>
      </w:r>
      <w:r>
        <w:rPr>
          <w:rFonts w:ascii="Times New Roman" w:eastAsia="Times New Roman" w:hAnsi="Times New Roman" w:cs="Times New Roman"/>
          <w:sz w:val="24"/>
          <w:szCs w:val="24"/>
        </w:rPr>
        <w:t>National Ecological Observatory Network program (NEON) (NEON.DOC.001193; Jensen, 2022). Surface water samples were collected in triplicate and filtered through 0.22 μm Sterivex</w:t>
      </w:r>
      <w:r>
        <w:rPr>
          <w:rFonts w:ascii="Times New Roman" w:eastAsia="Times New Roman" w:hAnsi="Times New Roman" w:cs="Times New Roman"/>
          <w:sz w:val="24"/>
          <w:szCs w:val="24"/>
          <w:vertAlign w:val="superscript"/>
        </w:rPr>
        <w:t>TM</w:t>
      </w:r>
      <w:r>
        <w:rPr>
          <w:rFonts w:ascii="Times New Roman" w:eastAsia="Times New Roman" w:hAnsi="Times New Roman" w:cs="Times New Roman"/>
          <w:sz w:val="24"/>
          <w:szCs w:val="24"/>
        </w:rPr>
        <w:t xml:space="preserve"> filters (EMD Millipore) into pre-acidified 40 mL glass vials (I-Chem amber VO</w:t>
      </w:r>
      <w:r>
        <w:rPr>
          <w:rFonts w:ascii="Times New Roman" w:eastAsia="Times New Roman" w:hAnsi="Times New Roman" w:cs="Times New Roman"/>
          <w:sz w:val="24"/>
          <w:szCs w:val="24"/>
        </w:rPr>
        <w:t>A glass vials; ThermoFisher, pre-acidified with 10 µL of 85% phosphoric acid). Sediment samples were collected from a depositional zone upstream, midstream, or downstream within the sampling site. For sediments, a 125 mL of surface (1-3 cm) sediment sample</w:t>
      </w:r>
      <w:r>
        <w:rPr>
          <w:rFonts w:ascii="Times New Roman" w:eastAsia="Times New Roman" w:hAnsi="Times New Roman" w:cs="Times New Roman"/>
          <w:sz w:val="24"/>
          <w:szCs w:val="24"/>
        </w:rPr>
        <w:t xml:space="preserve">s were collected using a sterilised stainless-steel scoopula </w:t>
      </w:r>
      <w:hyperlink r:id="rId17">
        <w:r>
          <w:rPr>
            <w:rFonts w:ascii="Times New Roman" w:eastAsia="Times New Roman" w:hAnsi="Times New Roman" w:cs="Times New Roman"/>
            <w:sz w:val="24"/>
            <w:szCs w:val="24"/>
          </w:rPr>
          <w:t>(Garayburu-Caruso et al., 2020; Goldman et al., 2020)</w:t>
        </w:r>
      </w:hyperlink>
      <w:r>
        <w:rPr>
          <w:rFonts w:ascii="Gungsuh" w:eastAsia="Gungsuh" w:hAnsi="Gungsuh" w:cs="Gungsuh"/>
          <w:sz w:val="24"/>
          <w:szCs w:val="24"/>
        </w:rPr>
        <w:t>. Samples were collected only from sediment saturated with water. Samples were s</w:t>
      </w:r>
      <w:r>
        <w:rPr>
          <w:rFonts w:ascii="Gungsuh" w:eastAsia="Gungsuh" w:hAnsi="Gungsuh" w:cs="Gungsuh"/>
          <w:sz w:val="24"/>
          <w:szCs w:val="24"/>
        </w:rPr>
        <w:t>hipped to Pacific Northwest National Laboratory’s Environmental Molecular Sciences Laboratory, USA on blue ice within 24 h of collection. Once in the lab, surface water samples were frozen at −20 °C until analysis. Sediment samples were individually sieved</w:t>
      </w:r>
      <w:r>
        <w:rPr>
          <w:rFonts w:ascii="Gungsuh" w:eastAsia="Gungsuh" w:hAnsi="Gungsuh" w:cs="Gungsuh"/>
          <w:sz w:val="24"/>
          <w:szCs w:val="24"/>
        </w:rPr>
        <w:t xml:space="preserve"> to &lt;2 mm, subsampled, and stored at −20 °C. Before analyses, all samples were thawed in the dark at 4°C for 72 hours. Water soluble (i.e. &lt; 0.22 μm filter size) organic matter (i.e. DOM) from sediments was extracted prior to analysis by shaking the sedime</w:t>
      </w:r>
      <w:r>
        <w:rPr>
          <w:rFonts w:ascii="Gungsuh" w:eastAsia="Gungsuh" w:hAnsi="Gungsuh" w:cs="Gungsuh"/>
          <w:sz w:val="24"/>
          <w:szCs w:val="24"/>
        </w:rPr>
        <w:t xml:space="preserve">nts with MilliQ water for 2h </w:t>
      </w:r>
      <w:hyperlink r:id="rId18">
        <w:r>
          <w:rPr>
            <w:rFonts w:ascii="Times New Roman" w:eastAsia="Times New Roman" w:hAnsi="Times New Roman" w:cs="Times New Roman"/>
            <w:sz w:val="24"/>
            <w:szCs w:val="24"/>
          </w:rPr>
          <w:t>(Tfaily et al., 2017)</w:t>
        </w:r>
      </w:hyperlink>
      <w:r>
        <w:rPr>
          <w:rFonts w:ascii="Times New Roman" w:eastAsia="Times New Roman" w:hAnsi="Times New Roman" w:cs="Times New Roman"/>
          <w:sz w:val="24"/>
          <w:szCs w:val="24"/>
        </w:rPr>
        <w:t>. Non-purgeable organic carbon (NPOC) was determined in the surface water samples and sediment extracts using a combustion carbon analyzer (TOC-</w:t>
      </w:r>
      <w:r>
        <w:rPr>
          <w:rFonts w:ascii="Times New Roman" w:eastAsia="Times New Roman" w:hAnsi="Times New Roman" w:cs="Times New Roman"/>
          <w:sz w:val="24"/>
          <w:szCs w:val="24"/>
        </w:rPr>
        <w:t>L CSH/CSN E100V) with an ASI-L autosampler. NPOC concentrations were normalised via dilution to 1.5 mg C L</w:t>
      </w:r>
      <w:r>
        <w:rPr>
          <w:rFonts w:ascii="Gungsuh" w:eastAsia="Gungsuh" w:hAnsi="Gungsuh" w:cs="Gungsuh"/>
          <w:sz w:val="24"/>
          <w:szCs w:val="24"/>
          <w:vertAlign w:val="superscript"/>
        </w:rPr>
        <w:t>−</w:t>
      </w:r>
      <w:r>
        <w:rPr>
          <w:rFonts w:ascii="Gungsuh" w:eastAsia="Gungsuh" w:hAnsi="Gungsuh" w:cs="Gungsuh"/>
          <w:sz w:val="24"/>
          <w:szCs w:val="24"/>
          <w:vertAlign w:val="superscript"/>
        </w:rPr>
        <w:t>1</w:t>
      </w:r>
      <w:r>
        <w:rPr>
          <w:rFonts w:ascii="Times New Roman" w:eastAsia="Times New Roman" w:hAnsi="Times New Roman" w:cs="Times New Roman"/>
          <w:sz w:val="24"/>
          <w:szCs w:val="24"/>
        </w:rPr>
        <w:t xml:space="preserve"> across all samples before solid phase extraction (SPE) with PPL </w:t>
      </w:r>
      <w:r>
        <w:rPr>
          <w:rFonts w:ascii="Times New Roman" w:eastAsia="Times New Roman" w:hAnsi="Times New Roman" w:cs="Times New Roman"/>
          <w:color w:val="202124"/>
          <w:sz w:val="24"/>
          <w:szCs w:val="24"/>
        </w:rPr>
        <w:t>(Priority PolLutant, Bond Elut)</w:t>
      </w:r>
      <w:r>
        <w:rPr>
          <w:rFonts w:ascii="Times New Roman" w:eastAsia="Times New Roman" w:hAnsi="Times New Roman" w:cs="Times New Roman"/>
          <w:sz w:val="24"/>
          <w:szCs w:val="24"/>
        </w:rPr>
        <w:t xml:space="preserve"> cartridges using methanol for final elution </w:t>
      </w:r>
      <w:hyperlink r:id="rId19">
        <w:r>
          <w:rPr>
            <w:rFonts w:ascii="Times New Roman" w:eastAsia="Times New Roman" w:hAnsi="Times New Roman" w:cs="Times New Roman"/>
            <w:sz w:val="24"/>
            <w:szCs w:val="24"/>
          </w:rPr>
          <w:t>(Dittmar et al., 2008)</w:t>
        </w:r>
      </w:hyperlink>
      <w:r>
        <w:rPr>
          <w:rFonts w:ascii="Times New Roman" w:eastAsia="Times New Roman" w:hAnsi="Times New Roman" w:cs="Times New Roman"/>
          <w:sz w:val="24"/>
          <w:szCs w:val="24"/>
        </w:rPr>
        <w:t xml:space="preserve">. The normalisation of samples to 1.5 mg/L C allows for FT-ICR MS data comparison across sites within this study and other WHONDRS sampling campaigns. </w:t>
      </w:r>
    </w:p>
    <w:p w:rsidR="00F7284D" w:rsidRDefault="00FD7C62">
      <w:pPr>
        <w:pStyle w:val="Heading2"/>
        <w:spacing w:before="0" w:after="0" w:line="480" w:lineRule="auto"/>
        <w:jc w:val="both"/>
        <w:rPr>
          <w:rFonts w:ascii="Times New Roman" w:eastAsia="Times New Roman" w:hAnsi="Times New Roman" w:cs="Times New Roman"/>
          <w:b/>
          <w:sz w:val="24"/>
          <w:szCs w:val="24"/>
        </w:rPr>
      </w:pPr>
      <w:bookmarkStart w:id="1" w:name="_ombtglfhfr3w" w:colFirst="0" w:colLast="0"/>
      <w:bookmarkEnd w:id="1"/>
      <w:r>
        <w:rPr>
          <w:rFonts w:ascii="Times New Roman" w:eastAsia="Times New Roman" w:hAnsi="Times New Roman" w:cs="Times New Roman"/>
          <w:b/>
          <w:sz w:val="24"/>
          <w:szCs w:val="24"/>
        </w:rPr>
        <w:lastRenderedPageBreak/>
        <w:t>Methods S2: FTICR Data</w:t>
      </w:r>
      <w:r>
        <w:rPr>
          <w:rFonts w:ascii="Times New Roman" w:eastAsia="Times New Roman" w:hAnsi="Times New Roman" w:cs="Times New Roman"/>
          <w:b/>
          <w:sz w:val="24"/>
          <w:szCs w:val="24"/>
        </w:rPr>
        <w:t xml:space="preserve"> Processing</w:t>
      </w:r>
    </w:p>
    <w:p w:rsidR="00F7284D" w:rsidRDefault="00FD7C62">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 12 Tesla Bruker SolariX Fourier transform ion cyclotron mass spectrometer (12 T FT-ICR MS; Bruker, SolariX, Billerica, MA, USA, resolution was 220 K at 481.185 </w:t>
      </w:r>
      <w:r>
        <w:rPr>
          <w:rFonts w:ascii="Times New Roman" w:eastAsia="Times New Roman" w:hAnsi="Times New Roman" w:cs="Times New Roman"/>
          <w:i/>
          <w:sz w:val="24"/>
          <w:szCs w:val="24"/>
        </w:rPr>
        <w:t>m/z</w:t>
      </w:r>
      <w:r>
        <w:rPr>
          <w:rFonts w:ascii="Times New Roman" w:eastAsia="Times New Roman" w:hAnsi="Times New Roman" w:cs="Times New Roman"/>
          <w:sz w:val="24"/>
          <w:szCs w:val="24"/>
        </w:rPr>
        <w:t>) located at the Environmental Molecular Sciences Laboratory in Richland, WA,</w:t>
      </w:r>
      <w:r>
        <w:rPr>
          <w:rFonts w:ascii="Times New Roman" w:eastAsia="Times New Roman" w:hAnsi="Times New Roman" w:cs="Times New Roman"/>
          <w:sz w:val="24"/>
          <w:szCs w:val="24"/>
        </w:rPr>
        <w:t xml:space="preserve"> USA, was used to collect ultrahigh-resolution mass spectra of surface water and sediment extracts </w:t>
      </w:r>
      <w:hyperlink r:id="rId20">
        <w:r>
          <w:rPr>
            <w:rFonts w:ascii="Times New Roman" w:eastAsia="Times New Roman" w:hAnsi="Times New Roman" w:cs="Times New Roman"/>
            <w:sz w:val="24"/>
            <w:szCs w:val="24"/>
          </w:rPr>
          <w:t>(Garayburu-Caruso et al., 2020)</w:t>
        </w:r>
      </w:hyperlink>
      <w:r>
        <w:rPr>
          <w:rFonts w:ascii="Times New Roman" w:eastAsia="Times New Roman" w:hAnsi="Times New Roman" w:cs="Times New Roman"/>
          <w:sz w:val="24"/>
          <w:szCs w:val="24"/>
        </w:rPr>
        <w:t xml:space="preserve">. Data were collected in negative mode with an ion accumulation </w:t>
      </w:r>
      <w:r>
        <w:rPr>
          <w:rFonts w:ascii="Times New Roman" w:eastAsia="Times New Roman" w:hAnsi="Times New Roman" w:cs="Times New Roman"/>
          <w:sz w:val="24"/>
          <w:szCs w:val="24"/>
        </w:rPr>
        <w:t xml:space="preserve">of 0.05 s for surface water and 0.1 or 0.2 s (depending on sample quality) for sediment from 100–900 m/z at 4 M. </w:t>
      </w:r>
      <w:r>
        <w:rPr>
          <w:rFonts w:ascii="Times New Roman" w:eastAsia="Times New Roman" w:hAnsi="Times New Roman" w:cs="Times New Roman"/>
          <w:i/>
          <w:sz w:val="24"/>
          <w:szCs w:val="24"/>
        </w:rPr>
        <w:t>BrukerDaltonik Data Analysis</w:t>
      </w:r>
      <w:r>
        <w:rPr>
          <w:rFonts w:ascii="Times New Roman" w:eastAsia="Times New Roman" w:hAnsi="Times New Roman" w:cs="Times New Roman"/>
          <w:sz w:val="24"/>
          <w:szCs w:val="24"/>
        </w:rPr>
        <w:t xml:space="preserve"> software (version 4.2) was used to convert raw spectra to a list of m/z values by applying a signal-to-noise ratio</w:t>
      </w:r>
      <w:r>
        <w:rPr>
          <w:rFonts w:ascii="Times New Roman" w:eastAsia="Times New Roman" w:hAnsi="Times New Roman" w:cs="Times New Roman"/>
          <w:sz w:val="24"/>
          <w:szCs w:val="24"/>
        </w:rPr>
        <w:t xml:space="preserve"> (S/N) of 7 and an absolute intensity threshold to the default value of 100. Peaks were aligned, and molecular formulae were assigned using the </w:t>
      </w:r>
      <w:r>
        <w:rPr>
          <w:rFonts w:ascii="Times New Roman" w:eastAsia="Times New Roman" w:hAnsi="Times New Roman" w:cs="Times New Roman"/>
          <w:i/>
          <w:sz w:val="24"/>
          <w:szCs w:val="24"/>
        </w:rPr>
        <w:t>Formularity</w:t>
      </w:r>
      <w:r>
        <w:rPr>
          <w:rFonts w:ascii="Times New Roman" w:eastAsia="Times New Roman" w:hAnsi="Times New Roman" w:cs="Times New Roman"/>
          <w:sz w:val="24"/>
          <w:szCs w:val="24"/>
        </w:rPr>
        <w:t xml:space="preserve"> software </w:t>
      </w:r>
      <w:hyperlink r:id="rId21">
        <w:r>
          <w:rPr>
            <w:rFonts w:ascii="Times New Roman" w:eastAsia="Times New Roman" w:hAnsi="Times New Roman" w:cs="Times New Roman"/>
            <w:sz w:val="24"/>
            <w:szCs w:val="24"/>
          </w:rPr>
          <w:t>(Tolić et al., 2017)</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Formula</w:t>
      </w:r>
      <w:r>
        <w:rPr>
          <w:rFonts w:ascii="Times New Roman" w:eastAsia="Times New Roman" w:hAnsi="Times New Roman" w:cs="Times New Roman"/>
          <w:i/>
          <w:sz w:val="24"/>
          <w:szCs w:val="24"/>
        </w:rPr>
        <w:t xml:space="preserve">rity </w:t>
      </w:r>
      <w:r>
        <w:rPr>
          <w:rFonts w:ascii="Times New Roman" w:eastAsia="Times New Roman" w:hAnsi="Times New Roman" w:cs="Times New Roman"/>
          <w:sz w:val="24"/>
          <w:szCs w:val="24"/>
        </w:rPr>
        <w:t xml:space="preserve">outputs were post-processed using the R package </w:t>
      </w:r>
      <w:r>
        <w:rPr>
          <w:rFonts w:ascii="Times New Roman" w:eastAsia="Times New Roman" w:hAnsi="Times New Roman" w:cs="Times New Roman"/>
          <w:i/>
          <w:sz w:val="24"/>
          <w:szCs w:val="24"/>
        </w:rPr>
        <w:t xml:space="preserve">ftmsRanalysis </w:t>
      </w:r>
      <w:hyperlink r:id="rId22">
        <w:r>
          <w:rPr>
            <w:rFonts w:ascii="Times New Roman" w:eastAsia="Times New Roman" w:hAnsi="Times New Roman" w:cs="Times New Roman"/>
            <w:sz w:val="24"/>
            <w:szCs w:val="24"/>
          </w:rPr>
          <w:t>(Bramer et al., 2020)</w:t>
        </w:r>
      </w:hyperlink>
      <w:r>
        <w:rPr>
          <w:rFonts w:ascii="Times New Roman" w:eastAsia="Times New Roman" w:hAnsi="Times New Roman" w:cs="Times New Roman"/>
          <w:sz w:val="24"/>
          <w:szCs w:val="24"/>
        </w:rPr>
        <w:t xml:space="preserve">. This package removes peaks outside of a high confidence m/z range (200 m/z–900 m/z) and/or with a </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is</w:t>
      </w:r>
      <w:r>
        <w:rPr>
          <w:rFonts w:ascii="Times New Roman" w:eastAsia="Times New Roman" w:hAnsi="Times New Roman" w:cs="Times New Roman"/>
          <w:sz w:val="24"/>
          <w:szCs w:val="24"/>
        </w:rPr>
        <w:t xml:space="preserve">otopic signature and calculates molecular formula properties and chemical classes </w:t>
      </w:r>
      <w:hyperlink r:id="rId23">
        <w:r>
          <w:rPr>
            <w:rFonts w:ascii="Times New Roman" w:eastAsia="Times New Roman" w:hAnsi="Times New Roman" w:cs="Times New Roman"/>
            <w:sz w:val="24"/>
            <w:szCs w:val="24"/>
          </w:rPr>
          <w:t>(Kim et al., 2003; Koch et al., 2007; LaRowe and Van Cappellen, 2011)</w:t>
        </w:r>
      </w:hyperlink>
      <w:r>
        <w:rPr>
          <w:rFonts w:ascii="Times New Roman" w:eastAsia="Times New Roman" w:hAnsi="Times New Roman" w:cs="Times New Roman"/>
          <w:sz w:val="24"/>
          <w:szCs w:val="24"/>
        </w:rPr>
        <w:t>. Subsequently, molecular formulae were cla</w:t>
      </w:r>
      <w:r>
        <w:rPr>
          <w:rFonts w:ascii="Times New Roman" w:eastAsia="Times New Roman" w:hAnsi="Times New Roman" w:cs="Times New Roman"/>
          <w:sz w:val="24"/>
          <w:szCs w:val="24"/>
        </w:rPr>
        <w:t xml:space="preserve">ssified into amino sugar-like, carbohydrate-like, condensed aromatic-like, lignin-likes, lipid-like, protein-like, tannin-like, and unsaturated hydrocarbon-like compounds using the </w:t>
      </w:r>
      <w:r>
        <w:rPr>
          <w:rFonts w:ascii="Times New Roman" w:eastAsia="Times New Roman" w:hAnsi="Times New Roman" w:cs="Times New Roman"/>
          <w:i/>
          <w:sz w:val="24"/>
          <w:szCs w:val="24"/>
        </w:rPr>
        <w:t>assign_class()</w:t>
      </w:r>
      <w:r>
        <w:rPr>
          <w:rFonts w:ascii="Times New Roman" w:eastAsia="Times New Roman" w:hAnsi="Times New Roman" w:cs="Times New Roman"/>
          <w:sz w:val="24"/>
          <w:szCs w:val="24"/>
        </w:rPr>
        <w:t xml:space="preserve"> function </w:t>
      </w:r>
      <w:hyperlink r:id="rId24">
        <w:r>
          <w:rPr>
            <w:rFonts w:ascii="Times New Roman" w:eastAsia="Times New Roman" w:hAnsi="Times New Roman" w:cs="Times New Roman"/>
            <w:sz w:val="24"/>
            <w:szCs w:val="24"/>
          </w:rPr>
          <w:t>(Kim et al., 2003)</w:t>
        </w:r>
      </w:hyperlink>
      <w:r>
        <w:rPr>
          <w:rFonts w:ascii="Times New Roman" w:eastAsia="Times New Roman" w:hAnsi="Times New Roman" w:cs="Times New Roman"/>
          <w:sz w:val="24"/>
          <w:szCs w:val="24"/>
        </w:rPr>
        <w:t>.</w:t>
      </w:r>
    </w:p>
    <w:p w:rsidR="00F7284D" w:rsidRDefault="00FD7C62" w:rsidP="00FD7C62">
      <w:pPr>
        <w:spacing w:after="20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Peak intensities were transformed into presence-absence data. The up-, mid-, and downstream sediment samples were treated as triplicates. The peaks and molecular formulae were kept for subsequent analyses if they were found in at least one of the replicate</w:t>
      </w:r>
      <w:r>
        <w:rPr>
          <w:rFonts w:ascii="Times New Roman" w:eastAsia="Times New Roman" w:hAnsi="Times New Roman" w:cs="Times New Roman"/>
          <w:sz w:val="24"/>
          <w:szCs w:val="24"/>
        </w:rPr>
        <w:t>s. Peaks that were assigned the same molecular formula due to minor mass differences were merged together. Only peaks with an assigned molecular formula and with an elemental combination of C</w:t>
      </w:r>
      <w:r>
        <w:rPr>
          <w:rFonts w:ascii="Times New Roman" w:eastAsia="Times New Roman" w:hAnsi="Times New Roman" w:cs="Times New Roman"/>
          <w:sz w:val="24"/>
          <w:szCs w:val="24"/>
          <w:vertAlign w:val="subscript"/>
        </w:rPr>
        <w:t>1-130</w:t>
      </w:r>
      <w:r>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vertAlign w:val="subscript"/>
        </w:rPr>
        <w:t>1-200</w:t>
      </w:r>
      <w:r>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vertAlign w:val="subscript"/>
        </w:rPr>
        <w:t>1-50</w:t>
      </w:r>
      <w:r>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vertAlign w:val="subscript"/>
        </w:rPr>
        <w:t>0-4</w:t>
      </w:r>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vertAlign w:val="subscript"/>
        </w:rPr>
        <w:t>0-2</w:t>
      </w:r>
      <w:r>
        <w:rPr>
          <w:rFonts w:ascii="Times New Roman" w:eastAsia="Times New Roman" w:hAnsi="Times New Roman" w:cs="Times New Roman"/>
          <w:sz w:val="24"/>
          <w:szCs w:val="24"/>
        </w:rPr>
        <w:t xml:space="preserve"> and P</w:t>
      </w:r>
      <w:r>
        <w:rPr>
          <w:rFonts w:ascii="Times New Roman" w:eastAsia="Times New Roman" w:hAnsi="Times New Roman" w:cs="Times New Roman"/>
          <w:sz w:val="24"/>
          <w:szCs w:val="24"/>
          <w:vertAlign w:val="subscript"/>
        </w:rPr>
        <w:t>0-1</w:t>
      </w:r>
      <w:r>
        <w:rPr>
          <w:rFonts w:ascii="Times New Roman" w:eastAsia="Times New Roman" w:hAnsi="Times New Roman" w:cs="Times New Roman"/>
          <w:sz w:val="24"/>
          <w:szCs w:val="24"/>
        </w:rPr>
        <w:t xml:space="preserve"> were retained </w:t>
      </w:r>
      <w:hyperlink r:id="rId25">
        <w:r>
          <w:rPr>
            <w:rFonts w:ascii="Times New Roman" w:eastAsia="Times New Roman" w:hAnsi="Times New Roman" w:cs="Times New Roman"/>
            <w:sz w:val="24"/>
            <w:szCs w:val="24"/>
          </w:rPr>
          <w:t>(Riedel and Dittmar, 2014)</w:t>
        </w:r>
      </w:hyperlink>
      <w:r>
        <w:rPr>
          <w:rFonts w:ascii="Times New Roman" w:eastAsia="Times New Roman" w:hAnsi="Times New Roman" w:cs="Times New Roman"/>
          <w:sz w:val="24"/>
          <w:szCs w:val="24"/>
        </w:rPr>
        <w:t xml:space="preserve">. Only molecular formulae in the </w:t>
      </w:r>
      <w:r>
        <w:rPr>
          <w:rFonts w:ascii="Times New Roman" w:eastAsia="Times New Roman" w:hAnsi="Times New Roman" w:cs="Times New Roman"/>
          <w:sz w:val="24"/>
          <w:szCs w:val="24"/>
        </w:rPr>
        <w:lastRenderedPageBreak/>
        <w:t xml:space="preserve">range of 0.3 </w:t>
      </w:r>
      <w:r>
        <w:rPr>
          <w:rFonts w:ascii="Gungsuh" w:eastAsia="Gungsuh" w:hAnsi="Gungsuh" w:cs="Gungsuh"/>
          <w:color w:val="202124"/>
          <w:sz w:val="24"/>
          <w:szCs w:val="24"/>
        </w:rPr>
        <w:t>≥</w:t>
      </w:r>
      <w:r>
        <w:rPr>
          <w:rFonts w:ascii="Gungsuh" w:eastAsia="Gungsuh" w:hAnsi="Gungsuh" w:cs="Gungsuh"/>
          <w:sz w:val="24"/>
          <w:szCs w:val="24"/>
        </w:rPr>
        <w:t xml:space="preserve"> H/C ≤ 2.2 and O/C ≤ 1.2 </w:t>
      </w:r>
      <w:hyperlink r:id="rId26">
        <w:r>
          <w:rPr>
            <w:rFonts w:ascii="Times New Roman" w:eastAsia="Times New Roman" w:hAnsi="Times New Roman" w:cs="Times New Roman"/>
            <w:sz w:val="24"/>
            <w:szCs w:val="24"/>
          </w:rPr>
          <w:t>(Hawkes et al., 2020)</w:t>
        </w:r>
      </w:hyperlink>
      <w:r>
        <w:rPr>
          <w:rFonts w:ascii="Gungsuh" w:eastAsia="Gungsuh" w:hAnsi="Gungsuh" w:cs="Gungsuh"/>
          <w:sz w:val="24"/>
          <w:szCs w:val="24"/>
        </w:rPr>
        <w:t xml:space="preserve"> and double bond equivalen</w:t>
      </w:r>
      <w:r>
        <w:rPr>
          <w:rFonts w:ascii="Gungsuh" w:eastAsia="Gungsuh" w:hAnsi="Gungsuh" w:cs="Gungsuh"/>
          <w:sz w:val="24"/>
          <w:szCs w:val="24"/>
        </w:rPr>
        <w:t xml:space="preserve">ts minus oxygen ≤ 10 were considered reliable based on chemical feasibility </w:t>
      </w:r>
      <w:hyperlink r:id="rId27">
        <w:r>
          <w:rPr>
            <w:rFonts w:ascii="Times New Roman" w:eastAsia="Times New Roman" w:hAnsi="Times New Roman" w:cs="Times New Roman"/>
            <w:sz w:val="24"/>
            <w:szCs w:val="24"/>
          </w:rPr>
          <w:t>(Herzsprung et al., 2014)</w:t>
        </w:r>
      </w:hyperlink>
    </w:p>
    <w:p w:rsidR="00F7284D" w:rsidRDefault="00F7284D">
      <w:pPr>
        <w:rPr>
          <w:rFonts w:ascii="Times New Roman" w:eastAsia="Times New Roman" w:hAnsi="Times New Roman" w:cs="Times New Roman"/>
          <w:b/>
          <w:sz w:val="24"/>
          <w:szCs w:val="24"/>
        </w:rPr>
      </w:pPr>
    </w:p>
    <w:p w:rsidR="00F7284D" w:rsidRDefault="00FD7C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Supplementary Figures</w:t>
      </w:r>
    </w:p>
    <w:p w:rsidR="00F7284D" w:rsidRDefault="00F7284D">
      <w:pPr>
        <w:rPr>
          <w:rFonts w:ascii="Times New Roman" w:eastAsia="Times New Roman" w:hAnsi="Times New Roman" w:cs="Times New Roman"/>
          <w:sz w:val="24"/>
          <w:szCs w:val="24"/>
        </w:rPr>
      </w:pPr>
    </w:p>
    <w:p w:rsidR="00F7284D" w:rsidRDefault="00F7284D">
      <w:pPr>
        <w:rPr>
          <w:rFonts w:ascii="Times New Roman" w:eastAsia="Times New Roman" w:hAnsi="Times New Roman" w:cs="Times New Roman"/>
          <w:sz w:val="24"/>
          <w:szCs w:val="24"/>
        </w:rPr>
      </w:pPr>
    </w:p>
    <w:p w:rsidR="00F7284D" w:rsidRDefault="00FD7C6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CH"/>
        </w:rPr>
        <w:drawing>
          <wp:inline distT="19050" distB="19050" distL="19050" distR="19050">
            <wp:extent cx="4129571" cy="4129571"/>
            <wp:effectExtent l="0" t="0" r="0" b="0"/>
            <wp:docPr id="2" name="image5.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Chart&#10;&#10;Description automatically generated"/>
                    <pic:cNvPicPr preferRelativeResize="0"/>
                  </pic:nvPicPr>
                  <pic:blipFill>
                    <a:blip r:embed="rId28"/>
                    <a:srcRect/>
                    <a:stretch>
                      <a:fillRect/>
                    </a:stretch>
                  </pic:blipFill>
                  <pic:spPr>
                    <a:xfrm>
                      <a:off x="0" y="0"/>
                      <a:ext cx="4129571" cy="4129571"/>
                    </a:xfrm>
                    <a:prstGeom prst="rect">
                      <a:avLst/>
                    </a:prstGeom>
                    <a:ln/>
                  </pic:spPr>
                </pic:pic>
              </a:graphicData>
            </a:graphic>
          </wp:inline>
        </w:drawing>
      </w:r>
    </w:p>
    <w:p w:rsidR="00F7284D" w:rsidRDefault="00F7284D">
      <w:pPr>
        <w:rPr>
          <w:rFonts w:ascii="Times New Roman" w:eastAsia="Times New Roman" w:hAnsi="Times New Roman" w:cs="Times New Roman"/>
          <w:sz w:val="24"/>
          <w:szCs w:val="24"/>
        </w:rPr>
      </w:pPr>
    </w:p>
    <w:p w:rsidR="00F7284D" w:rsidRDefault="00FD7C6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 S1: </w:t>
      </w:r>
      <w:r>
        <w:rPr>
          <w:rFonts w:ascii="Times New Roman" w:eastAsia="Times New Roman" w:hAnsi="Times New Roman" w:cs="Times New Roman"/>
          <w:sz w:val="24"/>
          <w:szCs w:val="24"/>
        </w:rPr>
        <w:t>Normalized feature importance for HydroSHEDS attributes across different feature importance methods. The figure illustrates the relative importance of each HydroSHEDS attribute in predicting species richness based on various approaches. These include F-tes</w:t>
      </w:r>
      <w:r>
        <w:rPr>
          <w:rFonts w:ascii="Times New Roman" w:eastAsia="Times New Roman" w:hAnsi="Times New Roman" w:cs="Times New Roman"/>
          <w:sz w:val="24"/>
          <w:szCs w:val="24"/>
        </w:rPr>
        <w:t>t, mutual information (MI), random forest (RF), SHAPley values, Pearson correlation, Spearman correlation, and average values across all the methods. The color intensity represents the magnitude of the normalized importance, with darker red shades indicati</w:t>
      </w:r>
      <w:r>
        <w:rPr>
          <w:rFonts w:ascii="Times New Roman" w:eastAsia="Times New Roman" w:hAnsi="Times New Roman" w:cs="Times New Roman"/>
          <w:sz w:val="24"/>
          <w:szCs w:val="24"/>
        </w:rPr>
        <w:t>ng higher importance and lower values in darker blue. Overall, ‘Actual ET’ is the most consistently important feature across multiple methods.</w:t>
      </w:r>
    </w:p>
    <w:p w:rsidR="00F7284D" w:rsidRDefault="00F7284D">
      <w:pPr>
        <w:rPr>
          <w:rFonts w:ascii="Times New Roman" w:eastAsia="Times New Roman" w:hAnsi="Times New Roman" w:cs="Times New Roman"/>
          <w:sz w:val="24"/>
          <w:szCs w:val="24"/>
        </w:rPr>
      </w:pPr>
    </w:p>
    <w:p w:rsidR="00F7284D" w:rsidRDefault="00F7284D">
      <w:pPr>
        <w:rPr>
          <w:rFonts w:ascii="Times New Roman" w:eastAsia="Times New Roman" w:hAnsi="Times New Roman" w:cs="Times New Roman"/>
          <w:sz w:val="24"/>
          <w:szCs w:val="24"/>
        </w:rPr>
      </w:pPr>
    </w:p>
    <w:p w:rsidR="00F7284D" w:rsidRDefault="00FD7C6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CH"/>
        </w:rPr>
        <w:lastRenderedPageBreak/>
        <w:drawing>
          <wp:inline distT="19050" distB="19050" distL="19050" distR="19050">
            <wp:extent cx="4163727" cy="3709988"/>
            <wp:effectExtent l="0" t="0" r="0" b="0"/>
            <wp:docPr id="1" name="image3.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10;&#10;Description automatically generated"/>
                    <pic:cNvPicPr preferRelativeResize="0"/>
                  </pic:nvPicPr>
                  <pic:blipFill>
                    <a:blip r:embed="rId29"/>
                    <a:srcRect t="6769" b="4101"/>
                    <a:stretch>
                      <a:fillRect/>
                    </a:stretch>
                  </pic:blipFill>
                  <pic:spPr>
                    <a:xfrm>
                      <a:off x="0" y="0"/>
                      <a:ext cx="4163727" cy="3709988"/>
                    </a:xfrm>
                    <a:prstGeom prst="rect">
                      <a:avLst/>
                    </a:prstGeom>
                    <a:ln/>
                  </pic:spPr>
                </pic:pic>
              </a:graphicData>
            </a:graphic>
          </wp:inline>
        </w:drawing>
      </w:r>
    </w:p>
    <w:p w:rsidR="00F7284D" w:rsidRDefault="00F7284D">
      <w:pPr>
        <w:rPr>
          <w:rFonts w:ascii="Times New Roman" w:eastAsia="Times New Roman" w:hAnsi="Times New Roman" w:cs="Times New Roman"/>
          <w:sz w:val="24"/>
          <w:szCs w:val="24"/>
        </w:rPr>
      </w:pPr>
    </w:p>
    <w:p w:rsidR="00F7284D" w:rsidRDefault="00FD7C6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 S2: </w:t>
      </w:r>
      <w:r>
        <w:rPr>
          <w:rFonts w:ascii="Times New Roman" w:eastAsia="Times New Roman" w:hAnsi="Times New Roman" w:cs="Times New Roman"/>
          <w:sz w:val="24"/>
          <w:szCs w:val="24"/>
        </w:rPr>
        <w:t>This heatmap figure displays the normalized feature importance scores for different data features f</w:t>
      </w:r>
      <w:r>
        <w:rPr>
          <w:rFonts w:ascii="Times New Roman" w:eastAsia="Times New Roman" w:hAnsi="Times New Roman" w:cs="Times New Roman"/>
          <w:sz w:val="24"/>
          <w:szCs w:val="24"/>
        </w:rPr>
        <w:t>rom StreamStats in relation to species richness, as evaluated by various methods. The feature importance scores are color-coded, with higher importance values shown in darker red and lower values in darker blue. Overall, ‘latitude’ is the most consistently</w:t>
      </w:r>
      <w:r>
        <w:rPr>
          <w:rFonts w:ascii="Times New Roman" w:eastAsia="Times New Roman" w:hAnsi="Times New Roman" w:cs="Times New Roman"/>
          <w:sz w:val="24"/>
          <w:szCs w:val="24"/>
        </w:rPr>
        <w:t xml:space="preserve"> important feature across multiple methods.</w:t>
      </w:r>
    </w:p>
    <w:p w:rsidR="00F7284D" w:rsidRDefault="00F7284D">
      <w:pPr>
        <w:rPr>
          <w:rFonts w:ascii="Times New Roman" w:eastAsia="Times New Roman" w:hAnsi="Times New Roman" w:cs="Times New Roman"/>
          <w:sz w:val="24"/>
          <w:szCs w:val="24"/>
        </w:rPr>
      </w:pPr>
    </w:p>
    <w:p w:rsidR="00F7284D" w:rsidRDefault="00F7284D">
      <w:pPr>
        <w:rPr>
          <w:rFonts w:ascii="Times New Roman" w:eastAsia="Times New Roman" w:hAnsi="Times New Roman" w:cs="Times New Roman"/>
          <w:sz w:val="24"/>
          <w:szCs w:val="24"/>
        </w:rPr>
      </w:pPr>
    </w:p>
    <w:p w:rsidR="00F7284D" w:rsidRDefault="00FD7C6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CH"/>
        </w:rPr>
        <w:lastRenderedPageBreak/>
        <w:drawing>
          <wp:inline distT="19050" distB="19050" distL="19050" distR="19050">
            <wp:extent cx="4672013" cy="4073037"/>
            <wp:effectExtent l="0" t="0" r="0" b="0"/>
            <wp:docPr id="3" name="image1.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Chart&#10;&#10;Description automatically generated"/>
                    <pic:cNvPicPr preferRelativeResize="0"/>
                  </pic:nvPicPr>
                  <pic:blipFill>
                    <a:blip r:embed="rId30"/>
                    <a:srcRect t="12884"/>
                    <a:stretch>
                      <a:fillRect/>
                    </a:stretch>
                  </pic:blipFill>
                  <pic:spPr>
                    <a:xfrm>
                      <a:off x="0" y="0"/>
                      <a:ext cx="4672013" cy="4073037"/>
                    </a:xfrm>
                    <a:prstGeom prst="rect">
                      <a:avLst/>
                    </a:prstGeom>
                    <a:ln/>
                  </pic:spPr>
                </pic:pic>
              </a:graphicData>
            </a:graphic>
          </wp:inline>
        </w:drawing>
      </w:r>
    </w:p>
    <w:p w:rsidR="00F7284D" w:rsidRDefault="00FD7C6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 S3: </w:t>
      </w:r>
      <w:r>
        <w:rPr>
          <w:rFonts w:ascii="Times New Roman" w:eastAsia="Times New Roman" w:hAnsi="Times New Roman" w:cs="Times New Roman"/>
          <w:sz w:val="24"/>
          <w:szCs w:val="24"/>
        </w:rPr>
        <w:t>The figure shows the relative importance of each EPA-Waters Catchment attribute in predicting species richness using different methods. Darker shades of red indicate higher significance, while darker</w:t>
      </w:r>
      <w:r>
        <w:rPr>
          <w:rFonts w:ascii="Times New Roman" w:eastAsia="Times New Roman" w:hAnsi="Times New Roman" w:cs="Times New Roman"/>
          <w:sz w:val="24"/>
          <w:szCs w:val="24"/>
        </w:rPr>
        <w:t xml:space="preserve"> shades of blue indicate lower importance. The ‘mean annual stream temperature’ is consistently the most important feature across multiple methods.</w:t>
      </w:r>
    </w:p>
    <w:p w:rsidR="00F7284D" w:rsidRDefault="00F7284D">
      <w:pPr>
        <w:rPr>
          <w:rFonts w:ascii="Times New Roman" w:eastAsia="Times New Roman" w:hAnsi="Times New Roman" w:cs="Times New Roman"/>
          <w:sz w:val="24"/>
          <w:szCs w:val="24"/>
        </w:rPr>
      </w:pPr>
    </w:p>
    <w:p w:rsidR="00F7284D" w:rsidRDefault="00F7284D">
      <w:pPr>
        <w:rPr>
          <w:rFonts w:ascii="Times New Roman" w:eastAsia="Times New Roman" w:hAnsi="Times New Roman" w:cs="Times New Roman"/>
          <w:sz w:val="24"/>
          <w:szCs w:val="24"/>
        </w:rPr>
      </w:pPr>
    </w:p>
    <w:p w:rsidR="00F7284D" w:rsidRDefault="00F7284D">
      <w:pPr>
        <w:rPr>
          <w:rFonts w:ascii="Times New Roman" w:eastAsia="Times New Roman" w:hAnsi="Times New Roman" w:cs="Times New Roman"/>
          <w:sz w:val="24"/>
          <w:szCs w:val="24"/>
        </w:rPr>
      </w:pPr>
    </w:p>
    <w:p w:rsidR="00F7284D" w:rsidRDefault="00FD7C6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CH"/>
        </w:rPr>
        <w:drawing>
          <wp:inline distT="19050" distB="19050" distL="19050" distR="19050">
            <wp:extent cx="5943600" cy="2565400"/>
            <wp:effectExtent l="0" t="0" r="0" b="0"/>
            <wp:docPr id="5" name="image2.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Chart&#10;&#10;Description automatically generated"/>
                    <pic:cNvPicPr preferRelativeResize="0"/>
                  </pic:nvPicPr>
                  <pic:blipFill>
                    <a:blip r:embed="rId31"/>
                    <a:srcRect t="33079" b="23766"/>
                    <a:stretch>
                      <a:fillRect/>
                    </a:stretch>
                  </pic:blipFill>
                  <pic:spPr>
                    <a:xfrm>
                      <a:off x="0" y="0"/>
                      <a:ext cx="5943600" cy="2565400"/>
                    </a:xfrm>
                    <a:prstGeom prst="rect">
                      <a:avLst/>
                    </a:prstGeom>
                    <a:ln/>
                  </pic:spPr>
                </pic:pic>
              </a:graphicData>
            </a:graphic>
          </wp:inline>
        </w:drawing>
      </w:r>
    </w:p>
    <w:p w:rsidR="00F7284D" w:rsidRDefault="00FD7C6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Fig. S4: </w:t>
      </w:r>
      <w:r>
        <w:rPr>
          <w:rFonts w:ascii="Times New Roman" w:eastAsia="Times New Roman" w:hAnsi="Times New Roman" w:cs="Times New Roman"/>
          <w:sz w:val="24"/>
          <w:szCs w:val="24"/>
        </w:rPr>
        <w:t xml:space="preserve">The heatmap illustrates the importance of different features in the EPA-Waters Watershed data </w:t>
      </w:r>
      <w:r>
        <w:rPr>
          <w:rFonts w:ascii="Times New Roman" w:eastAsia="Times New Roman" w:hAnsi="Times New Roman" w:cs="Times New Roman"/>
          <w:sz w:val="24"/>
          <w:szCs w:val="24"/>
        </w:rPr>
        <w:t>for species richness. The colors on the heatmap, from darker red to darker blue, indicate the relative importance of each feature. This analysis emphasizes the importance of different features for species richness. Notably, urban and percent impervious are</w:t>
      </w:r>
      <w:r>
        <w:rPr>
          <w:rFonts w:ascii="Times New Roman" w:eastAsia="Times New Roman" w:hAnsi="Times New Roman" w:cs="Times New Roman"/>
          <w:sz w:val="24"/>
          <w:szCs w:val="24"/>
        </w:rPr>
        <w:t>as emerge as significantly important attributes across various methods.</w:t>
      </w:r>
    </w:p>
    <w:p w:rsidR="00F7284D" w:rsidRDefault="00F7284D">
      <w:pPr>
        <w:rPr>
          <w:rFonts w:ascii="Times New Roman" w:eastAsia="Times New Roman" w:hAnsi="Times New Roman" w:cs="Times New Roman"/>
          <w:sz w:val="24"/>
          <w:szCs w:val="24"/>
        </w:rPr>
      </w:pPr>
    </w:p>
    <w:p w:rsidR="00F7284D" w:rsidRDefault="00F7284D">
      <w:pPr>
        <w:rPr>
          <w:rFonts w:ascii="Times New Roman" w:eastAsia="Times New Roman" w:hAnsi="Times New Roman" w:cs="Times New Roman"/>
          <w:sz w:val="24"/>
          <w:szCs w:val="24"/>
        </w:rPr>
      </w:pPr>
    </w:p>
    <w:p w:rsidR="00F7284D" w:rsidRDefault="00F7284D">
      <w:pPr>
        <w:rPr>
          <w:rFonts w:ascii="Times New Roman" w:eastAsia="Times New Roman" w:hAnsi="Times New Roman" w:cs="Times New Roman"/>
          <w:sz w:val="24"/>
          <w:szCs w:val="24"/>
        </w:rPr>
      </w:pPr>
    </w:p>
    <w:p w:rsidR="00F7284D" w:rsidRDefault="00FD7C6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CH"/>
        </w:rPr>
        <w:drawing>
          <wp:inline distT="114300" distB="114300" distL="114300" distR="114300">
            <wp:extent cx="5943600" cy="41656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2"/>
                    <a:srcRect/>
                    <a:stretch>
                      <a:fillRect/>
                    </a:stretch>
                  </pic:blipFill>
                  <pic:spPr>
                    <a:xfrm>
                      <a:off x="0" y="0"/>
                      <a:ext cx="5943600" cy="4165600"/>
                    </a:xfrm>
                    <a:prstGeom prst="rect">
                      <a:avLst/>
                    </a:prstGeom>
                    <a:ln/>
                  </pic:spPr>
                </pic:pic>
              </a:graphicData>
            </a:graphic>
          </wp:inline>
        </w:drawing>
      </w:r>
    </w:p>
    <w:p w:rsidR="00F7284D" w:rsidRDefault="00FD7C6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 S5:</w:t>
      </w:r>
      <w:r>
        <w:rPr>
          <w:rFonts w:ascii="Times New Roman" w:eastAsia="Times New Roman" w:hAnsi="Times New Roman" w:cs="Times New Roman"/>
          <w:sz w:val="24"/>
          <w:szCs w:val="24"/>
        </w:rPr>
        <w:t xml:space="preserve"> Scaling parameters B (intercept, x-axis) and Z (exponent, y-axis) for species richness coloured by the different data sources (WHONDRS, StreamStats, HydroSHEDS, EPA-Water</w:t>
      </w:r>
      <w:r>
        <w:rPr>
          <w:rFonts w:ascii="Times New Roman" w:eastAsia="Times New Roman" w:hAnsi="Times New Roman" w:cs="Times New Roman"/>
          <w:sz w:val="24"/>
          <w:szCs w:val="24"/>
        </w:rPr>
        <w:t>shed, and EPA-Catchment). Lines represent linear models fit to each compound class</w:t>
      </w:r>
    </w:p>
    <w:p w:rsidR="00F7284D" w:rsidRDefault="00F7284D">
      <w:pPr>
        <w:rPr>
          <w:rFonts w:ascii="Times New Roman" w:eastAsia="Times New Roman" w:hAnsi="Times New Roman" w:cs="Times New Roman"/>
          <w:sz w:val="24"/>
          <w:szCs w:val="24"/>
        </w:rPr>
      </w:pPr>
    </w:p>
    <w:p w:rsidR="00F7284D" w:rsidRDefault="00F7284D">
      <w:pPr>
        <w:rPr>
          <w:rFonts w:ascii="Times New Roman" w:eastAsia="Times New Roman" w:hAnsi="Times New Roman" w:cs="Times New Roman"/>
          <w:sz w:val="24"/>
          <w:szCs w:val="24"/>
        </w:rPr>
      </w:pPr>
    </w:p>
    <w:p w:rsidR="00F7284D" w:rsidRDefault="00FD7C62">
      <w:pPr>
        <w:pStyle w:val="Heading1"/>
        <w:spacing w:before="240"/>
        <w:jc w:val="both"/>
        <w:rPr>
          <w:rFonts w:ascii="Times New Roman" w:eastAsia="Times New Roman" w:hAnsi="Times New Roman" w:cs="Times New Roman"/>
          <w:b/>
          <w:sz w:val="24"/>
          <w:szCs w:val="24"/>
        </w:rPr>
      </w:pPr>
      <w:bookmarkStart w:id="2" w:name="_r256yua64ews" w:colFirst="0" w:colLast="0"/>
      <w:bookmarkEnd w:id="2"/>
      <w:r>
        <w:rPr>
          <w:rFonts w:ascii="Times New Roman" w:eastAsia="Times New Roman" w:hAnsi="Times New Roman" w:cs="Times New Roman"/>
          <w:b/>
          <w:sz w:val="24"/>
          <w:szCs w:val="24"/>
        </w:rPr>
        <w:lastRenderedPageBreak/>
        <w:t>Table S1: Average feature importance for predicting species richness across multiple environmental datasets.</w:t>
      </w:r>
      <w:r>
        <w:rPr>
          <w:rFonts w:ascii="Times New Roman" w:eastAsia="Times New Roman" w:hAnsi="Times New Roman" w:cs="Times New Roman"/>
          <w:sz w:val="24"/>
          <w:szCs w:val="24"/>
        </w:rPr>
        <w:t xml:space="preserve"> This table presents the average feature importance scores for </w:t>
      </w:r>
      <w:r>
        <w:rPr>
          <w:rFonts w:ascii="Times New Roman" w:eastAsia="Times New Roman" w:hAnsi="Times New Roman" w:cs="Times New Roman"/>
          <w:sz w:val="24"/>
          <w:szCs w:val="24"/>
        </w:rPr>
        <w:t>the top contributing attributes (i.e., for a reduced set of features) within each environmental dataset (WHONDRS, StreamStats, HydroSHEDS, EPAWaters-Catchment, EPAWaters-Watersheds) in predicting species richness. Feature importance was assessed using a mu</w:t>
      </w:r>
      <w:r>
        <w:rPr>
          <w:rFonts w:ascii="Times New Roman" w:eastAsia="Times New Roman" w:hAnsi="Times New Roman" w:cs="Times New Roman"/>
          <w:sz w:val="24"/>
          <w:szCs w:val="24"/>
        </w:rPr>
        <w:t>lti-step approach and averaged across methods for a robust ranking. The scores range from 0 to 1, with higher values indicating greater importance for predicting species richness. The reduced set of features presented here represents the most influential a</w:t>
      </w:r>
      <w:r>
        <w:rPr>
          <w:rFonts w:ascii="Times New Roman" w:eastAsia="Times New Roman" w:hAnsi="Times New Roman" w:cs="Times New Roman"/>
          <w:sz w:val="24"/>
          <w:szCs w:val="24"/>
        </w:rPr>
        <w:t>ttributes within each dataset for understanding the ecological drivers of species diversity.</w:t>
      </w:r>
    </w:p>
    <w:p w:rsidR="00F7284D" w:rsidRDefault="00F7284D">
      <w:pPr>
        <w:rPr>
          <w:rFonts w:ascii="Times New Roman" w:eastAsia="Times New Roman" w:hAnsi="Times New Roman" w:cs="Times New Roman"/>
          <w:sz w:val="24"/>
          <w:szCs w:val="24"/>
        </w:rPr>
      </w:pP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1920"/>
        <w:gridCol w:w="5385"/>
        <w:gridCol w:w="1590"/>
      </w:tblGrid>
      <w:tr w:rsidR="00F7284D">
        <w:trPr>
          <w:trHeight w:val="825"/>
        </w:trPr>
        <w:tc>
          <w:tcPr>
            <w:tcW w:w="19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Dataset name</w:t>
            </w:r>
          </w:p>
        </w:tc>
        <w:tc>
          <w:tcPr>
            <w:tcW w:w="53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Reduced set of features</w:t>
            </w:r>
          </w:p>
        </w:tc>
        <w:tc>
          <w:tcPr>
            <w:tcW w:w="15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Average feature importance</w:t>
            </w:r>
          </w:p>
        </w:tc>
      </w:tr>
      <w:tr w:rsidR="00F7284D">
        <w:trPr>
          <w:trHeight w:val="285"/>
        </w:trPr>
        <w:tc>
          <w:tcPr>
            <w:tcW w:w="1920"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WHONDRS</w:t>
            </w:r>
          </w:p>
        </w:tc>
        <w:tc>
          <w:tcPr>
            <w:tcW w:w="5385" w:type="dxa"/>
            <w:tcBorders>
              <w:top w:val="nil"/>
              <w:left w:val="nil"/>
              <w:bottom w:val="single" w:sz="6" w:space="0" w:color="000000"/>
              <w:right w:val="single" w:sz="6" w:space="0" w:color="000000"/>
            </w:tcBorders>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Surface Water Temperature (degree C)</w:t>
            </w:r>
          </w:p>
        </w:tc>
        <w:tc>
          <w:tcPr>
            <w:tcW w:w="1590" w:type="dxa"/>
            <w:tcBorders>
              <w:top w:val="nil"/>
              <w:left w:val="nil"/>
              <w:bottom w:val="single" w:sz="6" w:space="0" w:color="000000"/>
              <w:right w:val="single" w:sz="6" w:space="0" w:color="000000"/>
            </w:tcBorders>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Dissolved oxygen (mg/L)</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Downstream water column height (cm)</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Upstream water column height (cm)</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Surface water pH</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0.52</w:t>
            </w:r>
          </w:p>
        </w:tc>
      </w:tr>
      <w:tr w:rsidR="00F7284D">
        <w:trPr>
          <w:trHeight w:val="285"/>
        </w:trPr>
        <w:tc>
          <w:tcPr>
            <w:tcW w:w="192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StreamStats</w:t>
            </w: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Latitude</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0.89</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Drainage area</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Minimum basement elevation</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Precipitation</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Forest coverage</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0.52</w:t>
            </w:r>
          </w:p>
        </w:tc>
      </w:tr>
      <w:tr w:rsidR="00F7284D">
        <w:trPr>
          <w:trHeight w:val="285"/>
        </w:trPr>
        <w:tc>
          <w:tcPr>
            <w:tcW w:w="192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HydroSheds</w:t>
            </w: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Actual ET</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temperature</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River area</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Natural discharge</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River volume</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Inundation extent</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ET</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0.55</w:t>
            </w:r>
          </w:p>
        </w:tc>
      </w:tr>
      <w:tr w:rsidR="00F7284D">
        <w:trPr>
          <w:trHeight w:val="555"/>
        </w:trPr>
        <w:tc>
          <w:tcPr>
            <w:tcW w:w="192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EPAWaters-Catchment</w:t>
            </w: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annual stream temperature within the catchment</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0.89</w:t>
            </w:r>
          </w:p>
        </w:tc>
      </w:tr>
      <w:tr w:rsidR="00F7284D">
        <w:trPr>
          <w:trHeight w:val="55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summer stream temperature within the catchment</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tc>
      </w:tr>
      <w:tr w:rsidR="00F7284D">
        <w:trPr>
          <w:trHeight w:val="55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imperviousness of anthropogenic surfaces within catchment</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 forest cover loss within the catchment</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r>
      <w:tr w:rsidR="00F7284D">
        <w:trPr>
          <w:trHeight w:val="109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 Nonagriculture nonnative introduced or managed vegetation landcover type reclassed from LANDFIRE Existing Vegetation Type (EVT), within catchment</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Land use</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w:t>
            </w:r>
          </w:p>
        </w:tc>
      </w:tr>
      <w:tr w:rsidR="00F7284D">
        <w:trPr>
          <w:trHeight w:val="55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year mean maximum temperature within the catchment</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r>
      <w:tr w:rsidR="00F7284D">
        <w:trPr>
          <w:trHeight w:val="55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 of open water land cover within the catchment</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r>
      <w:tr w:rsidR="00F7284D">
        <w:trPr>
          <w:trHeight w:val="55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year mean normal temperature within the catchment</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0.53</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Precipitation gradient</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0.53</w:t>
            </w:r>
          </w:p>
        </w:tc>
      </w:tr>
      <w:tr w:rsidR="00F7284D">
        <w:trPr>
          <w:trHeight w:val="555"/>
        </w:trPr>
        <w:tc>
          <w:tcPr>
            <w:tcW w:w="192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EPAWaters-Watersheds</w:t>
            </w: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Density of TRI (Toxic Release Inventory) sites within watershed (sites/square km)</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0.87</w:t>
            </w:r>
          </w:p>
        </w:tc>
      </w:tr>
      <w:tr w:rsidR="00F7284D">
        <w:trPr>
          <w:trHeight w:val="82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Density of permitted NPDES (National Pollutant Discharge Elimination System) sites within watershed (sites/square km)</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r>
      <w:tr w:rsidR="00F7284D">
        <w:trPr>
          <w:trHeight w:val="55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 of mean imperviousness of anthropogenic surfaces within watershed</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 of forest cover loss within watershed</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F7284D">
        <w:trPr>
          <w:trHeight w:val="55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 of watershed area classified as developed, medium-intensity land use</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r>
      <w:tr w:rsidR="00F7284D">
        <w:trPr>
          <w:trHeight w:val="55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 of watershed area classified as developed, low-intensity land use</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r>
      <w:tr w:rsidR="00F7284D">
        <w:trPr>
          <w:trHeight w:val="55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 of watershed area classified as developed, high-intensity land use</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r w:rsidR="00F7284D">
        <w:trPr>
          <w:trHeight w:val="55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 of watershed area classified as developed, open space land use</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r w:rsidR="00F7284D">
        <w:trPr>
          <w:trHeight w:val="55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Density of Superfund sites within watershed (sites/square km)</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0.52</w:t>
            </w:r>
          </w:p>
        </w:tc>
      </w:tr>
      <w:tr w:rsidR="00F7284D">
        <w:trPr>
          <w:trHeight w:val="285"/>
        </w:trPr>
        <w:tc>
          <w:tcPr>
            <w:tcW w:w="19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7284D" w:rsidRDefault="00F7284D">
            <w:pPr>
              <w:rPr>
                <w:rFonts w:ascii="Times New Roman" w:eastAsia="Times New Roman" w:hAnsi="Times New Roman" w:cs="Times New Roman"/>
                <w:sz w:val="24"/>
                <w:szCs w:val="24"/>
              </w:rPr>
            </w:pPr>
          </w:p>
        </w:tc>
        <w:tc>
          <w:tcPr>
            <w:tcW w:w="5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temperature (°C) within the watershed</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F7284D" w:rsidRDefault="00FD7C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bl>
    <w:p w:rsidR="00F7284D" w:rsidRDefault="00F7284D">
      <w:pPr>
        <w:rPr>
          <w:rFonts w:ascii="Times New Roman" w:eastAsia="Times New Roman" w:hAnsi="Times New Roman" w:cs="Times New Roman"/>
          <w:sz w:val="24"/>
          <w:szCs w:val="24"/>
        </w:rPr>
      </w:pPr>
    </w:p>
    <w:p w:rsidR="00F7284D" w:rsidRDefault="00F7284D">
      <w:pPr>
        <w:rPr>
          <w:rFonts w:ascii="Times New Roman" w:eastAsia="Times New Roman" w:hAnsi="Times New Roman" w:cs="Times New Roman"/>
          <w:b/>
          <w:sz w:val="24"/>
          <w:szCs w:val="24"/>
        </w:rPr>
      </w:pPr>
    </w:p>
    <w:p w:rsidR="00F7284D" w:rsidRDefault="00F7284D">
      <w:pPr>
        <w:rPr>
          <w:rFonts w:ascii="Times New Roman" w:eastAsia="Times New Roman" w:hAnsi="Times New Roman" w:cs="Times New Roman"/>
          <w:b/>
          <w:sz w:val="24"/>
          <w:szCs w:val="24"/>
        </w:rPr>
      </w:pPr>
    </w:p>
    <w:p w:rsidR="00F7284D" w:rsidRDefault="00FD7C6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S2</w:t>
      </w:r>
      <w:r>
        <w:rPr>
          <w:rFonts w:ascii="Times New Roman" w:eastAsia="Times New Roman" w:hAnsi="Times New Roman" w:cs="Times New Roman"/>
          <w:sz w:val="24"/>
          <w:szCs w:val="24"/>
        </w:rPr>
        <w:t>: Z values for the compounds and important features shown in Figure 4b.</w:t>
      </w:r>
    </w:p>
    <w:p w:rsidR="00F7284D" w:rsidRDefault="00F7284D">
      <w:pPr>
        <w:rPr>
          <w:rFonts w:ascii="Times New Roman" w:eastAsia="Times New Roman" w:hAnsi="Times New Roman" w:cs="Times New Roman"/>
          <w:sz w:val="24"/>
          <w:szCs w:val="24"/>
        </w:rPr>
      </w:pPr>
    </w:p>
    <w:tbl>
      <w:tblPr>
        <w:tblStyle w:val="a0"/>
        <w:tblW w:w="9359" w:type="dxa"/>
        <w:tblBorders>
          <w:top w:val="nil"/>
          <w:left w:val="nil"/>
          <w:bottom w:val="nil"/>
          <w:right w:val="nil"/>
          <w:insideH w:val="nil"/>
          <w:insideV w:val="nil"/>
        </w:tblBorders>
        <w:tblLayout w:type="fixed"/>
        <w:tblLook w:val="0600" w:firstRow="0" w:lastRow="0" w:firstColumn="0" w:lastColumn="0" w:noHBand="1" w:noVBand="1"/>
      </w:tblPr>
      <w:tblGrid>
        <w:gridCol w:w="2527"/>
        <w:gridCol w:w="854"/>
        <w:gridCol w:w="854"/>
        <w:gridCol w:w="854"/>
        <w:gridCol w:w="854"/>
        <w:gridCol w:w="854"/>
        <w:gridCol w:w="854"/>
        <w:gridCol w:w="854"/>
        <w:gridCol w:w="854"/>
      </w:tblGrid>
      <w:tr w:rsidR="00F7284D">
        <w:trPr>
          <w:trHeight w:val="300"/>
        </w:trPr>
        <w:tc>
          <w:tcPr>
            <w:tcW w:w="2527"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rsidR="00F7284D" w:rsidRDefault="00F7284D">
            <w:pPr>
              <w:widowControl w:val="0"/>
              <w:rPr>
                <w:rFonts w:ascii="Times New Roman" w:eastAsia="Times New Roman" w:hAnsi="Times New Roman" w:cs="Times New Roman"/>
                <w:sz w:val="24"/>
                <w:szCs w:val="24"/>
              </w:rPr>
            </w:pPr>
          </w:p>
        </w:tc>
        <w:tc>
          <w:tcPr>
            <w:tcW w:w="85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AminoSugar</w:t>
            </w:r>
          </w:p>
        </w:tc>
        <w:tc>
          <w:tcPr>
            <w:tcW w:w="85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Carb</w:t>
            </w:r>
          </w:p>
        </w:tc>
        <w:tc>
          <w:tcPr>
            <w:tcW w:w="85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ConcHC</w:t>
            </w:r>
          </w:p>
        </w:tc>
        <w:tc>
          <w:tcPr>
            <w:tcW w:w="85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Lignin</w:t>
            </w:r>
          </w:p>
        </w:tc>
        <w:tc>
          <w:tcPr>
            <w:tcW w:w="85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Lipid</w:t>
            </w:r>
          </w:p>
        </w:tc>
        <w:tc>
          <w:tcPr>
            <w:tcW w:w="85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Protein</w:t>
            </w:r>
          </w:p>
        </w:tc>
        <w:tc>
          <w:tcPr>
            <w:tcW w:w="85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Tannin</w:t>
            </w:r>
          </w:p>
        </w:tc>
        <w:tc>
          <w:tcPr>
            <w:tcW w:w="85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UnsatHC</w:t>
            </w:r>
          </w:p>
        </w:tc>
      </w:tr>
      <w:tr w:rsidR="00F7284D">
        <w:trPr>
          <w:trHeight w:val="300"/>
        </w:trPr>
        <w:tc>
          <w:tcPr>
            <w:tcW w:w="2527"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Latitude</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-0.43</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r>
      <w:tr w:rsidR="00F7284D">
        <w:trPr>
          <w:trHeight w:val="300"/>
        </w:trPr>
        <w:tc>
          <w:tcPr>
            <w:tcW w:w="2527"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ActualET</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r>
      <w:tr w:rsidR="00F7284D">
        <w:trPr>
          <w:trHeight w:val="300"/>
        </w:trPr>
        <w:tc>
          <w:tcPr>
            <w:tcW w:w="2527"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SW_Temp_degC</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0.22</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r>
      <w:tr w:rsidR="00F7284D">
        <w:trPr>
          <w:trHeight w:val="300"/>
        </w:trPr>
        <w:tc>
          <w:tcPr>
            <w:tcW w:w="2527"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MSST Mean SUMMER stream temperature</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0.47</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0.92</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r>
      <w:tr w:rsidR="00F7284D">
        <w:trPr>
          <w:trHeight w:val="300"/>
        </w:trPr>
        <w:tc>
          <w:tcPr>
            <w:tcW w:w="2527"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AirTemp</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0.52</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0.26</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0.39</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r>
      <w:tr w:rsidR="00F7284D">
        <w:trPr>
          <w:trHeight w:val="300"/>
        </w:trPr>
        <w:tc>
          <w:tcPr>
            <w:tcW w:w="2527"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PotentialET</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0.61</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0.55</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r>
      <w:tr w:rsidR="00F7284D">
        <w:trPr>
          <w:trHeight w:val="300"/>
        </w:trPr>
        <w:tc>
          <w:tcPr>
            <w:tcW w:w="2527"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Tmean8110Ws</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0.329767</w:t>
            </w:r>
          </w:p>
        </w:tc>
        <w:tc>
          <w:tcPr>
            <w:tcW w:w="854" w:type="dxa"/>
            <w:tcBorders>
              <w:top w:val="single" w:sz="5" w:space="0" w:color="CCCCCC"/>
              <w:left w:val="single" w:sz="5" w:space="0" w:color="CCCCCC"/>
              <w:bottom w:val="single" w:sz="5" w:space="0" w:color="000000"/>
              <w:right w:val="single" w:sz="5" w:space="0" w:color="000000"/>
            </w:tcBorders>
            <w:shd w:val="clear" w:color="auto" w:fill="B7E1CD"/>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0.810356</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0.185386</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0.080861</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0.362956</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0.266664</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0.076359</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0.164768</w:t>
            </w:r>
          </w:p>
        </w:tc>
      </w:tr>
      <w:tr w:rsidR="00F7284D">
        <w:trPr>
          <w:trHeight w:val="300"/>
        </w:trPr>
        <w:tc>
          <w:tcPr>
            <w:tcW w:w="2527"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Avg_Water.Column.Height_cm</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0.23</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F7284D">
        <w:trPr>
          <w:trHeight w:val="525"/>
        </w:trPr>
        <w:tc>
          <w:tcPr>
            <w:tcW w:w="2527"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Mean imperviousness of anthropogenic surfaces within catchment - PctImp</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F7284D">
        <w:trPr>
          <w:trHeight w:val="300"/>
        </w:trPr>
        <w:tc>
          <w:tcPr>
            <w:tcW w:w="2527"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Discharge</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F7284D">
        <w:trPr>
          <w:trHeight w:val="300"/>
        </w:trPr>
        <w:tc>
          <w:tcPr>
            <w:tcW w:w="2527"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DrainageArea</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5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7284D" w:rsidRDefault="00FD7C62">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bl>
    <w:p w:rsidR="00F7284D" w:rsidRDefault="00F7284D">
      <w:pPr>
        <w:rPr>
          <w:rFonts w:ascii="Times New Roman" w:eastAsia="Times New Roman" w:hAnsi="Times New Roman" w:cs="Times New Roman"/>
          <w:sz w:val="24"/>
          <w:szCs w:val="24"/>
        </w:rPr>
      </w:pPr>
    </w:p>
    <w:p w:rsidR="00F7284D" w:rsidRDefault="00F7284D">
      <w:pPr>
        <w:rPr>
          <w:rFonts w:ascii="Times New Roman" w:eastAsia="Times New Roman" w:hAnsi="Times New Roman" w:cs="Times New Roman"/>
          <w:sz w:val="24"/>
          <w:szCs w:val="24"/>
        </w:rPr>
      </w:pPr>
    </w:p>
    <w:p w:rsidR="00F7284D" w:rsidRDefault="00F7284D">
      <w:pPr>
        <w:rPr>
          <w:rFonts w:ascii="Times New Roman" w:eastAsia="Times New Roman" w:hAnsi="Times New Roman" w:cs="Times New Roman"/>
          <w:sz w:val="24"/>
          <w:szCs w:val="24"/>
        </w:rPr>
      </w:pPr>
    </w:p>
    <w:p w:rsidR="00F7284D" w:rsidRDefault="00F7284D">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7284D" w:rsidRDefault="00FD7C62">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S3</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and p-values for the linear models shown in Figure 5b and 5c. </w:t>
      </w:r>
    </w:p>
    <w:p w:rsidR="00F7284D" w:rsidRDefault="00F7284D">
      <w:pPr>
        <w:rPr>
          <w:rFonts w:ascii="Times New Roman" w:eastAsia="Times New Roman" w:hAnsi="Times New Roman" w:cs="Times New Roman"/>
          <w:sz w:val="24"/>
          <w:szCs w:val="24"/>
        </w:rPr>
      </w:pPr>
    </w:p>
    <w:tbl>
      <w:tblPr>
        <w:tblStyle w:val="a1"/>
        <w:tblW w:w="4500" w:type="dxa"/>
        <w:tblBorders>
          <w:top w:val="nil"/>
          <w:left w:val="nil"/>
          <w:bottom w:val="nil"/>
          <w:right w:val="nil"/>
          <w:insideH w:val="nil"/>
          <w:insideV w:val="nil"/>
        </w:tblBorders>
        <w:tblLayout w:type="fixed"/>
        <w:tblLook w:val="0600" w:firstRow="0" w:lastRow="0" w:firstColumn="0" w:lastColumn="0" w:noHBand="1" w:noVBand="1"/>
      </w:tblPr>
      <w:tblGrid>
        <w:gridCol w:w="1500"/>
        <w:gridCol w:w="1500"/>
        <w:gridCol w:w="1500"/>
      </w:tblGrid>
      <w:tr w:rsidR="00F7284D">
        <w:trPr>
          <w:trHeight w:val="300"/>
        </w:trPr>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Compound</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R</w:t>
            </w:r>
            <w:r>
              <w:rPr>
                <w:rFonts w:ascii="Times New Roman" w:eastAsia="Times New Roman" w:hAnsi="Times New Roman" w:cs="Times New Roman"/>
                <w:b/>
                <w:sz w:val="24"/>
                <w:szCs w:val="24"/>
                <w:vertAlign w:val="superscript"/>
              </w:rPr>
              <w:t>2</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pval</w:t>
            </w:r>
          </w:p>
        </w:tc>
      </w:tr>
      <w:tr w:rsidR="00F7284D">
        <w:trPr>
          <w:trHeight w:val="300"/>
        </w:trPr>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AminoSugar</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0.599485418</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1.67E-11</w:t>
            </w:r>
          </w:p>
        </w:tc>
      </w:tr>
      <w:tr w:rsidR="00F7284D">
        <w:trPr>
          <w:trHeight w:val="300"/>
        </w:trPr>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Carb</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0.849637945</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3.26E-22</w:t>
            </w:r>
          </w:p>
        </w:tc>
      </w:tr>
      <w:tr w:rsidR="00F7284D">
        <w:trPr>
          <w:trHeight w:val="300"/>
        </w:trPr>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ConcHC</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0.354778909</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3.19E-06</w:t>
            </w:r>
          </w:p>
        </w:tc>
      </w:tr>
      <w:tr w:rsidR="00F7284D">
        <w:trPr>
          <w:trHeight w:val="300"/>
        </w:trPr>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Lignin</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0.006423554</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5.72E-01</w:t>
            </w:r>
          </w:p>
        </w:tc>
      </w:tr>
      <w:tr w:rsidR="00F7284D">
        <w:trPr>
          <w:trHeight w:val="300"/>
        </w:trPr>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Lipid</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0.708748155</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5.35E-15</w:t>
            </w:r>
          </w:p>
        </w:tc>
      </w:tr>
      <w:tr w:rsidR="00F7284D">
        <w:trPr>
          <w:trHeight w:val="300"/>
        </w:trPr>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0.495115952</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5.95E-09</w:t>
            </w:r>
          </w:p>
        </w:tc>
      </w:tr>
      <w:tr w:rsidR="00F7284D">
        <w:trPr>
          <w:trHeight w:val="300"/>
        </w:trPr>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Protein</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0.235177005</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2.69E-04</w:t>
            </w:r>
          </w:p>
        </w:tc>
      </w:tr>
      <w:tr w:rsidR="00F7284D">
        <w:trPr>
          <w:trHeight w:val="525"/>
        </w:trPr>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SumAllCompounds</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0.01874838</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3.33E-01</w:t>
            </w:r>
          </w:p>
        </w:tc>
      </w:tr>
      <w:tr w:rsidR="00F7284D">
        <w:trPr>
          <w:trHeight w:val="300"/>
        </w:trPr>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Tannin</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0.122639284</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1.09E-02</w:t>
            </w:r>
          </w:p>
        </w:tc>
      </w:tr>
      <w:tr w:rsidR="00F7284D">
        <w:trPr>
          <w:trHeight w:val="300"/>
        </w:trPr>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UnsatHC</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0.809696268</w:t>
            </w:r>
          </w:p>
        </w:tc>
        <w:tc>
          <w:tcPr>
            <w:tcW w:w="1500"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rsidR="00F7284D" w:rsidRDefault="00FD7C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1.20E-19</w:t>
            </w:r>
          </w:p>
        </w:tc>
      </w:tr>
    </w:tbl>
    <w:p w:rsidR="00F7284D" w:rsidRDefault="00F7284D">
      <w:pPr>
        <w:rPr>
          <w:rFonts w:ascii="Times New Roman" w:eastAsia="Times New Roman" w:hAnsi="Times New Roman" w:cs="Times New Roman"/>
          <w:sz w:val="24"/>
          <w:szCs w:val="24"/>
        </w:rPr>
      </w:pPr>
    </w:p>
    <w:p w:rsidR="00F7284D" w:rsidRDefault="00F7284D">
      <w:pPr>
        <w:rPr>
          <w:rFonts w:ascii="Times New Roman" w:eastAsia="Times New Roman" w:hAnsi="Times New Roman" w:cs="Times New Roman"/>
          <w:sz w:val="24"/>
          <w:szCs w:val="24"/>
        </w:rPr>
      </w:pPr>
    </w:p>
    <w:p w:rsidR="00F7284D" w:rsidRDefault="00F7284D">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D7C62" w:rsidRDefault="00FD7C62">
      <w:pPr>
        <w:rPr>
          <w:rFonts w:ascii="Times New Roman" w:eastAsia="Times New Roman" w:hAnsi="Times New Roman" w:cs="Times New Roman"/>
          <w:sz w:val="24"/>
          <w:szCs w:val="24"/>
        </w:rPr>
      </w:pPr>
    </w:p>
    <w:p w:rsidR="00F7284D" w:rsidRDefault="00FD7C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F7284D" w:rsidRDefault="00F7284D">
      <w:pPr>
        <w:rPr>
          <w:rFonts w:ascii="Times New Roman" w:eastAsia="Times New Roman" w:hAnsi="Times New Roman" w:cs="Times New Roman"/>
          <w:sz w:val="24"/>
          <w:szCs w:val="24"/>
        </w:rPr>
      </w:pPr>
    </w:p>
    <w:p w:rsidR="00F7284D" w:rsidRDefault="00FD7C62">
      <w:pPr>
        <w:widowControl w:val="0"/>
        <w:pBdr>
          <w:top w:val="nil"/>
          <w:left w:val="nil"/>
          <w:bottom w:val="nil"/>
          <w:right w:val="nil"/>
          <w:between w:val="nil"/>
        </w:pBdr>
        <w:spacing w:line="240" w:lineRule="auto"/>
        <w:ind w:left="720" w:hanging="720"/>
        <w:rPr>
          <w:rFonts w:ascii="Times New Roman" w:eastAsia="Times New Roman" w:hAnsi="Times New Roman" w:cs="Times New Roman"/>
          <w:sz w:val="24"/>
          <w:szCs w:val="24"/>
        </w:rPr>
      </w:pPr>
      <w:hyperlink r:id="rId33">
        <w:r>
          <w:rPr>
            <w:rFonts w:ascii="Times New Roman" w:eastAsia="Times New Roman" w:hAnsi="Times New Roman" w:cs="Times New Roman"/>
            <w:sz w:val="24"/>
            <w:szCs w:val="24"/>
          </w:rPr>
          <w:t xml:space="preserve">Bramer, L. M., White, A. M., Stratton, K. G., Thompson, A. M., Claborne, D., Hofmockel, K., et al. (2020). ftmsRanalysis: An R package for exploratory data analysis and interactive visualization of FT-MS data. </w:t>
        </w:r>
      </w:hyperlink>
      <w:hyperlink r:id="rId34">
        <w:r>
          <w:rPr>
            <w:rFonts w:ascii="Times New Roman" w:eastAsia="Times New Roman" w:hAnsi="Times New Roman" w:cs="Times New Roman"/>
            <w:i/>
            <w:sz w:val="24"/>
            <w:szCs w:val="24"/>
          </w:rPr>
          <w:t>PLoS Comput Biol</w:t>
        </w:r>
      </w:hyperlink>
      <w:hyperlink r:id="rId35">
        <w:r>
          <w:rPr>
            <w:rFonts w:ascii="Times New Roman" w:eastAsia="Times New Roman" w:hAnsi="Times New Roman" w:cs="Times New Roman"/>
            <w:sz w:val="24"/>
            <w:szCs w:val="24"/>
          </w:rPr>
          <w:t xml:space="preserve"> 16, e1007654. doi: 10.1371/journal.pcbi.1007654</w:t>
        </w:r>
      </w:hyperlink>
    </w:p>
    <w:p w:rsidR="00F7284D" w:rsidRDefault="00FD7C62">
      <w:pPr>
        <w:widowControl w:val="0"/>
        <w:pBdr>
          <w:top w:val="nil"/>
          <w:left w:val="nil"/>
          <w:bottom w:val="nil"/>
          <w:right w:val="nil"/>
          <w:between w:val="nil"/>
        </w:pBdr>
        <w:spacing w:line="240" w:lineRule="auto"/>
        <w:ind w:left="720" w:hanging="720"/>
        <w:rPr>
          <w:rFonts w:ascii="Times New Roman" w:eastAsia="Times New Roman" w:hAnsi="Times New Roman" w:cs="Times New Roman"/>
          <w:sz w:val="24"/>
          <w:szCs w:val="24"/>
        </w:rPr>
      </w:pPr>
      <w:hyperlink r:id="rId36">
        <w:r>
          <w:rPr>
            <w:rFonts w:ascii="Times New Roman" w:eastAsia="Times New Roman" w:hAnsi="Times New Roman" w:cs="Times New Roman"/>
            <w:sz w:val="24"/>
            <w:szCs w:val="24"/>
          </w:rPr>
          <w:t xml:space="preserve">Dittmar, T., Koch, B., Hertkorn, N., and Kattner, G. (2008). A simple and efficient method for the solid-phase extraction of dissolved organic matter (SPE-DOM) from seawater: SPE-DOM from seawater. </w:t>
        </w:r>
      </w:hyperlink>
      <w:hyperlink r:id="rId37">
        <w:r>
          <w:rPr>
            <w:rFonts w:ascii="Times New Roman" w:eastAsia="Times New Roman" w:hAnsi="Times New Roman" w:cs="Times New Roman"/>
            <w:i/>
            <w:sz w:val="24"/>
            <w:szCs w:val="24"/>
          </w:rPr>
          <w:t>Limnol. Oceanogr. Methods</w:t>
        </w:r>
      </w:hyperlink>
      <w:hyperlink r:id="rId38">
        <w:r>
          <w:rPr>
            <w:rFonts w:ascii="Times New Roman" w:eastAsia="Times New Roman" w:hAnsi="Times New Roman" w:cs="Times New Roman"/>
            <w:sz w:val="24"/>
            <w:szCs w:val="24"/>
          </w:rPr>
          <w:t xml:space="preserve"> 6, 230–235. doi: 10.4319/lom.2008.6.230</w:t>
        </w:r>
      </w:hyperlink>
    </w:p>
    <w:p w:rsidR="00F7284D" w:rsidRDefault="00FD7C62">
      <w:pPr>
        <w:widowControl w:val="0"/>
        <w:pBdr>
          <w:top w:val="nil"/>
          <w:left w:val="nil"/>
          <w:bottom w:val="nil"/>
          <w:right w:val="nil"/>
          <w:between w:val="nil"/>
        </w:pBdr>
        <w:spacing w:line="240" w:lineRule="auto"/>
        <w:ind w:left="720" w:hanging="720"/>
        <w:rPr>
          <w:rFonts w:ascii="Times New Roman" w:eastAsia="Times New Roman" w:hAnsi="Times New Roman" w:cs="Times New Roman"/>
          <w:sz w:val="24"/>
          <w:szCs w:val="24"/>
        </w:rPr>
      </w:pPr>
      <w:hyperlink r:id="rId39">
        <w:r>
          <w:rPr>
            <w:rFonts w:ascii="Times New Roman" w:eastAsia="Times New Roman" w:hAnsi="Times New Roman" w:cs="Times New Roman"/>
            <w:sz w:val="24"/>
            <w:szCs w:val="24"/>
          </w:rPr>
          <w:t>Garayburu-Caruso, V. A., Danczak, R. E., Stegen, J. C., Renter</w:t>
        </w:r>
        <w:r>
          <w:rPr>
            <w:rFonts w:ascii="Times New Roman" w:eastAsia="Times New Roman" w:hAnsi="Times New Roman" w:cs="Times New Roman"/>
            <w:sz w:val="24"/>
            <w:szCs w:val="24"/>
          </w:rPr>
          <w:t xml:space="preserve">ia, L., Mccall, M., Goldman, A. E., et al. (2020). Using Community Science to Reveal the Global Chemogeography of River Metabolomes. </w:t>
        </w:r>
      </w:hyperlink>
      <w:hyperlink r:id="rId40">
        <w:r>
          <w:rPr>
            <w:rFonts w:ascii="Times New Roman" w:eastAsia="Times New Roman" w:hAnsi="Times New Roman" w:cs="Times New Roman"/>
            <w:i/>
            <w:sz w:val="24"/>
            <w:szCs w:val="24"/>
          </w:rPr>
          <w:t>Metabolites</w:t>
        </w:r>
      </w:hyperlink>
      <w:hyperlink r:id="rId41">
        <w:r>
          <w:rPr>
            <w:rFonts w:ascii="Times New Roman" w:eastAsia="Times New Roman" w:hAnsi="Times New Roman" w:cs="Times New Roman"/>
            <w:sz w:val="24"/>
            <w:szCs w:val="24"/>
          </w:rPr>
          <w:t xml:space="preserve"> 10, 518. doi: 10.3390/metabo10120518</w:t>
        </w:r>
      </w:hyperlink>
    </w:p>
    <w:p w:rsidR="00F7284D" w:rsidRDefault="00FD7C62">
      <w:pPr>
        <w:widowControl w:val="0"/>
        <w:pBdr>
          <w:top w:val="nil"/>
          <w:left w:val="nil"/>
          <w:bottom w:val="nil"/>
          <w:right w:val="nil"/>
          <w:between w:val="nil"/>
        </w:pBdr>
        <w:spacing w:line="240" w:lineRule="auto"/>
        <w:ind w:left="720" w:hanging="720"/>
        <w:rPr>
          <w:rFonts w:ascii="Times New Roman" w:eastAsia="Times New Roman" w:hAnsi="Times New Roman" w:cs="Times New Roman"/>
          <w:sz w:val="24"/>
          <w:szCs w:val="24"/>
        </w:rPr>
      </w:pPr>
      <w:hyperlink r:id="rId42">
        <w:r>
          <w:rPr>
            <w:rFonts w:ascii="Times New Roman" w:eastAsia="Times New Roman" w:hAnsi="Times New Roman" w:cs="Times New Roman"/>
            <w:sz w:val="24"/>
            <w:szCs w:val="24"/>
          </w:rPr>
          <w:t>Goldman, A. E., Arnon, S., Bar-Zeev, E., Chu, R. K., Danczak, R. E., Daly, R. A., et al. (2020). WHONDRS Summer 2019 Sampling Campaign: Global R</w:t>
        </w:r>
        <w:r>
          <w:rPr>
            <w:rFonts w:ascii="Times New Roman" w:eastAsia="Times New Roman" w:hAnsi="Times New Roman" w:cs="Times New Roman"/>
            <w:sz w:val="24"/>
            <w:szCs w:val="24"/>
          </w:rPr>
          <w:t>iver Corridor Sediment FTICR-MS, Dissolved Organic Carbon, Aerobic Respiration, Elemental Composition, Grain Size, Total Nitrogen and Organic Carbon Content, Bacterial Abundance, and Stable Isotopes. doi: 10.15485/1729719</w:t>
        </w:r>
      </w:hyperlink>
    </w:p>
    <w:p w:rsidR="00F7284D" w:rsidRPr="00FD7C62" w:rsidRDefault="00FD7C62">
      <w:pPr>
        <w:widowControl w:val="0"/>
        <w:pBdr>
          <w:top w:val="nil"/>
          <w:left w:val="nil"/>
          <w:bottom w:val="nil"/>
          <w:right w:val="nil"/>
          <w:between w:val="nil"/>
        </w:pBdr>
        <w:spacing w:line="240" w:lineRule="auto"/>
        <w:ind w:left="720" w:hanging="720"/>
        <w:rPr>
          <w:rFonts w:ascii="Times New Roman" w:eastAsia="Times New Roman" w:hAnsi="Times New Roman" w:cs="Times New Roman"/>
          <w:sz w:val="24"/>
          <w:szCs w:val="24"/>
          <w:lang w:val="de-CH"/>
        </w:rPr>
      </w:pPr>
      <w:hyperlink r:id="rId43">
        <w:r>
          <w:rPr>
            <w:rFonts w:ascii="Times New Roman" w:eastAsia="Times New Roman" w:hAnsi="Times New Roman" w:cs="Times New Roman"/>
            <w:sz w:val="24"/>
            <w:szCs w:val="24"/>
          </w:rPr>
          <w:t>Hawkes, J. A., D’Andrilli, J., Agar, J. N., Barrow, M. P., Berg, S. M., Catalán, N., et al. (2020). An international laboratory comparison of dissolved organic matter composition by high resolution mass spectrometry: Are we gett</w:t>
        </w:r>
        <w:r>
          <w:rPr>
            <w:rFonts w:ascii="Times New Roman" w:eastAsia="Times New Roman" w:hAnsi="Times New Roman" w:cs="Times New Roman"/>
            <w:sz w:val="24"/>
            <w:szCs w:val="24"/>
          </w:rPr>
          <w:t xml:space="preserve">ing the same answer? </w:t>
        </w:r>
      </w:hyperlink>
      <w:hyperlink r:id="rId44">
        <w:r w:rsidRPr="00FD7C62">
          <w:rPr>
            <w:rFonts w:ascii="Times New Roman" w:eastAsia="Times New Roman" w:hAnsi="Times New Roman" w:cs="Times New Roman"/>
            <w:i/>
            <w:sz w:val="24"/>
            <w:szCs w:val="24"/>
            <w:lang w:val="de-CH"/>
          </w:rPr>
          <w:t>Limnology &amp; Ocean Methods</w:t>
        </w:r>
      </w:hyperlink>
      <w:hyperlink r:id="rId45">
        <w:r w:rsidRPr="00FD7C62">
          <w:rPr>
            <w:rFonts w:ascii="Times New Roman" w:eastAsia="Times New Roman" w:hAnsi="Times New Roman" w:cs="Times New Roman"/>
            <w:sz w:val="24"/>
            <w:szCs w:val="24"/>
            <w:lang w:val="de-CH"/>
          </w:rPr>
          <w:t xml:space="preserve"> 18, 235–258. doi: 10.1002/lom3.10364</w:t>
        </w:r>
      </w:hyperlink>
    </w:p>
    <w:p w:rsidR="00F7284D" w:rsidRDefault="00FD7C62">
      <w:pPr>
        <w:widowControl w:val="0"/>
        <w:pBdr>
          <w:top w:val="nil"/>
          <w:left w:val="nil"/>
          <w:bottom w:val="nil"/>
          <w:right w:val="nil"/>
          <w:between w:val="nil"/>
        </w:pBdr>
        <w:spacing w:line="240" w:lineRule="auto"/>
        <w:ind w:left="720" w:hanging="720"/>
        <w:rPr>
          <w:rFonts w:ascii="Times New Roman" w:eastAsia="Times New Roman" w:hAnsi="Times New Roman" w:cs="Times New Roman"/>
          <w:sz w:val="24"/>
          <w:szCs w:val="24"/>
        </w:rPr>
      </w:pPr>
      <w:hyperlink r:id="rId46">
        <w:r w:rsidRPr="00FD7C62">
          <w:rPr>
            <w:rFonts w:ascii="Times New Roman" w:eastAsia="Times New Roman" w:hAnsi="Times New Roman" w:cs="Times New Roman"/>
            <w:sz w:val="24"/>
            <w:szCs w:val="24"/>
            <w:lang w:val="de-CH"/>
          </w:rPr>
          <w:t xml:space="preserve">Herzsprung, P., Hertkorn, N., Von Tümpling, W., Harir, M., Friese, K., and Schmitt-Kopplin, P. (2014). </w:t>
        </w:r>
        <w:r>
          <w:rPr>
            <w:rFonts w:ascii="Times New Roman" w:eastAsia="Times New Roman" w:hAnsi="Times New Roman" w:cs="Times New Roman"/>
            <w:sz w:val="24"/>
            <w:szCs w:val="24"/>
          </w:rPr>
          <w:t>Understanding molecular formula assignment of Fourier transform ion cyclotron resonance mass spectrometry data of natural organic matter fr</w:t>
        </w:r>
        <w:r>
          <w:rPr>
            <w:rFonts w:ascii="Times New Roman" w:eastAsia="Times New Roman" w:hAnsi="Times New Roman" w:cs="Times New Roman"/>
            <w:sz w:val="24"/>
            <w:szCs w:val="24"/>
          </w:rPr>
          <w:t xml:space="preserve">om a chemical point of view. </w:t>
        </w:r>
      </w:hyperlink>
      <w:hyperlink r:id="rId47">
        <w:r>
          <w:rPr>
            <w:rFonts w:ascii="Times New Roman" w:eastAsia="Times New Roman" w:hAnsi="Times New Roman" w:cs="Times New Roman"/>
            <w:i/>
            <w:sz w:val="24"/>
            <w:szCs w:val="24"/>
          </w:rPr>
          <w:t>Anal Bioanal Chem</w:t>
        </w:r>
      </w:hyperlink>
      <w:hyperlink r:id="rId48">
        <w:r>
          <w:rPr>
            <w:rFonts w:ascii="Times New Roman" w:eastAsia="Times New Roman" w:hAnsi="Times New Roman" w:cs="Times New Roman"/>
            <w:sz w:val="24"/>
            <w:szCs w:val="24"/>
          </w:rPr>
          <w:t xml:space="preserve"> 406, 7977–7987. doi: 10.1007/s00216-014-8249-y</w:t>
        </w:r>
      </w:hyperlink>
    </w:p>
    <w:p w:rsidR="00F7284D" w:rsidRDefault="00FD7C62">
      <w:pPr>
        <w:widowControl w:val="0"/>
        <w:pBdr>
          <w:top w:val="nil"/>
          <w:left w:val="nil"/>
          <w:bottom w:val="nil"/>
          <w:right w:val="nil"/>
          <w:between w:val="nil"/>
        </w:pBdr>
        <w:spacing w:line="240" w:lineRule="auto"/>
        <w:ind w:left="720" w:hanging="720"/>
        <w:rPr>
          <w:rFonts w:ascii="Times New Roman" w:eastAsia="Times New Roman" w:hAnsi="Times New Roman" w:cs="Times New Roman"/>
          <w:sz w:val="24"/>
          <w:szCs w:val="24"/>
        </w:rPr>
      </w:pPr>
      <w:hyperlink r:id="rId49">
        <w:r>
          <w:rPr>
            <w:rFonts w:ascii="Times New Roman" w:eastAsia="Times New Roman" w:hAnsi="Times New Roman" w:cs="Times New Roman"/>
            <w:sz w:val="24"/>
            <w:szCs w:val="24"/>
          </w:rPr>
          <w:t xml:space="preserve">Kim, S., Kramer, R. W., and Hatcher, P. G. (2003). Graphical Method for Analysis of Ultrahigh-Resolution Broadband Mass Spectra of Natural Organic Matter, the Van Krevelen Diagram. </w:t>
        </w:r>
      </w:hyperlink>
      <w:hyperlink r:id="rId50">
        <w:r>
          <w:rPr>
            <w:rFonts w:ascii="Times New Roman" w:eastAsia="Times New Roman" w:hAnsi="Times New Roman" w:cs="Times New Roman"/>
            <w:i/>
            <w:sz w:val="24"/>
            <w:szCs w:val="24"/>
          </w:rPr>
          <w:t>Anal. Chem.</w:t>
        </w:r>
      </w:hyperlink>
      <w:hyperlink r:id="rId51">
        <w:r>
          <w:rPr>
            <w:rFonts w:ascii="Times New Roman" w:eastAsia="Times New Roman" w:hAnsi="Times New Roman" w:cs="Times New Roman"/>
            <w:sz w:val="24"/>
            <w:szCs w:val="24"/>
          </w:rPr>
          <w:t xml:space="preserve"> 75, 5336–5344. doi: 10.1021/ac034415p</w:t>
        </w:r>
      </w:hyperlink>
    </w:p>
    <w:p w:rsidR="00F7284D" w:rsidRDefault="00FD7C62">
      <w:pPr>
        <w:widowControl w:val="0"/>
        <w:pBdr>
          <w:top w:val="nil"/>
          <w:left w:val="nil"/>
          <w:bottom w:val="nil"/>
          <w:right w:val="nil"/>
          <w:between w:val="nil"/>
        </w:pBdr>
        <w:spacing w:line="240" w:lineRule="auto"/>
        <w:ind w:left="720" w:hanging="720"/>
        <w:rPr>
          <w:rFonts w:ascii="Times New Roman" w:eastAsia="Times New Roman" w:hAnsi="Times New Roman" w:cs="Times New Roman"/>
          <w:sz w:val="24"/>
          <w:szCs w:val="24"/>
        </w:rPr>
      </w:pPr>
      <w:hyperlink r:id="rId52">
        <w:r>
          <w:rPr>
            <w:rFonts w:ascii="Times New Roman" w:eastAsia="Times New Roman" w:hAnsi="Times New Roman" w:cs="Times New Roman"/>
            <w:sz w:val="24"/>
            <w:szCs w:val="24"/>
          </w:rPr>
          <w:t xml:space="preserve">Koch, B. P., Dittmar, T., Witt, M., and Kattner, G. (2007). Fundamentals of Molecular Formula Assignment to Ultrahigh Resolution Mass Data of Natural Organic Matter. </w:t>
        </w:r>
      </w:hyperlink>
      <w:hyperlink r:id="rId53">
        <w:r>
          <w:rPr>
            <w:rFonts w:ascii="Times New Roman" w:eastAsia="Times New Roman" w:hAnsi="Times New Roman" w:cs="Times New Roman"/>
            <w:i/>
            <w:sz w:val="24"/>
            <w:szCs w:val="24"/>
          </w:rPr>
          <w:t>Anal. Chem.</w:t>
        </w:r>
      </w:hyperlink>
      <w:hyperlink r:id="rId54">
        <w:r>
          <w:rPr>
            <w:rFonts w:ascii="Times New Roman" w:eastAsia="Times New Roman" w:hAnsi="Times New Roman" w:cs="Times New Roman"/>
            <w:sz w:val="24"/>
            <w:szCs w:val="24"/>
          </w:rPr>
          <w:t xml:space="preserve"> 79, 1758–1763. doi: 10.1021/ac061949s</w:t>
        </w:r>
      </w:hyperlink>
    </w:p>
    <w:p w:rsidR="00F7284D" w:rsidRDefault="00FD7C62">
      <w:pPr>
        <w:widowControl w:val="0"/>
        <w:pBdr>
          <w:top w:val="nil"/>
          <w:left w:val="nil"/>
          <w:bottom w:val="nil"/>
          <w:right w:val="nil"/>
          <w:between w:val="nil"/>
        </w:pBdr>
        <w:spacing w:line="240" w:lineRule="auto"/>
        <w:ind w:left="720" w:hanging="720"/>
        <w:rPr>
          <w:rFonts w:ascii="Times New Roman" w:eastAsia="Times New Roman" w:hAnsi="Times New Roman" w:cs="Times New Roman"/>
          <w:sz w:val="24"/>
          <w:szCs w:val="24"/>
        </w:rPr>
      </w:pPr>
      <w:hyperlink r:id="rId55">
        <w:r>
          <w:rPr>
            <w:rFonts w:ascii="Times New Roman" w:eastAsia="Times New Roman" w:hAnsi="Times New Roman" w:cs="Times New Roman"/>
            <w:sz w:val="24"/>
            <w:szCs w:val="24"/>
          </w:rPr>
          <w:t xml:space="preserve">LaRowe, D. E., and Van Cappellen, P. (2011). Degradation of natural organic matter: A thermodynamic analysis. </w:t>
        </w:r>
      </w:hyperlink>
      <w:hyperlink r:id="rId56">
        <w:r>
          <w:rPr>
            <w:rFonts w:ascii="Times New Roman" w:eastAsia="Times New Roman" w:hAnsi="Times New Roman" w:cs="Times New Roman"/>
            <w:i/>
            <w:sz w:val="24"/>
            <w:szCs w:val="24"/>
          </w:rPr>
          <w:t>Geochimica et Cosmochimica Acta</w:t>
        </w:r>
      </w:hyperlink>
      <w:hyperlink r:id="rId57">
        <w:r>
          <w:rPr>
            <w:rFonts w:ascii="Times New Roman" w:eastAsia="Times New Roman" w:hAnsi="Times New Roman" w:cs="Times New Roman"/>
            <w:sz w:val="24"/>
            <w:szCs w:val="24"/>
          </w:rPr>
          <w:t xml:space="preserve"> 75, 2030–2042. doi: 10.1016/j.gca.2011.01.020</w:t>
        </w:r>
      </w:hyperlink>
    </w:p>
    <w:p w:rsidR="00F7284D" w:rsidRDefault="00FD7C62">
      <w:pPr>
        <w:widowControl w:val="0"/>
        <w:pBdr>
          <w:top w:val="nil"/>
          <w:left w:val="nil"/>
          <w:bottom w:val="nil"/>
          <w:right w:val="nil"/>
          <w:between w:val="nil"/>
        </w:pBdr>
        <w:spacing w:line="240" w:lineRule="auto"/>
        <w:ind w:left="720" w:hanging="720"/>
        <w:rPr>
          <w:rFonts w:ascii="Times New Roman" w:eastAsia="Times New Roman" w:hAnsi="Times New Roman" w:cs="Times New Roman"/>
          <w:sz w:val="24"/>
          <w:szCs w:val="24"/>
        </w:rPr>
      </w:pPr>
      <w:hyperlink r:id="rId58">
        <w:r>
          <w:rPr>
            <w:rFonts w:ascii="Times New Roman" w:eastAsia="Times New Roman" w:hAnsi="Times New Roman" w:cs="Times New Roman"/>
            <w:sz w:val="24"/>
            <w:szCs w:val="24"/>
          </w:rPr>
          <w:t xml:space="preserve">Riedel, T., and Dittmar, T. (2014). A Method Detection Limit for the Analysis of Natural Organic Matter via Fourier Transform Ion Cyclotron Resonance Mass Spectrometry. </w:t>
        </w:r>
      </w:hyperlink>
      <w:hyperlink r:id="rId59">
        <w:r>
          <w:rPr>
            <w:rFonts w:ascii="Times New Roman" w:eastAsia="Times New Roman" w:hAnsi="Times New Roman" w:cs="Times New Roman"/>
            <w:i/>
            <w:sz w:val="24"/>
            <w:szCs w:val="24"/>
          </w:rPr>
          <w:t>Anal. Chem.</w:t>
        </w:r>
      </w:hyperlink>
      <w:hyperlink r:id="rId60">
        <w:r>
          <w:rPr>
            <w:rFonts w:ascii="Times New Roman" w:eastAsia="Times New Roman" w:hAnsi="Times New Roman" w:cs="Times New Roman"/>
            <w:sz w:val="24"/>
            <w:szCs w:val="24"/>
          </w:rPr>
          <w:t xml:space="preserve"> 86, 8376–8382. doi: 10.1021/ac501946m</w:t>
        </w:r>
      </w:hyperlink>
    </w:p>
    <w:p w:rsidR="00F7284D" w:rsidRDefault="00FD7C62">
      <w:pPr>
        <w:widowControl w:val="0"/>
        <w:pBdr>
          <w:top w:val="nil"/>
          <w:left w:val="nil"/>
          <w:bottom w:val="nil"/>
          <w:right w:val="nil"/>
          <w:between w:val="nil"/>
        </w:pBdr>
        <w:spacing w:line="240" w:lineRule="auto"/>
        <w:ind w:left="720" w:hanging="720"/>
        <w:rPr>
          <w:rFonts w:ascii="Times New Roman" w:eastAsia="Times New Roman" w:hAnsi="Times New Roman" w:cs="Times New Roman"/>
          <w:sz w:val="24"/>
          <w:szCs w:val="24"/>
        </w:rPr>
      </w:pPr>
      <w:hyperlink r:id="rId61">
        <w:r>
          <w:rPr>
            <w:rFonts w:ascii="Times New Roman" w:eastAsia="Times New Roman" w:hAnsi="Times New Roman" w:cs="Times New Roman"/>
            <w:sz w:val="24"/>
            <w:szCs w:val="24"/>
          </w:rPr>
          <w:t>Tfaily, M. M., Chu, R. K., Toyoda, J., Tolić, N., Robinson, E. W., Paša-Tolić, L., et al. (2017). S</w:t>
        </w:r>
        <w:r>
          <w:rPr>
            <w:rFonts w:ascii="Times New Roman" w:eastAsia="Times New Roman" w:hAnsi="Times New Roman" w:cs="Times New Roman"/>
            <w:sz w:val="24"/>
            <w:szCs w:val="24"/>
          </w:rPr>
          <w:t xml:space="preserve">equential extraction protocol for organic matter from soils and sediments using high resolution mass spectrometry. </w:t>
        </w:r>
      </w:hyperlink>
      <w:hyperlink r:id="rId62">
        <w:r>
          <w:rPr>
            <w:rFonts w:ascii="Times New Roman" w:eastAsia="Times New Roman" w:hAnsi="Times New Roman" w:cs="Times New Roman"/>
            <w:i/>
            <w:sz w:val="24"/>
            <w:szCs w:val="24"/>
          </w:rPr>
          <w:t>Analytica Chimica Acta</w:t>
        </w:r>
      </w:hyperlink>
      <w:hyperlink r:id="rId63">
        <w:r>
          <w:rPr>
            <w:rFonts w:ascii="Times New Roman" w:eastAsia="Times New Roman" w:hAnsi="Times New Roman" w:cs="Times New Roman"/>
            <w:sz w:val="24"/>
            <w:szCs w:val="24"/>
          </w:rPr>
          <w:t xml:space="preserve"> 972, 54–61. doi: 10.1016/j.aca.2017.03.031</w:t>
        </w:r>
      </w:hyperlink>
    </w:p>
    <w:p w:rsidR="00F7284D" w:rsidRDefault="00FD7C62" w:rsidP="00FD7C62">
      <w:pPr>
        <w:widowControl w:val="0"/>
        <w:pBdr>
          <w:top w:val="nil"/>
          <w:left w:val="nil"/>
          <w:bottom w:val="nil"/>
          <w:right w:val="nil"/>
          <w:between w:val="nil"/>
        </w:pBdr>
        <w:spacing w:line="240" w:lineRule="auto"/>
        <w:ind w:left="720" w:hanging="720"/>
        <w:rPr>
          <w:rFonts w:ascii="Times New Roman" w:eastAsia="Times New Roman" w:hAnsi="Times New Roman" w:cs="Times New Roman"/>
          <w:sz w:val="24"/>
          <w:szCs w:val="24"/>
        </w:rPr>
      </w:pPr>
      <w:hyperlink r:id="rId64">
        <w:r>
          <w:rPr>
            <w:rFonts w:ascii="Times New Roman" w:eastAsia="Times New Roman" w:hAnsi="Times New Roman" w:cs="Times New Roman"/>
            <w:sz w:val="24"/>
            <w:szCs w:val="24"/>
          </w:rPr>
          <w:t>Tolić, N., Liu, Y., Liyu, A., Shen, Y., Tfaily, M. M., Kujawinski, E. B., et al. (2017). Formularity: Software for Automated Formula Assignment o</w:t>
        </w:r>
        <w:r>
          <w:rPr>
            <w:rFonts w:ascii="Times New Roman" w:eastAsia="Times New Roman" w:hAnsi="Times New Roman" w:cs="Times New Roman"/>
            <w:sz w:val="24"/>
            <w:szCs w:val="24"/>
          </w:rPr>
          <w:t xml:space="preserve">f Natural and Other Organic Matter from Ultrahigh-Resolution Mass Spectra. </w:t>
        </w:r>
      </w:hyperlink>
      <w:hyperlink r:id="rId65">
        <w:r>
          <w:rPr>
            <w:rFonts w:ascii="Times New Roman" w:eastAsia="Times New Roman" w:hAnsi="Times New Roman" w:cs="Times New Roman"/>
            <w:i/>
            <w:sz w:val="24"/>
            <w:szCs w:val="24"/>
          </w:rPr>
          <w:t>Anal. Chem.</w:t>
        </w:r>
      </w:hyperlink>
      <w:hyperlink r:id="rId66">
        <w:r>
          <w:rPr>
            <w:rFonts w:ascii="Times New Roman" w:eastAsia="Times New Roman" w:hAnsi="Times New Roman" w:cs="Times New Roman"/>
            <w:sz w:val="24"/>
            <w:szCs w:val="24"/>
          </w:rPr>
          <w:t xml:space="preserve"> 89, 12659–12665. doi: 10.1021/acs.analchem.7b</w:t>
        </w:r>
        <w:r>
          <w:rPr>
            <w:rFonts w:ascii="Times New Roman" w:eastAsia="Times New Roman" w:hAnsi="Times New Roman" w:cs="Times New Roman"/>
            <w:sz w:val="24"/>
            <w:szCs w:val="24"/>
          </w:rPr>
          <w:t>03318</w:t>
        </w:r>
      </w:hyperlink>
      <w:bookmarkStart w:id="3" w:name="_GoBack"/>
      <w:bookmarkEnd w:id="3"/>
    </w:p>
    <w:sectPr w:rsidR="00F7284D">
      <w:footerReference w:type="default" r:id="rId6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D7C62">
      <w:pPr>
        <w:spacing w:line="240" w:lineRule="auto"/>
      </w:pPr>
      <w:r>
        <w:separator/>
      </w:r>
    </w:p>
  </w:endnote>
  <w:endnote w:type="continuationSeparator" w:id="0">
    <w:p w:rsidR="00000000" w:rsidRDefault="00FD7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125059"/>
      <w:docPartObj>
        <w:docPartGallery w:val="Page Numbers (Bottom of Page)"/>
        <w:docPartUnique/>
      </w:docPartObj>
    </w:sdtPr>
    <w:sdtEndPr>
      <w:rPr>
        <w:noProof/>
      </w:rPr>
    </w:sdtEndPr>
    <w:sdtContent>
      <w:p w:rsidR="00FD7C62" w:rsidRDefault="00FD7C6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FD7C62" w:rsidRDefault="00FD7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D7C62">
      <w:pPr>
        <w:spacing w:line="240" w:lineRule="auto"/>
      </w:pPr>
      <w:r>
        <w:separator/>
      </w:r>
    </w:p>
  </w:footnote>
  <w:footnote w:type="continuationSeparator" w:id="0">
    <w:p w:rsidR="00000000" w:rsidRDefault="00FD7C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4D"/>
    <w:rsid w:val="00F7284D"/>
    <w:rsid w:val="00FD7C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6249"/>
  <w15:docId w15:val="{D6F699E8-D909-4654-B634-61E0ED51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de-CH"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D7C62"/>
    <w:pPr>
      <w:tabs>
        <w:tab w:val="center" w:pos="4536"/>
        <w:tab w:val="right" w:pos="9072"/>
      </w:tabs>
      <w:spacing w:line="240" w:lineRule="auto"/>
    </w:pPr>
  </w:style>
  <w:style w:type="character" w:customStyle="1" w:styleId="HeaderChar">
    <w:name w:val="Header Char"/>
    <w:basedOn w:val="DefaultParagraphFont"/>
    <w:link w:val="Header"/>
    <w:uiPriority w:val="99"/>
    <w:rsid w:val="00FD7C62"/>
  </w:style>
  <w:style w:type="paragraph" w:styleId="Footer">
    <w:name w:val="footer"/>
    <w:basedOn w:val="Normal"/>
    <w:link w:val="FooterChar"/>
    <w:uiPriority w:val="99"/>
    <w:unhideWhenUsed/>
    <w:rsid w:val="00FD7C62"/>
    <w:pPr>
      <w:tabs>
        <w:tab w:val="center" w:pos="4536"/>
        <w:tab w:val="right" w:pos="9072"/>
      </w:tabs>
      <w:spacing w:line="240" w:lineRule="auto"/>
    </w:pPr>
  </w:style>
  <w:style w:type="character" w:customStyle="1" w:styleId="FooterChar">
    <w:name w:val="Footer Char"/>
    <w:basedOn w:val="DefaultParagraphFont"/>
    <w:link w:val="Footer"/>
    <w:uiPriority w:val="99"/>
    <w:rsid w:val="00FD7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s.krause@bham.ac.uk" TargetMode="External"/><Relationship Id="rId18" Type="http://schemas.openxmlformats.org/officeDocument/2006/relationships/hyperlink" Target="https://www.zotero.org/google-docs/?pT0hiv" TargetMode="External"/><Relationship Id="rId26" Type="http://schemas.openxmlformats.org/officeDocument/2006/relationships/hyperlink" Target="https://www.zotero.org/google-docs/?GG7MDT" TargetMode="External"/><Relationship Id="rId39" Type="http://schemas.openxmlformats.org/officeDocument/2006/relationships/hyperlink" Target="https://www.zotero.org/google-docs/?thMpHn" TargetMode="External"/><Relationship Id="rId21" Type="http://schemas.openxmlformats.org/officeDocument/2006/relationships/hyperlink" Target="https://www.zotero.org/google-docs/?9bXhZt" TargetMode="External"/><Relationship Id="rId34" Type="http://schemas.openxmlformats.org/officeDocument/2006/relationships/hyperlink" Target="https://www.zotero.org/google-docs/?thMpHn" TargetMode="External"/><Relationship Id="rId42" Type="http://schemas.openxmlformats.org/officeDocument/2006/relationships/hyperlink" Target="https://www.zotero.org/google-docs/?thMpHn" TargetMode="External"/><Relationship Id="rId47" Type="http://schemas.openxmlformats.org/officeDocument/2006/relationships/hyperlink" Target="https://www.zotero.org/google-docs/?thMpHn" TargetMode="External"/><Relationship Id="rId50" Type="http://schemas.openxmlformats.org/officeDocument/2006/relationships/hyperlink" Target="https://www.zotero.org/google-docs/?thMpHn" TargetMode="External"/><Relationship Id="rId55" Type="http://schemas.openxmlformats.org/officeDocument/2006/relationships/hyperlink" Target="https://www.zotero.org/google-docs/?thMpHn" TargetMode="External"/><Relationship Id="rId63" Type="http://schemas.openxmlformats.org/officeDocument/2006/relationships/hyperlink" Target="https://www.zotero.org/google-docs/?thMpHn" TargetMode="External"/><Relationship Id="rId68" Type="http://schemas.openxmlformats.org/officeDocument/2006/relationships/fontTable" Target="fontTable.xml"/><Relationship Id="rId7" Type="http://schemas.openxmlformats.org/officeDocument/2006/relationships/hyperlink" Target="mailto:maruti@pnnl.gov" TargetMode="External"/><Relationship Id="rId2" Type="http://schemas.openxmlformats.org/officeDocument/2006/relationships/settings" Target="settings.xml"/><Relationship Id="rId16" Type="http://schemas.openxmlformats.org/officeDocument/2006/relationships/hyperlink" Target="mailto:mnewcomer@lbl.gov" TargetMode="External"/><Relationship Id="rId29"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mailto:erika.freem@gmail.com" TargetMode="External"/><Relationship Id="rId11" Type="http://schemas.openxmlformats.org/officeDocument/2006/relationships/hyperlink" Target="mailto:chrward@bgsu.edu" TargetMode="External"/><Relationship Id="rId24" Type="http://schemas.openxmlformats.org/officeDocument/2006/relationships/hyperlink" Target="https://www.zotero.org/google-docs/?FsrnvT" TargetMode="External"/><Relationship Id="rId32" Type="http://schemas.openxmlformats.org/officeDocument/2006/relationships/image" Target="media/image5.png"/><Relationship Id="rId37" Type="http://schemas.openxmlformats.org/officeDocument/2006/relationships/hyperlink" Target="https://www.zotero.org/google-docs/?thMpHn" TargetMode="External"/><Relationship Id="rId40" Type="http://schemas.openxmlformats.org/officeDocument/2006/relationships/hyperlink" Target="https://www.zotero.org/google-docs/?thMpHn" TargetMode="External"/><Relationship Id="rId45" Type="http://schemas.openxmlformats.org/officeDocument/2006/relationships/hyperlink" Target="https://www.zotero.org/google-docs/?thMpHn" TargetMode="External"/><Relationship Id="rId53" Type="http://schemas.openxmlformats.org/officeDocument/2006/relationships/hyperlink" Target="https://www.zotero.org/google-docs/?thMpHn" TargetMode="External"/><Relationship Id="rId58" Type="http://schemas.openxmlformats.org/officeDocument/2006/relationships/hyperlink" Target="https://www.zotero.org/google-docs/?thMpHn" TargetMode="External"/><Relationship Id="rId66" Type="http://schemas.openxmlformats.org/officeDocument/2006/relationships/hyperlink" Target="https://www.zotero.org/google-docs/?thMpHn" TargetMode="External"/><Relationship Id="rId5" Type="http://schemas.openxmlformats.org/officeDocument/2006/relationships/endnotes" Target="endnotes.xml"/><Relationship Id="rId15" Type="http://schemas.openxmlformats.org/officeDocument/2006/relationships/hyperlink" Target="mailto:jpena@lbl.gov" TargetMode="External"/><Relationship Id="rId23" Type="http://schemas.openxmlformats.org/officeDocument/2006/relationships/hyperlink" Target="https://www.zotero.org/google-docs/?6wNq6L" TargetMode="External"/><Relationship Id="rId28" Type="http://schemas.openxmlformats.org/officeDocument/2006/relationships/image" Target="media/image1.png"/><Relationship Id="rId36" Type="http://schemas.openxmlformats.org/officeDocument/2006/relationships/hyperlink" Target="https://www.zotero.org/google-docs/?thMpHn" TargetMode="External"/><Relationship Id="rId49" Type="http://schemas.openxmlformats.org/officeDocument/2006/relationships/hyperlink" Target="https://www.zotero.org/google-docs/?thMpHn" TargetMode="External"/><Relationship Id="rId57" Type="http://schemas.openxmlformats.org/officeDocument/2006/relationships/hyperlink" Target="https://www.zotero.org/google-docs/?thMpHn" TargetMode="External"/><Relationship Id="rId61" Type="http://schemas.openxmlformats.org/officeDocument/2006/relationships/hyperlink" Target="https://www.zotero.org/google-docs/?thMpHn" TargetMode="External"/><Relationship Id="rId10" Type="http://schemas.openxmlformats.org/officeDocument/2006/relationships/hyperlink" Target="mailto:gonzaric@unm.edu" TargetMode="External"/><Relationship Id="rId19" Type="http://schemas.openxmlformats.org/officeDocument/2006/relationships/hyperlink" Target="https://www.zotero.org/google-docs/?DJJTGC" TargetMode="External"/><Relationship Id="rId31" Type="http://schemas.openxmlformats.org/officeDocument/2006/relationships/image" Target="media/image4.png"/><Relationship Id="rId44" Type="http://schemas.openxmlformats.org/officeDocument/2006/relationships/hyperlink" Target="https://www.zotero.org/google-docs/?thMpHn" TargetMode="External"/><Relationship Id="rId52" Type="http://schemas.openxmlformats.org/officeDocument/2006/relationships/hyperlink" Target="https://www.zotero.org/google-docs/?thMpHn" TargetMode="External"/><Relationship Id="rId60" Type="http://schemas.openxmlformats.org/officeDocument/2006/relationships/hyperlink" Target="https://www.zotero.org/google-docs/?thMpHn" TargetMode="External"/><Relationship Id="rId65" Type="http://schemas.openxmlformats.org/officeDocument/2006/relationships/hyperlink" Target="https://www.zotero.org/google-docs/?thMpHn" TargetMode="External"/><Relationship Id="rId4" Type="http://schemas.openxmlformats.org/officeDocument/2006/relationships/footnotes" Target="footnotes.xml"/><Relationship Id="rId9" Type="http://schemas.openxmlformats.org/officeDocument/2006/relationships/hyperlink" Target="mailto:EmilyA.McClure@dartmouth.edu" TargetMode="External"/><Relationship Id="rId14" Type="http://schemas.openxmlformats.org/officeDocument/2006/relationships/hyperlink" Target="mailto:pena@ucdavis.edu" TargetMode="External"/><Relationship Id="rId22" Type="http://schemas.openxmlformats.org/officeDocument/2006/relationships/hyperlink" Target="https://www.zotero.org/google-docs/?SsqtmE" TargetMode="External"/><Relationship Id="rId27" Type="http://schemas.openxmlformats.org/officeDocument/2006/relationships/hyperlink" Target="https://www.zotero.org/google-docs/?AS7RiH" TargetMode="External"/><Relationship Id="rId30" Type="http://schemas.openxmlformats.org/officeDocument/2006/relationships/image" Target="media/image3.png"/><Relationship Id="rId35" Type="http://schemas.openxmlformats.org/officeDocument/2006/relationships/hyperlink" Target="https://www.zotero.org/google-docs/?thMpHn" TargetMode="External"/><Relationship Id="rId43" Type="http://schemas.openxmlformats.org/officeDocument/2006/relationships/hyperlink" Target="https://www.zotero.org/google-docs/?thMpHn" TargetMode="External"/><Relationship Id="rId48" Type="http://schemas.openxmlformats.org/officeDocument/2006/relationships/hyperlink" Target="https://www.zotero.org/google-docs/?thMpHn" TargetMode="External"/><Relationship Id="rId56" Type="http://schemas.openxmlformats.org/officeDocument/2006/relationships/hyperlink" Target="https://www.zotero.org/google-docs/?thMpHn" TargetMode="External"/><Relationship Id="rId64" Type="http://schemas.openxmlformats.org/officeDocument/2006/relationships/hyperlink" Target="https://www.zotero.org/google-docs/?thMpHn" TargetMode="External"/><Relationship Id="rId69" Type="http://schemas.openxmlformats.org/officeDocument/2006/relationships/theme" Target="theme/theme1.xml"/><Relationship Id="rId8" Type="http://schemas.openxmlformats.org/officeDocument/2006/relationships/hyperlink" Target="mailto:kfeeser@lanl.gov" TargetMode="External"/><Relationship Id="rId51" Type="http://schemas.openxmlformats.org/officeDocument/2006/relationships/hyperlink" Target="https://www.zotero.org/google-docs/?thMpHn" TargetMode="External"/><Relationship Id="rId3" Type="http://schemas.openxmlformats.org/officeDocument/2006/relationships/webSettings" Target="webSettings.xml"/><Relationship Id="rId12" Type="http://schemas.openxmlformats.org/officeDocument/2006/relationships/hyperlink" Target="mailto:ebottos@tru.ca" TargetMode="External"/><Relationship Id="rId17" Type="http://schemas.openxmlformats.org/officeDocument/2006/relationships/hyperlink" Target="https://www.zotero.org/google-docs/?q5rMxa" TargetMode="External"/><Relationship Id="rId25" Type="http://schemas.openxmlformats.org/officeDocument/2006/relationships/hyperlink" Target="https://www.zotero.org/google-docs/?NRwOIZ" TargetMode="External"/><Relationship Id="rId33" Type="http://schemas.openxmlformats.org/officeDocument/2006/relationships/hyperlink" Target="https://www.zotero.org/google-docs/?thMpHn" TargetMode="External"/><Relationship Id="rId38" Type="http://schemas.openxmlformats.org/officeDocument/2006/relationships/hyperlink" Target="https://www.zotero.org/google-docs/?thMpHn" TargetMode="External"/><Relationship Id="rId46" Type="http://schemas.openxmlformats.org/officeDocument/2006/relationships/hyperlink" Target="https://www.zotero.org/google-docs/?thMpHn" TargetMode="External"/><Relationship Id="rId59" Type="http://schemas.openxmlformats.org/officeDocument/2006/relationships/hyperlink" Target="https://www.zotero.org/google-docs/?thMpHn" TargetMode="External"/><Relationship Id="rId67" Type="http://schemas.openxmlformats.org/officeDocument/2006/relationships/footer" Target="footer1.xml"/><Relationship Id="rId20" Type="http://schemas.openxmlformats.org/officeDocument/2006/relationships/hyperlink" Target="https://www.zotero.org/google-docs/?c0T7Nb" TargetMode="External"/><Relationship Id="rId41" Type="http://schemas.openxmlformats.org/officeDocument/2006/relationships/hyperlink" Target="https://www.zotero.org/google-docs/?thMpHn" TargetMode="External"/><Relationship Id="rId54" Type="http://schemas.openxmlformats.org/officeDocument/2006/relationships/hyperlink" Target="https://www.zotero.org/google-docs/?thMpHn" TargetMode="External"/><Relationship Id="rId62" Type="http://schemas.openxmlformats.org/officeDocument/2006/relationships/hyperlink" Target="https://www.zotero.org/google-docs/?thMpH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2620</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ETH Zuerich</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Erika</dc:creator>
  <cp:lastModifiedBy>Freeman, Erika</cp:lastModifiedBy>
  <cp:revision>2</cp:revision>
  <dcterms:created xsi:type="dcterms:W3CDTF">2024-12-02T14:43:00Z</dcterms:created>
  <dcterms:modified xsi:type="dcterms:W3CDTF">2024-12-02T14:43:00Z</dcterms:modified>
</cp:coreProperties>
</file>