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B49342" w14:textId="77777777" w:rsidR="001C458C" w:rsidRDefault="001C458C" w:rsidP="009B7826">
      <w:pPr>
        <w:spacing w:before="240" w:after="240"/>
        <w:ind w:firstLine="0"/>
        <w:rPr>
          <w:b/>
        </w:rPr>
      </w:pPr>
      <w:r>
        <w:rPr>
          <w:b/>
        </w:rPr>
        <w:t>Supplemental</w:t>
      </w:r>
      <w:r w:rsidR="009B7826">
        <w:rPr>
          <w:b/>
        </w:rPr>
        <w:t xml:space="preserve"> Material</w:t>
      </w:r>
      <w:r>
        <w:rPr>
          <w:b/>
        </w:rPr>
        <w:t>s</w:t>
      </w:r>
    </w:p>
    <w:p w14:paraId="2D8222DE" w14:textId="77777777" w:rsidR="008D51FE" w:rsidRPr="00997361" w:rsidRDefault="008D51FE" w:rsidP="008D51FE">
      <w:pPr>
        <w:spacing w:line="360" w:lineRule="auto"/>
        <w:ind w:firstLine="0"/>
        <w:rPr>
          <w:lang w:val="en-US"/>
        </w:rPr>
      </w:pPr>
      <w:r>
        <w:rPr>
          <w:lang w:val="en-US"/>
        </w:rPr>
        <w:t>Patients</w:t>
      </w:r>
    </w:p>
    <w:p w14:paraId="74807AF5" w14:textId="77777777" w:rsidR="008D51FE" w:rsidRDefault="008D51FE" w:rsidP="002203D8">
      <w:pPr>
        <w:tabs>
          <w:tab w:val="left" w:pos="7290"/>
        </w:tabs>
        <w:spacing w:line="360" w:lineRule="auto"/>
        <w:ind w:left="720" w:firstLine="0"/>
        <w:rPr>
          <w:lang w:val="en-US"/>
        </w:rPr>
      </w:pPr>
      <w:r>
        <w:rPr>
          <w:lang w:val="en-US"/>
        </w:rPr>
        <w:t>Sepsis and CABG patients…</w:t>
      </w:r>
      <w:r w:rsidRPr="00997361">
        <w:rPr>
          <w:lang w:val="en-US"/>
        </w:rPr>
        <w:t>……………………………………</w:t>
      </w:r>
      <w:r>
        <w:rPr>
          <w:lang w:val="en-US"/>
        </w:rPr>
        <w:t>...</w:t>
      </w:r>
      <w:r w:rsidRPr="00997361">
        <w:rPr>
          <w:lang w:val="en-US"/>
        </w:rPr>
        <w:t>.</w:t>
      </w:r>
      <w:r>
        <w:rPr>
          <w:lang w:val="en-US"/>
        </w:rPr>
        <w:t>...</w:t>
      </w:r>
      <w:r w:rsidRPr="00997361">
        <w:rPr>
          <w:lang w:val="en-US"/>
        </w:rPr>
        <w:t xml:space="preserve"> Page 2</w:t>
      </w:r>
    </w:p>
    <w:p w14:paraId="06355DA8" w14:textId="318557AB" w:rsidR="003C1899" w:rsidRPr="00274A34" w:rsidRDefault="003C1899" w:rsidP="002203D8">
      <w:pPr>
        <w:tabs>
          <w:tab w:val="left" w:pos="7290"/>
        </w:tabs>
        <w:spacing w:line="360" w:lineRule="auto"/>
        <w:ind w:left="720" w:firstLine="0"/>
        <w:rPr>
          <w:lang w:val="en-US"/>
        </w:rPr>
      </w:pPr>
      <w:r w:rsidRPr="00274A34">
        <w:rPr>
          <w:lang w:val="en-US"/>
        </w:rPr>
        <w:t>Polytrauma patients………………………………………………</w:t>
      </w:r>
      <w:proofErr w:type="gramStart"/>
      <w:r w:rsidRPr="00274A34">
        <w:rPr>
          <w:lang w:val="en-US"/>
        </w:rPr>
        <w:t>…..</w:t>
      </w:r>
      <w:proofErr w:type="gramEnd"/>
      <w:r w:rsidR="00274A34">
        <w:rPr>
          <w:lang w:val="en-US"/>
        </w:rPr>
        <w:t xml:space="preserve"> </w:t>
      </w:r>
      <w:r w:rsidRPr="00274A34">
        <w:rPr>
          <w:lang w:val="en-US"/>
        </w:rPr>
        <w:t>Page 2</w:t>
      </w:r>
    </w:p>
    <w:p w14:paraId="7FFA00D0" w14:textId="77777777" w:rsidR="008D51FE" w:rsidRDefault="008D51FE" w:rsidP="008D51FE">
      <w:pPr>
        <w:spacing w:line="360" w:lineRule="auto"/>
        <w:rPr>
          <w:lang w:val="en-US"/>
        </w:rPr>
      </w:pPr>
      <w:r>
        <w:rPr>
          <w:lang w:val="en-US"/>
        </w:rPr>
        <w:t>COVID-19 patients…</w:t>
      </w:r>
      <w:r w:rsidRPr="00997361">
        <w:rPr>
          <w:lang w:val="en-US"/>
        </w:rPr>
        <w:t>…………</w:t>
      </w:r>
      <w:r>
        <w:rPr>
          <w:lang w:val="en-US"/>
        </w:rPr>
        <w:t>……...</w:t>
      </w:r>
      <w:r w:rsidRPr="00997361">
        <w:rPr>
          <w:lang w:val="en-US"/>
        </w:rPr>
        <w:t>…………………………</w:t>
      </w:r>
      <w:r>
        <w:rPr>
          <w:lang w:val="en-US"/>
        </w:rPr>
        <w:t>...</w:t>
      </w:r>
      <w:r w:rsidRPr="00997361">
        <w:rPr>
          <w:lang w:val="en-US"/>
        </w:rPr>
        <w:t>.</w:t>
      </w:r>
      <w:r>
        <w:rPr>
          <w:lang w:val="en-US"/>
        </w:rPr>
        <w:t>...</w:t>
      </w:r>
      <w:r w:rsidRPr="00997361">
        <w:rPr>
          <w:lang w:val="en-US"/>
        </w:rPr>
        <w:t xml:space="preserve"> Page 2</w:t>
      </w:r>
    </w:p>
    <w:p w14:paraId="34FE167C" w14:textId="77777777" w:rsidR="008D51FE" w:rsidRPr="00997361" w:rsidRDefault="008D51FE" w:rsidP="008D51FE">
      <w:pPr>
        <w:spacing w:line="360" w:lineRule="auto"/>
        <w:ind w:firstLine="0"/>
        <w:rPr>
          <w:lang w:val="en-US"/>
        </w:rPr>
      </w:pPr>
      <w:r w:rsidRPr="00997361">
        <w:rPr>
          <w:lang w:val="en-US"/>
        </w:rPr>
        <w:t>A</w:t>
      </w:r>
      <w:r>
        <w:rPr>
          <w:lang w:val="en-US"/>
        </w:rPr>
        <w:t>ssay Measurements and Analyses</w:t>
      </w:r>
    </w:p>
    <w:p w14:paraId="12B174AE" w14:textId="77777777" w:rsidR="002203D8" w:rsidRDefault="008D51FE" w:rsidP="008D51FE">
      <w:pPr>
        <w:spacing w:line="360" w:lineRule="auto"/>
        <w:ind w:firstLine="0"/>
        <w:rPr>
          <w:lang w:val="en-US"/>
        </w:rPr>
      </w:pPr>
      <w:r w:rsidRPr="00997361">
        <w:rPr>
          <w:lang w:val="en-US"/>
        </w:rPr>
        <w:tab/>
      </w:r>
      <w:r w:rsidR="002203D8">
        <w:rPr>
          <w:lang w:val="en-US"/>
        </w:rPr>
        <w:t>Sample Collection………………………………………....………… Page 3</w:t>
      </w:r>
    </w:p>
    <w:p w14:paraId="3CD604B0" w14:textId="77777777" w:rsidR="008D51FE" w:rsidRDefault="008D51FE" w:rsidP="002203D8">
      <w:pPr>
        <w:spacing w:line="360" w:lineRule="auto"/>
        <w:rPr>
          <w:lang w:val="en-US"/>
        </w:rPr>
      </w:pPr>
      <w:r>
        <w:rPr>
          <w:lang w:val="en-US"/>
        </w:rPr>
        <w:t>t</w:t>
      </w:r>
      <w:r w:rsidRPr="008D51FE">
        <w:rPr>
          <w:vertAlign w:val="superscript"/>
          <w:lang w:val="en-US"/>
        </w:rPr>
        <w:t>6</w:t>
      </w:r>
      <w:r>
        <w:rPr>
          <w:lang w:val="en-US"/>
        </w:rPr>
        <w:t>A analysis…</w:t>
      </w:r>
      <w:r w:rsidRPr="00997361">
        <w:rPr>
          <w:lang w:val="en-US"/>
        </w:rPr>
        <w:t>…………………………………………</w:t>
      </w:r>
      <w:proofErr w:type="gramStart"/>
      <w:r w:rsidRPr="00997361">
        <w:rPr>
          <w:lang w:val="en-US"/>
        </w:rPr>
        <w:t>…</w:t>
      </w:r>
      <w:r w:rsidR="002203D8">
        <w:rPr>
          <w:lang w:val="en-US"/>
        </w:rPr>
        <w:t>..</w:t>
      </w:r>
      <w:proofErr w:type="gramEnd"/>
      <w:r w:rsidRPr="00997361">
        <w:rPr>
          <w:lang w:val="en-US"/>
        </w:rPr>
        <w:t>……</w:t>
      </w:r>
      <w:r>
        <w:rPr>
          <w:lang w:val="en-US"/>
        </w:rPr>
        <w:t>...</w:t>
      </w:r>
      <w:r w:rsidRPr="00997361">
        <w:rPr>
          <w:lang w:val="en-US"/>
        </w:rPr>
        <w:t>..</w:t>
      </w:r>
      <w:r>
        <w:rPr>
          <w:lang w:val="en-US"/>
        </w:rPr>
        <w:t>...</w:t>
      </w:r>
      <w:r w:rsidRPr="00997361">
        <w:rPr>
          <w:lang w:val="en-US"/>
        </w:rPr>
        <w:t xml:space="preserve"> Page </w:t>
      </w:r>
      <w:r w:rsidR="002203D8">
        <w:rPr>
          <w:lang w:val="en-US"/>
        </w:rPr>
        <w:t>3</w:t>
      </w:r>
    </w:p>
    <w:p w14:paraId="797EA6BB" w14:textId="77777777" w:rsidR="002203D8" w:rsidRDefault="002203D8" w:rsidP="002203D8">
      <w:pPr>
        <w:spacing w:line="360" w:lineRule="auto"/>
        <w:rPr>
          <w:lang w:val="en-US"/>
        </w:rPr>
      </w:pPr>
      <w:r>
        <w:rPr>
          <w:lang w:val="en-US"/>
        </w:rPr>
        <w:t>PCT analysis…</w:t>
      </w:r>
      <w:r w:rsidRPr="00997361">
        <w:rPr>
          <w:lang w:val="en-US"/>
        </w:rPr>
        <w:t>……………………………………………</w:t>
      </w:r>
      <w:r>
        <w:rPr>
          <w:lang w:val="en-US"/>
        </w:rPr>
        <w:t>…</w:t>
      </w:r>
      <w:r w:rsidRPr="00997361">
        <w:rPr>
          <w:lang w:val="en-US"/>
        </w:rPr>
        <w:t>…</w:t>
      </w:r>
      <w:r>
        <w:rPr>
          <w:lang w:val="en-US"/>
        </w:rPr>
        <w:t>...</w:t>
      </w:r>
      <w:r w:rsidRPr="00997361">
        <w:rPr>
          <w:lang w:val="en-US"/>
        </w:rPr>
        <w:t>..</w:t>
      </w:r>
      <w:r>
        <w:rPr>
          <w:lang w:val="en-US"/>
        </w:rPr>
        <w:t>...</w:t>
      </w:r>
      <w:r w:rsidRPr="00997361">
        <w:rPr>
          <w:lang w:val="en-US"/>
        </w:rPr>
        <w:t xml:space="preserve"> Page </w:t>
      </w:r>
      <w:r>
        <w:rPr>
          <w:lang w:val="en-US"/>
        </w:rPr>
        <w:t>3</w:t>
      </w:r>
    </w:p>
    <w:p w14:paraId="0ACF4920" w14:textId="77777777" w:rsidR="002203D8" w:rsidRPr="00997361" w:rsidRDefault="002203D8" w:rsidP="002203D8">
      <w:pPr>
        <w:spacing w:line="360" w:lineRule="auto"/>
        <w:rPr>
          <w:lang w:val="en-US"/>
        </w:rPr>
      </w:pPr>
      <w:r>
        <w:rPr>
          <w:lang w:val="en-US"/>
        </w:rPr>
        <w:t xml:space="preserve">Statistical analyses (animal </w:t>
      </w:r>
      <w:proofErr w:type="gramStart"/>
      <w:r>
        <w:rPr>
          <w:lang w:val="en-US"/>
        </w:rPr>
        <w:t>data)…</w:t>
      </w:r>
      <w:proofErr w:type="gramEnd"/>
      <w:r>
        <w:rPr>
          <w:lang w:val="en-US"/>
        </w:rPr>
        <w:t>……………..………………...… Page 4</w:t>
      </w:r>
    </w:p>
    <w:p w14:paraId="4D350766" w14:textId="77777777" w:rsidR="00D9781C" w:rsidRPr="00997361" w:rsidRDefault="00D9781C" w:rsidP="00997361">
      <w:pPr>
        <w:spacing w:line="360" w:lineRule="auto"/>
        <w:ind w:firstLine="0"/>
        <w:rPr>
          <w:lang w:val="en-US"/>
        </w:rPr>
      </w:pPr>
      <w:r w:rsidRPr="00997361">
        <w:rPr>
          <w:lang w:val="en-US"/>
        </w:rPr>
        <w:t xml:space="preserve">Animal </w:t>
      </w:r>
      <w:r w:rsidR="00E92A09">
        <w:rPr>
          <w:lang w:val="en-US"/>
        </w:rPr>
        <w:t>Experiments</w:t>
      </w:r>
    </w:p>
    <w:p w14:paraId="0669A56E" w14:textId="77777777" w:rsidR="00D9781C" w:rsidRPr="00997361" w:rsidRDefault="00D9781C" w:rsidP="00997361">
      <w:pPr>
        <w:spacing w:line="360" w:lineRule="auto"/>
        <w:ind w:firstLine="0"/>
        <w:rPr>
          <w:lang w:val="en-US"/>
        </w:rPr>
      </w:pPr>
      <w:r w:rsidRPr="00997361">
        <w:rPr>
          <w:lang w:val="en-US"/>
        </w:rPr>
        <w:tab/>
        <w:t>Mouse sepsis…………………………</w:t>
      </w:r>
      <w:r w:rsidR="00997361" w:rsidRPr="00997361">
        <w:rPr>
          <w:lang w:val="en-US"/>
        </w:rPr>
        <w:t>…………………………</w:t>
      </w:r>
      <w:r w:rsidR="00997361">
        <w:rPr>
          <w:lang w:val="en-US"/>
        </w:rPr>
        <w:t>...</w:t>
      </w:r>
      <w:r w:rsidR="00997361" w:rsidRPr="00997361">
        <w:rPr>
          <w:lang w:val="en-US"/>
        </w:rPr>
        <w:t>.</w:t>
      </w:r>
      <w:r w:rsidRPr="00997361">
        <w:rPr>
          <w:lang w:val="en-US"/>
        </w:rPr>
        <w:t>.</w:t>
      </w:r>
      <w:r w:rsidR="00997361">
        <w:rPr>
          <w:lang w:val="en-US"/>
        </w:rPr>
        <w:t>...</w:t>
      </w:r>
      <w:r w:rsidRPr="00997361">
        <w:rPr>
          <w:lang w:val="en-US"/>
        </w:rPr>
        <w:t xml:space="preserve"> Page </w:t>
      </w:r>
      <w:r w:rsidR="00A04DCC">
        <w:rPr>
          <w:lang w:val="en-US"/>
        </w:rPr>
        <w:t>5</w:t>
      </w:r>
    </w:p>
    <w:p w14:paraId="1DFC2A7B" w14:textId="77777777" w:rsidR="00D9781C" w:rsidRPr="00997361" w:rsidRDefault="00D9781C" w:rsidP="00997361">
      <w:pPr>
        <w:spacing w:line="360" w:lineRule="auto"/>
        <w:ind w:firstLine="0"/>
        <w:rPr>
          <w:lang w:val="en-US"/>
        </w:rPr>
      </w:pPr>
      <w:r w:rsidRPr="00997361">
        <w:rPr>
          <w:lang w:val="en-US"/>
        </w:rPr>
        <w:tab/>
        <w:t>Pig trauma…………………………</w:t>
      </w:r>
      <w:r w:rsidR="00997361" w:rsidRPr="00997361">
        <w:rPr>
          <w:lang w:val="en-US"/>
        </w:rPr>
        <w:t>………………………………</w:t>
      </w:r>
      <w:r w:rsidR="00997361">
        <w:rPr>
          <w:lang w:val="en-US"/>
        </w:rPr>
        <w:t xml:space="preserve">… </w:t>
      </w:r>
      <w:r w:rsidRPr="00997361">
        <w:rPr>
          <w:lang w:val="en-US"/>
        </w:rPr>
        <w:t xml:space="preserve">Page </w:t>
      </w:r>
      <w:r w:rsidR="00A04DCC">
        <w:rPr>
          <w:lang w:val="en-US"/>
        </w:rPr>
        <w:t>6</w:t>
      </w:r>
    </w:p>
    <w:p w14:paraId="6DF66907" w14:textId="77777777" w:rsidR="00D9781C" w:rsidRPr="00997361" w:rsidRDefault="00D9781C" w:rsidP="00997361">
      <w:pPr>
        <w:spacing w:line="360" w:lineRule="auto"/>
        <w:ind w:firstLine="0"/>
        <w:rPr>
          <w:lang w:val="en-US"/>
        </w:rPr>
      </w:pPr>
      <w:r w:rsidRPr="00997361">
        <w:rPr>
          <w:lang w:val="en-US"/>
        </w:rPr>
        <w:tab/>
        <w:t>Baboon septic shock………</w:t>
      </w:r>
      <w:r w:rsidR="00997361" w:rsidRPr="00997361">
        <w:rPr>
          <w:lang w:val="en-US"/>
        </w:rPr>
        <w:t>…………………………….</w:t>
      </w:r>
      <w:r w:rsidRPr="00997361">
        <w:rPr>
          <w:lang w:val="en-US"/>
        </w:rPr>
        <w:t>…………</w:t>
      </w:r>
      <w:r w:rsidR="00997361">
        <w:rPr>
          <w:lang w:val="en-US"/>
        </w:rPr>
        <w:t>...</w:t>
      </w:r>
      <w:r w:rsidR="00997361" w:rsidRPr="00997361">
        <w:rPr>
          <w:lang w:val="en-US"/>
        </w:rPr>
        <w:t xml:space="preserve"> </w:t>
      </w:r>
      <w:r w:rsidRPr="00997361">
        <w:rPr>
          <w:lang w:val="en-US"/>
        </w:rPr>
        <w:t xml:space="preserve">Page </w:t>
      </w:r>
      <w:r w:rsidR="00A04DCC">
        <w:rPr>
          <w:lang w:val="en-US"/>
        </w:rPr>
        <w:t>6</w:t>
      </w:r>
    </w:p>
    <w:p w14:paraId="2128222A" w14:textId="77777777" w:rsidR="00D9781C" w:rsidRPr="00997361" w:rsidRDefault="00A04DCC" w:rsidP="00A04DCC">
      <w:pPr>
        <w:spacing w:line="360" w:lineRule="auto"/>
        <w:rPr>
          <w:lang w:val="en-US"/>
        </w:rPr>
      </w:pPr>
      <w:r>
        <w:rPr>
          <w:lang w:val="en-US"/>
        </w:rPr>
        <w:t>Normative t</w:t>
      </w:r>
      <w:r w:rsidRPr="00A04DCC">
        <w:rPr>
          <w:vertAlign w:val="superscript"/>
          <w:lang w:val="en-US"/>
        </w:rPr>
        <w:t>6</w:t>
      </w:r>
      <w:r>
        <w:rPr>
          <w:lang w:val="en-US"/>
        </w:rPr>
        <w:t>A values</w:t>
      </w:r>
      <w:r w:rsidR="00D9781C" w:rsidRPr="00997361">
        <w:rPr>
          <w:lang w:val="en-US"/>
        </w:rPr>
        <w:t>……………</w:t>
      </w:r>
      <w:r>
        <w:rPr>
          <w:lang w:val="en-US"/>
        </w:rPr>
        <w:t>…………………</w:t>
      </w:r>
      <w:proofErr w:type="gramStart"/>
      <w:r>
        <w:rPr>
          <w:lang w:val="en-US"/>
        </w:rPr>
        <w:t>…..</w:t>
      </w:r>
      <w:proofErr w:type="gramEnd"/>
      <w:r w:rsidR="00D9781C" w:rsidRPr="00997361">
        <w:rPr>
          <w:lang w:val="en-US"/>
        </w:rPr>
        <w:t>…………</w:t>
      </w:r>
      <w:r w:rsidR="00997361">
        <w:rPr>
          <w:lang w:val="en-US"/>
        </w:rPr>
        <w:t>….</w:t>
      </w:r>
      <w:r w:rsidR="00D9781C" w:rsidRPr="00997361">
        <w:rPr>
          <w:lang w:val="en-US"/>
        </w:rPr>
        <w:t xml:space="preserve"> Page </w:t>
      </w:r>
      <w:r>
        <w:rPr>
          <w:lang w:val="en-US"/>
        </w:rPr>
        <w:t>6</w:t>
      </w:r>
    </w:p>
    <w:p w14:paraId="1BB35909" w14:textId="77777777" w:rsidR="00997361" w:rsidRPr="00997361" w:rsidRDefault="00997361" w:rsidP="00997361">
      <w:pPr>
        <w:spacing w:line="360" w:lineRule="auto"/>
        <w:ind w:firstLine="0"/>
      </w:pPr>
      <w:r w:rsidRPr="00997361">
        <w:rPr>
          <w:lang w:val="en-US"/>
        </w:rPr>
        <w:t xml:space="preserve">Table </w:t>
      </w:r>
      <w:r>
        <w:rPr>
          <w:lang w:val="en-US"/>
        </w:rPr>
        <w:t>S</w:t>
      </w:r>
      <w:r w:rsidRPr="00997361">
        <w:rPr>
          <w:lang w:val="en-US"/>
        </w:rPr>
        <w:t xml:space="preserve">1: </w:t>
      </w:r>
      <w:r w:rsidRPr="00997361">
        <w:t>Descriptive statistics of biomarkers…………………………</w:t>
      </w:r>
      <w:r>
        <w:t>...</w:t>
      </w:r>
      <w:r w:rsidRPr="00997361">
        <w:t xml:space="preserve">.… Page </w:t>
      </w:r>
      <w:r w:rsidR="00A04DCC">
        <w:t>7</w:t>
      </w:r>
    </w:p>
    <w:p w14:paraId="4A6B7573" w14:textId="77777777" w:rsidR="00997361" w:rsidRPr="00997361" w:rsidRDefault="00997361" w:rsidP="00997361">
      <w:pPr>
        <w:spacing w:line="360" w:lineRule="auto"/>
        <w:ind w:firstLine="0"/>
      </w:pPr>
      <w:r w:rsidRPr="00997361">
        <w:t xml:space="preserve">Table </w:t>
      </w:r>
      <w:r>
        <w:t>S</w:t>
      </w:r>
      <w:r w:rsidRPr="00997361">
        <w:t>2: Characterization of COVID-19 patients…………………….…</w:t>
      </w:r>
      <w:r>
        <w:t>…</w:t>
      </w:r>
      <w:r w:rsidR="00A04DCC">
        <w:t>.</w:t>
      </w:r>
      <w:r w:rsidRPr="00997361">
        <w:t xml:space="preserve"> Page </w:t>
      </w:r>
      <w:r w:rsidR="00A04DCC">
        <w:t>8</w:t>
      </w:r>
    </w:p>
    <w:p w14:paraId="1785AC0C" w14:textId="77777777" w:rsidR="00997361" w:rsidRPr="00997361" w:rsidRDefault="00997361" w:rsidP="00997361">
      <w:pPr>
        <w:spacing w:line="360" w:lineRule="auto"/>
        <w:ind w:firstLine="0"/>
      </w:pPr>
      <w:r w:rsidRPr="00997361">
        <w:t xml:space="preserve">Figure </w:t>
      </w:r>
      <w:r>
        <w:t>S</w:t>
      </w:r>
      <w:r w:rsidRPr="00997361">
        <w:t>1: Exploratory cohort……………………………………………</w:t>
      </w:r>
      <w:r>
        <w:t xml:space="preserve">…. </w:t>
      </w:r>
      <w:r w:rsidRPr="00997361">
        <w:t xml:space="preserve">Page </w:t>
      </w:r>
      <w:r w:rsidR="00A04DCC">
        <w:t>9</w:t>
      </w:r>
    </w:p>
    <w:p w14:paraId="7E261814" w14:textId="77777777" w:rsidR="00997361" w:rsidRPr="00997361" w:rsidRDefault="00997361" w:rsidP="00A04DCC">
      <w:pPr>
        <w:tabs>
          <w:tab w:val="left" w:pos="7380"/>
        </w:tabs>
        <w:spacing w:line="360" w:lineRule="auto"/>
        <w:ind w:firstLine="0"/>
      </w:pPr>
      <w:r w:rsidRPr="00997361">
        <w:t xml:space="preserve">Figure </w:t>
      </w:r>
      <w:r>
        <w:t>S</w:t>
      </w:r>
      <w:r w:rsidRPr="00997361">
        <w:t>2: Validation cohort…...…………………………………………</w:t>
      </w:r>
      <w:r>
        <w:t xml:space="preserve">… </w:t>
      </w:r>
      <w:r w:rsidRPr="00997361">
        <w:t xml:space="preserve">Page </w:t>
      </w:r>
      <w:r w:rsidR="00A04DCC">
        <w:t>10</w:t>
      </w:r>
    </w:p>
    <w:p w14:paraId="1676C1A9" w14:textId="77777777" w:rsidR="00997361" w:rsidRDefault="00997361" w:rsidP="00997361">
      <w:pPr>
        <w:spacing w:line="360" w:lineRule="auto"/>
        <w:ind w:firstLine="0"/>
      </w:pPr>
      <w:r w:rsidRPr="00997361">
        <w:t xml:space="preserve">Figure </w:t>
      </w:r>
      <w:r>
        <w:t>S</w:t>
      </w:r>
      <w:r w:rsidRPr="00997361">
        <w:t>3: Concentration of t</w:t>
      </w:r>
      <w:r w:rsidRPr="00997361">
        <w:rPr>
          <w:vertAlign w:val="superscript"/>
        </w:rPr>
        <w:t>6</w:t>
      </w:r>
      <w:r w:rsidRPr="00997361">
        <w:t>A &amp; PCT in CABG patients ………………..</w:t>
      </w:r>
      <w:r>
        <w:t>.</w:t>
      </w:r>
      <w:r w:rsidRPr="00997361">
        <w:t xml:space="preserve"> Page </w:t>
      </w:r>
      <w:r w:rsidR="00A04DCC">
        <w:t>11</w:t>
      </w:r>
    </w:p>
    <w:p w14:paraId="64F036C0" w14:textId="77777777" w:rsidR="00997361" w:rsidRPr="00997361" w:rsidRDefault="00997361" w:rsidP="00997361">
      <w:pPr>
        <w:spacing w:line="360" w:lineRule="auto"/>
        <w:ind w:firstLine="0"/>
      </w:pPr>
      <w:r w:rsidRPr="00997361">
        <w:t xml:space="preserve">Figure </w:t>
      </w:r>
      <w:r>
        <w:t>S4</w:t>
      </w:r>
      <w:r w:rsidRPr="00997361">
        <w:t xml:space="preserve">: </w:t>
      </w:r>
      <w:r>
        <w:t>t</w:t>
      </w:r>
      <w:r>
        <w:rPr>
          <w:vertAlign w:val="superscript"/>
        </w:rPr>
        <w:t>6</w:t>
      </w:r>
      <w:r>
        <w:t>A detecting COVID-19 in patients</w:t>
      </w:r>
      <w:r w:rsidRPr="00997361">
        <w:t xml:space="preserve"> ………………..</w:t>
      </w:r>
      <w:r>
        <w:t>...................</w:t>
      </w:r>
      <w:r w:rsidRPr="00997361">
        <w:t xml:space="preserve"> Page </w:t>
      </w:r>
      <w:r w:rsidR="00A04DCC">
        <w:t>12</w:t>
      </w:r>
    </w:p>
    <w:p w14:paraId="6E715317" w14:textId="77777777" w:rsidR="00814431" w:rsidRDefault="00814431" w:rsidP="00814431">
      <w:pPr>
        <w:spacing w:line="360" w:lineRule="auto"/>
        <w:ind w:firstLine="0"/>
      </w:pPr>
      <w:r w:rsidRPr="00997361">
        <w:t xml:space="preserve">Figure </w:t>
      </w:r>
      <w:r>
        <w:t>S5</w:t>
      </w:r>
      <w:r w:rsidRPr="00997361">
        <w:t xml:space="preserve">: </w:t>
      </w:r>
      <w:r>
        <w:t>t</w:t>
      </w:r>
      <w:r>
        <w:rPr>
          <w:vertAlign w:val="superscript"/>
        </w:rPr>
        <w:t>6</w:t>
      </w:r>
      <w:r>
        <w:t>A concentration in mouse CLP sepsis</w:t>
      </w:r>
      <w:r w:rsidRPr="00997361">
        <w:t xml:space="preserve"> ………………..</w:t>
      </w:r>
      <w:r>
        <w:t>..............</w:t>
      </w:r>
      <w:r w:rsidRPr="00997361">
        <w:t xml:space="preserve"> Page </w:t>
      </w:r>
      <w:r>
        <w:t>1</w:t>
      </w:r>
      <w:r w:rsidR="00A04DCC">
        <w:t>3</w:t>
      </w:r>
    </w:p>
    <w:p w14:paraId="0C8D966A" w14:textId="77777777" w:rsidR="00814431" w:rsidRDefault="00814431" w:rsidP="00814431">
      <w:pPr>
        <w:spacing w:line="360" w:lineRule="auto"/>
        <w:ind w:firstLine="0"/>
      </w:pPr>
      <w:r w:rsidRPr="00997361">
        <w:t xml:space="preserve">Figure </w:t>
      </w:r>
      <w:r>
        <w:t>S6</w:t>
      </w:r>
      <w:r w:rsidRPr="00997361">
        <w:t xml:space="preserve">: </w:t>
      </w:r>
      <w:r>
        <w:t>t</w:t>
      </w:r>
      <w:r>
        <w:rPr>
          <w:vertAlign w:val="superscript"/>
        </w:rPr>
        <w:t>6</w:t>
      </w:r>
      <w:r>
        <w:t>A in pig trauma and normative concentrations</w:t>
      </w:r>
      <w:r w:rsidRPr="00997361">
        <w:t>…..</w:t>
      </w:r>
      <w:r>
        <w:t>.....................</w:t>
      </w:r>
      <w:r w:rsidRPr="00997361">
        <w:t xml:space="preserve"> Page </w:t>
      </w:r>
      <w:r>
        <w:t>1</w:t>
      </w:r>
      <w:r w:rsidR="00A04DCC">
        <w:t>4</w:t>
      </w:r>
    </w:p>
    <w:p w14:paraId="2ED01A21" w14:textId="77777777" w:rsidR="00814431" w:rsidRDefault="00814431" w:rsidP="00814431">
      <w:pPr>
        <w:tabs>
          <w:tab w:val="left" w:pos="7380"/>
        </w:tabs>
        <w:spacing w:line="360" w:lineRule="auto"/>
        <w:ind w:firstLine="0"/>
      </w:pPr>
      <w:r>
        <w:t>References…………………………………………………………………... Page 1</w:t>
      </w:r>
      <w:r w:rsidR="00A04DCC">
        <w:t>5</w:t>
      </w:r>
    </w:p>
    <w:p w14:paraId="0087319E" w14:textId="77777777" w:rsidR="00E6338A" w:rsidRPr="00997361" w:rsidRDefault="00E6338A" w:rsidP="00A04DCC">
      <w:pPr>
        <w:tabs>
          <w:tab w:val="left" w:pos="7380"/>
        </w:tabs>
        <w:spacing w:line="360" w:lineRule="auto"/>
        <w:ind w:firstLine="0"/>
      </w:pPr>
      <w:r>
        <w:t>ARRIVE checklist…………………………………………………………... Page 1</w:t>
      </w:r>
      <w:r w:rsidR="00A04DCC">
        <w:t>6</w:t>
      </w:r>
    </w:p>
    <w:p w14:paraId="5D8734C4" w14:textId="77777777" w:rsidR="00814431" w:rsidRPr="00997361" w:rsidRDefault="00814431" w:rsidP="00814431">
      <w:pPr>
        <w:spacing w:line="360" w:lineRule="auto"/>
        <w:ind w:firstLine="0"/>
      </w:pPr>
    </w:p>
    <w:p w14:paraId="27003027" w14:textId="77777777" w:rsidR="00997361" w:rsidRPr="00997361" w:rsidRDefault="00997361" w:rsidP="00997361">
      <w:pPr>
        <w:spacing w:line="360" w:lineRule="auto"/>
        <w:ind w:firstLine="0"/>
      </w:pPr>
    </w:p>
    <w:p w14:paraId="4D440B27" w14:textId="77777777" w:rsidR="00997361" w:rsidRDefault="00997361" w:rsidP="00997361">
      <w:pPr>
        <w:spacing w:line="360" w:lineRule="auto"/>
        <w:ind w:firstLine="0"/>
        <w:rPr>
          <w:b/>
        </w:rPr>
      </w:pPr>
    </w:p>
    <w:p w14:paraId="466CBFD8" w14:textId="77777777" w:rsidR="00997361" w:rsidRDefault="00997361" w:rsidP="00E6338A">
      <w:pPr>
        <w:tabs>
          <w:tab w:val="left" w:pos="7290"/>
        </w:tabs>
        <w:spacing w:line="360" w:lineRule="auto"/>
        <w:ind w:firstLine="0"/>
        <w:rPr>
          <w:b/>
        </w:rPr>
      </w:pPr>
    </w:p>
    <w:p w14:paraId="550891CA" w14:textId="77777777" w:rsidR="00997361" w:rsidRDefault="00997361" w:rsidP="00997361">
      <w:pPr>
        <w:spacing w:line="360" w:lineRule="auto"/>
        <w:ind w:firstLine="0"/>
        <w:rPr>
          <w:b/>
        </w:rPr>
      </w:pPr>
    </w:p>
    <w:p w14:paraId="2A4248CA" w14:textId="77777777" w:rsidR="003037E0" w:rsidRDefault="003037E0" w:rsidP="003037E0">
      <w:pPr>
        <w:spacing w:before="120" w:after="120" w:line="276" w:lineRule="auto"/>
        <w:ind w:firstLine="0"/>
        <w:jc w:val="both"/>
        <w:rPr>
          <w:b/>
          <w:color w:val="0D0D0D"/>
          <w:highlight w:val="white"/>
        </w:rPr>
      </w:pPr>
      <w:r>
        <w:rPr>
          <w:b/>
          <w:color w:val="0D0D0D"/>
          <w:highlight w:val="white"/>
        </w:rPr>
        <w:lastRenderedPageBreak/>
        <w:t>Human Patients</w:t>
      </w:r>
    </w:p>
    <w:p w14:paraId="4BEF3264" w14:textId="77777777" w:rsidR="003037E0" w:rsidRPr="00A05BD7" w:rsidRDefault="003037E0" w:rsidP="00A05BD7">
      <w:pPr>
        <w:spacing w:before="240" w:after="120" w:line="276" w:lineRule="auto"/>
        <w:ind w:firstLine="0"/>
        <w:jc w:val="both"/>
        <w:rPr>
          <w:b/>
          <w:highlight w:val="white"/>
        </w:rPr>
      </w:pPr>
      <w:r w:rsidRPr="00A05BD7">
        <w:rPr>
          <w:b/>
          <w:highlight w:val="white"/>
        </w:rPr>
        <w:t>Septic and CABG patients in the ICU</w:t>
      </w:r>
    </w:p>
    <w:p w14:paraId="326D0B55" w14:textId="68833255" w:rsidR="003037E0" w:rsidRDefault="003037E0" w:rsidP="00A05BD7">
      <w:pPr>
        <w:pStyle w:val="berschrift1"/>
        <w:keepNext w:val="0"/>
        <w:keepLines w:val="0"/>
        <w:spacing w:before="0" w:after="240" w:line="276" w:lineRule="auto"/>
        <w:ind w:firstLine="0"/>
        <w:jc w:val="both"/>
        <w:rPr>
          <w:rFonts w:ascii="Times New Roman" w:hAnsi="Times New Roman" w:cs="Times New Roman"/>
          <w:color w:val="auto"/>
          <w:sz w:val="24"/>
          <w:szCs w:val="24"/>
          <w:highlight w:val="white"/>
        </w:rPr>
      </w:pPr>
      <w:r w:rsidRPr="009122D8">
        <w:rPr>
          <w:rFonts w:ascii="Times New Roman" w:hAnsi="Times New Roman" w:cs="Times New Roman"/>
          <w:color w:val="auto"/>
          <w:sz w:val="24"/>
          <w:szCs w:val="24"/>
        </w:rPr>
        <w:t xml:space="preserve">Two groups of patients treated at the ICU were included: patients with diagnosis of sepsis and patients after cardiac surgery (control group). Inclusion criteria for septic patients </w:t>
      </w:r>
      <w:proofErr w:type="gramStart"/>
      <w:r w:rsidRPr="009122D8">
        <w:rPr>
          <w:rFonts w:ascii="Times New Roman" w:hAnsi="Times New Roman" w:cs="Times New Roman"/>
          <w:color w:val="auto"/>
          <w:sz w:val="24"/>
          <w:szCs w:val="24"/>
        </w:rPr>
        <w:t>were:</w:t>
      </w:r>
      <w:proofErr w:type="gramEnd"/>
      <w:r w:rsidRPr="009122D8">
        <w:rPr>
          <w:rFonts w:ascii="Times New Roman" w:hAnsi="Times New Roman" w:cs="Times New Roman"/>
          <w:color w:val="auto"/>
          <w:sz w:val="24"/>
          <w:szCs w:val="24"/>
        </w:rPr>
        <w:t xml:space="preserve"> age&gt; 18 years; exclusion criteria were: a length of ICU stay less than 24 h. Inclusion criteria for patients after cardiac surgery were: elective, first time coronary artery bypass grafting (CABG) with cardiopulmonary bypass (CBP). Exclusion criteria </w:t>
      </w:r>
      <w:proofErr w:type="gramStart"/>
      <w:r w:rsidRPr="009122D8">
        <w:rPr>
          <w:rFonts w:ascii="Times New Roman" w:hAnsi="Times New Roman" w:cs="Times New Roman"/>
          <w:color w:val="auto"/>
          <w:sz w:val="24"/>
          <w:szCs w:val="24"/>
        </w:rPr>
        <w:t>were:</w:t>
      </w:r>
      <w:proofErr w:type="gramEnd"/>
      <w:r w:rsidRPr="009122D8">
        <w:rPr>
          <w:rFonts w:ascii="Times New Roman" w:hAnsi="Times New Roman" w:cs="Times New Roman"/>
          <w:color w:val="auto"/>
          <w:sz w:val="24"/>
          <w:szCs w:val="24"/>
        </w:rPr>
        <w:t xml:space="preserve"> clinical signs of infection at admission, urgent operation, off-pump surgery</w:t>
      </w:r>
      <w:proofErr w:type="gramStart"/>
      <w:r w:rsidRPr="009122D8">
        <w:rPr>
          <w:rFonts w:ascii="Times New Roman" w:hAnsi="Times New Roman" w:cs="Times New Roman"/>
          <w:color w:val="auto"/>
          <w:sz w:val="24"/>
          <w:szCs w:val="24"/>
        </w:rPr>
        <w:t>, a</w:t>
      </w:r>
      <w:proofErr w:type="gramEnd"/>
      <w:r w:rsidRPr="009122D8">
        <w:rPr>
          <w:rFonts w:ascii="Times New Roman" w:hAnsi="Times New Roman" w:cs="Times New Roman"/>
          <w:color w:val="auto"/>
          <w:sz w:val="24"/>
          <w:szCs w:val="24"/>
        </w:rPr>
        <w:t xml:space="preserve"> previous coronary artery bypass graft. The median duration of cardiac bypass time was 84 minutes (676–105), and aortic cross-clamp time was 40 minutes (36–55). The median length of ICU stay was 3 </w:t>
      </w:r>
      <w:proofErr w:type="gramStart"/>
      <w:r w:rsidRPr="009122D8">
        <w:rPr>
          <w:rFonts w:ascii="Times New Roman" w:hAnsi="Times New Roman" w:cs="Times New Roman"/>
          <w:color w:val="auto"/>
          <w:sz w:val="24"/>
          <w:szCs w:val="24"/>
        </w:rPr>
        <w:t>days</w:t>
      </w:r>
      <w:proofErr w:type="gramEnd"/>
      <w:r w:rsidRPr="009122D8">
        <w:rPr>
          <w:rFonts w:ascii="Times New Roman" w:hAnsi="Times New Roman" w:cs="Times New Roman"/>
          <w:color w:val="auto"/>
          <w:sz w:val="24"/>
          <w:szCs w:val="24"/>
        </w:rPr>
        <w:t xml:space="preserve"> and the ICU and hospital survival rate was 100%. All patients were extubated on the day of surgery or on the first postoperative day. No patient developed sepsis during their ICU stay. The severity of patients’ clinical condition was determined using the APACHE II (Acute Physiology and Chronic Health Evaluation II) score on admission to the ICU. In septic patients, the extent of organ dysfunction/failure was assessed with the SOFA (Sequential Organ Failure Assessment) score.</w:t>
      </w:r>
      <w:r w:rsidR="00AB19B5" w:rsidRPr="009122D8">
        <w:rPr>
          <w:rFonts w:ascii="Times New Roman" w:hAnsi="Times New Roman" w:cs="Times New Roman"/>
          <w:color w:val="auto"/>
          <w:sz w:val="24"/>
          <w:szCs w:val="24"/>
        </w:rPr>
        <w:t xml:space="preserve"> None of the CABG control patients showed signs of </w:t>
      </w:r>
      <w:proofErr w:type="gramStart"/>
      <w:r w:rsidR="00AB19B5" w:rsidRPr="009122D8">
        <w:rPr>
          <w:rFonts w:ascii="Times New Roman" w:hAnsi="Times New Roman" w:cs="Times New Roman"/>
          <w:color w:val="auto"/>
          <w:sz w:val="24"/>
          <w:szCs w:val="24"/>
        </w:rPr>
        <w:t>infection preoperatively</w:t>
      </w:r>
      <w:proofErr w:type="gramEnd"/>
      <w:r w:rsidR="00AB19B5" w:rsidRPr="009122D8">
        <w:rPr>
          <w:rFonts w:ascii="Times New Roman" w:hAnsi="Times New Roman" w:cs="Times New Roman"/>
          <w:color w:val="auto"/>
          <w:sz w:val="24"/>
          <w:szCs w:val="24"/>
        </w:rPr>
        <w:t xml:space="preserve"> or developed sepsis during postoperative ICU treatment.</w:t>
      </w:r>
      <w:r w:rsidR="00A05BD7" w:rsidRPr="009122D8">
        <w:rPr>
          <w:rFonts w:ascii="Times New Roman" w:hAnsi="Times New Roman" w:cs="Times New Roman"/>
          <w:color w:val="auto"/>
          <w:sz w:val="24"/>
          <w:szCs w:val="24"/>
        </w:rPr>
        <w:t xml:space="preserve"> </w:t>
      </w:r>
      <w:r w:rsidR="00A05BD7" w:rsidRPr="009122D8">
        <w:rPr>
          <w:rFonts w:ascii="Times New Roman" w:hAnsi="Times New Roman" w:cs="Times New Roman"/>
          <w:color w:val="auto"/>
          <w:sz w:val="24"/>
          <w:szCs w:val="24"/>
          <w:highlight w:val="white"/>
        </w:rPr>
        <w:t>We list the pooled number of all retrospectively enrolled patients (Table 1) as the basis for the below-shown analyses. Due to some subsequent PCT/</w:t>
      </w:r>
      <w:r w:rsidR="00A05BD7" w:rsidRPr="009122D8">
        <w:rPr>
          <w:rFonts w:ascii="Times New Roman" w:hAnsi="Times New Roman" w:cs="Times New Roman"/>
          <w:color w:val="auto"/>
          <w:sz w:val="24"/>
          <w:szCs w:val="24"/>
        </w:rPr>
        <w:t>t</w:t>
      </w:r>
      <w:r w:rsidR="00A05BD7" w:rsidRPr="009122D8">
        <w:rPr>
          <w:rFonts w:ascii="Times New Roman" w:hAnsi="Times New Roman" w:cs="Times New Roman"/>
          <w:color w:val="auto"/>
          <w:sz w:val="24"/>
          <w:szCs w:val="24"/>
          <w:vertAlign w:val="superscript"/>
        </w:rPr>
        <w:t>6</w:t>
      </w:r>
      <w:r w:rsidR="00A05BD7" w:rsidRPr="009122D8">
        <w:rPr>
          <w:rFonts w:ascii="Times New Roman" w:hAnsi="Times New Roman" w:cs="Times New Roman"/>
          <w:color w:val="auto"/>
          <w:sz w:val="24"/>
          <w:szCs w:val="24"/>
        </w:rPr>
        <w:t>A</w:t>
      </w:r>
      <w:r w:rsidR="00A05BD7" w:rsidRPr="009122D8">
        <w:rPr>
          <w:rFonts w:ascii="Times New Roman" w:hAnsi="Times New Roman" w:cs="Times New Roman"/>
          <w:color w:val="auto"/>
          <w:sz w:val="24"/>
          <w:szCs w:val="24"/>
          <w:highlight w:val="white"/>
        </w:rPr>
        <w:t xml:space="preserve"> assay errors, the n in the pooled groups may be smaller than 81. </w:t>
      </w:r>
    </w:p>
    <w:p w14:paraId="1619BEED" w14:textId="74BE4DAE" w:rsidR="00736A5C" w:rsidRDefault="00736A5C" w:rsidP="00736A5C">
      <w:pPr>
        <w:spacing w:after="120" w:line="276" w:lineRule="auto"/>
        <w:ind w:firstLine="0"/>
        <w:rPr>
          <w:b/>
          <w:highlight w:val="white"/>
        </w:rPr>
      </w:pPr>
      <w:r>
        <w:rPr>
          <w:b/>
          <w:highlight w:val="white"/>
        </w:rPr>
        <w:t>Polytrauma</w:t>
      </w:r>
      <w:r w:rsidRPr="00A05BD7">
        <w:rPr>
          <w:b/>
          <w:highlight w:val="white"/>
        </w:rPr>
        <w:t xml:space="preserve"> patients in the </w:t>
      </w:r>
      <w:r>
        <w:rPr>
          <w:b/>
          <w:highlight w:val="white"/>
        </w:rPr>
        <w:t>ER</w:t>
      </w:r>
    </w:p>
    <w:p w14:paraId="180A71E7" w14:textId="299F1253" w:rsidR="00274A34" w:rsidRDefault="00274A34" w:rsidP="00274A34">
      <w:pPr>
        <w:spacing w:line="276" w:lineRule="auto"/>
        <w:ind w:firstLine="0"/>
        <w:jc w:val="both"/>
        <w:rPr>
          <w:bCs/>
          <w:highlight w:val="white"/>
        </w:rPr>
      </w:pPr>
      <w:proofErr w:type="gramStart"/>
      <w:r>
        <w:rPr>
          <w:bCs/>
          <w:highlight w:val="white"/>
        </w:rPr>
        <w:t>Sixty four</w:t>
      </w:r>
      <w:proofErr w:type="gramEnd"/>
      <w:r w:rsidRPr="00736A5C">
        <w:rPr>
          <w:bCs/>
          <w:highlight w:val="white"/>
        </w:rPr>
        <w:t xml:space="preserve"> patients with polytrauma</w:t>
      </w:r>
      <w:r>
        <w:rPr>
          <w:bCs/>
          <w:highlight w:val="white"/>
        </w:rPr>
        <w:t xml:space="preserve"> were included in the current analysis (Table 1). Inclusion criteria were trauma-severity score (ISS) &gt; 15, age &gt; 18, consent to take part in the study and admittance to the ER within the first 3 hours after trauma. Exclusion criteria </w:t>
      </w:r>
      <w:proofErr w:type="gramStart"/>
      <w:r>
        <w:rPr>
          <w:bCs/>
          <w:highlight w:val="white"/>
        </w:rPr>
        <w:t>were:</w:t>
      </w:r>
      <w:proofErr w:type="gramEnd"/>
      <w:r>
        <w:rPr>
          <w:bCs/>
          <w:highlight w:val="white"/>
        </w:rPr>
        <w:t xml:space="preserve"> autoimmune disease, immune-suppressive or anti-inflammatory medication, pregnancy, breastfeeding and infectious disease within the 14 days preceding inclusion in the study. Four of these patients died during their stay at the hospital, 25 experienced ARDS, 11 required catecholamines, three patients had a PTZ less than 50%, 13 displayed creatinine concentration less than 1.2 mg, 42 had elevated values for AST, 27 had elevated values for ALT, 17 patients had positive microbiological cultures (either bloodstream, tracheal and/or tissue samples). </w:t>
      </w:r>
    </w:p>
    <w:p w14:paraId="1C589007" w14:textId="77777777" w:rsidR="003037E0" w:rsidRDefault="003037E0" w:rsidP="003037E0">
      <w:pPr>
        <w:spacing w:before="240" w:after="120" w:line="276" w:lineRule="auto"/>
        <w:ind w:firstLine="0"/>
        <w:jc w:val="both"/>
        <w:rPr>
          <w:b/>
          <w:color w:val="0D0D0D"/>
          <w:highlight w:val="white"/>
        </w:rPr>
      </w:pPr>
      <w:r>
        <w:rPr>
          <w:b/>
          <w:color w:val="0D0D0D"/>
          <w:highlight w:val="white"/>
        </w:rPr>
        <w:t>COVID-19 patients in the ICU</w:t>
      </w:r>
    </w:p>
    <w:p w14:paraId="0C9A0F59" w14:textId="713FCD83" w:rsidR="003037E0" w:rsidRDefault="003037E0" w:rsidP="003037E0">
      <w:pPr>
        <w:spacing w:before="120" w:after="120" w:line="276" w:lineRule="auto"/>
        <w:ind w:firstLine="0"/>
        <w:jc w:val="both"/>
        <w:rPr>
          <w:b/>
        </w:rPr>
      </w:pPr>
      <w:r>
        <w:rPr>
          <w:color w:val="0D0D0D"/>
          <w:highlight w:val="white"/>
        </w:rPr>
        <w:t>Forty-nine patients with severe COVID-19 infection and 11 healthy volunteers were recruited at the study center of the University Medical Center Göttingen (UMG) from April 2020 to January 2021 during the first and second waves of COVID-19 (</w:t>
      </w:r>
      <w:proofErr w:type="spellStart"/>
      <w:r>
        <w:rPr>
          <w:color w:val="0D0D0D"/>
          <w:highlight w:val="white"/>
        </w:rPr>
        <w:t>SeptImmun</w:t>
      </w:r>
      <w:proofErr w:type="spellEnd"/>
      <w:r>
        <w:rPr>
          <w:color w:val="0D0D0D"/>
          <w:highlight w:val="white"/>
        </w:rPr>
        <w:t xml:space="preserve"> Study No. 24/4/19Ü, UMG Ethics Commission). All patients had confirmed SARS-CoV-2 infection, were symptomatic, and hospitalized due to severe oxygenation disorders. A detailed patient characteristic is shown in </w:t>
      </w:r>
      <w:r w:rsidR="005F3215">
        <w:rPr>
          <w:color w:val="0D0D0D"/>
          <w:highlight w:val="white"/>
        </w:rPr>
        <w:t xml:space="preserve">the </w:t>
      </w:r>
      <w:r>
        <w:rPr>
          <w:color w:val="0D0D0D"/>
          <w:highlight w:val="white"/>
        </w:rPr>
        <w:t>Supplementary Table 2.</w:t>
      </w:r>
      <w:r>
        <w:br w:type="page"/>
      </w:r>
    </w:p>
    <w:p w14:paraId="0D4B82A8" w14:textId="77777777" w:rsidR="003037E0" w:rsidRDefault="003037E0" w:rsidP="00E92A09">
      <w:pPr>
        <w:pStyle w:val="berschrift2"/>
        <w:keepNext w:val="0"/>
        <w:keepLines w:val="0"/>
        <w:shd w:val="clear" w:color="auto" w:fill="FFFFFF"/>
        <w:spacing w:before="120" w:after="120" w:line="276" w:lineRule="auto"/>
        <w:ind w:firstLine="0"/>
        <w:jc w:val="both"/>
        <w:rPr>
          <w:rFonts w:ascii="Times New Roman" w:hAnsi="Times New Roman" w:cs="Times New Roman"/>
          <w:b/>
          <w:color w:val="auto"/>
          <w:sz w:val="24"/>
          <w:szCs w:val="24"/>
        </w:rPr>
      </w:pPr>
    </w:p>
    <w:p w14:paraId="24E018C9" w14:textId="77777777" w:rsidR="00E92A09" w:rsidRPr="00E92A09" w:rsidRDefault="00E92A09" w:rsidP="00E92A09">
      <w:pPr>
        <w:pStyle w:val="berschrift2"/>
        <w:keepNext w:val="0"/>
        <w:keepLines w:val="0"/>
        <w:shd w:val="clear" w:color="auto" w:fill="FFFFFF"/>
        <w:spacing w:before="120" w:after="120" w:line="276" w:lineRule="auto"/>
        <w:ind w:firstLine="0"/>
        <w:jc w:val="both"/>
        <w:rPr>
          <w:rFonts w:ascii="Times New Roman" w:hAnsi="Times New Roman" w:cs="Times New Roman"/>
          <w:b/>
          <w:color w:val="auto"/>
          <w:sz w:val="24"/>
          <w:szCs w:val="24"/>
        </w:rPr>
      </w:pPr>
      <w:r w:rsidRPr="00E92A09">
        <w:rPr>
          <w:rFonts w:ascii="Times New Roman" w:hAnsi="Times New Roman" w:cs="Times New Roman"/>
          <w:b/>
          <w:color w:val="auto"/>
          <w:sz w:val="24"/>
          <w:szCs w:val="24"/>
        </w:rPr>
        <w:t>A</w:t>
      </w:r>
      <w:r w:rsidR="005D3664">
        <w:rPr>
          <w:rFonts w:ascii="Times New Roman" w:hAnsi="Times New Roman" w:cs="Times New Roman"/>
          <w:b/>
          <w:color w:val="auto"/>
          <w:sz w:val="24"/>
          <w:szCs w:val="24"/>
        </w:rPr>
        <w:t>ssays M</w:t>
      </w:r>
      <w:r w:rsidRPr="00E92A09">
        <w:rPr>
          <w:rFonts w:ascii="Times New Roman" w:hAnsi="Times New Roman" w:cs="Times New Roman"/>
          <w:b/>
          <w:color w:val="auto"/>
          <w:sz w:val="24"/>
          <w:szCs w:val="24"/>
        </w:rPr>
        <w:t>easurements</w:t>
      </w:r>
      <w:r w:rsidR="005D3664">
        <w:rPr>
          <w:rFonts w:ascii="Times New Roman" w:hAnsi="Times New Roman" w:cs="Times New Roman"/>
          <w:b/>
          <w:color w:val="auto"/>
          <w:sz w:val="24"/>
          <w:szCs w:val="24"/>
        </w:rPr>
        <w:t xml:space="preserve"> and Analyses</w:t>
      </w:r>
    </w:p>
    <w:p w14:paraId="4423A1DF" w14:textId="77777777" w:rsidR="008D51FE" w:rsidRPr="008D51FE" w:rsidRDefault="008D51FE" w:rsidP="003037E0">
      <w:pPr>
        <w:pStyle w:val="berschrift1"/>
        <w:keepNext w:val="0"/>
        <w:keepLines w:val="0"/>
        <w:spacing w:after="120" w:line="276" w:lineRule="auto"/>
        <w:ind w:firstLine="0"/>
        <w:rPr>
          <w:rFonts w:ascii="Times New Roman" w:hAnsi="Times New Roman" w:cs="Times New Roman"/>
          <w:b/>
          <w:color w:val="auto"/>
          <w:sz w:val="24"/>
          <w:szCs w:val="24"/>
        </w:rPr>
      </w:pPr>
      <w:r w:rsidRPr="008D51FE">
        <w:rPr>
          <w:rFonts w:ascii="Times New Roman" w:hAnsi="Times New Roman" w:cs="Times New Roman"/>
          <w:b/>
          <w:color w:val="auto"/>
          <w:sz w:val="24"/>
          <w:szCs w:val="24"/>
        </w:rPr>
        <w:t>Sample Collection</w:t>
      </w:r>
    </w:p>
    <w:p w14:paraId="2605D376" w14:textId="58F1A547" w:rsidR="008D51FE" w:rsidRPr="00877037" w:rsidRDefault="008D51FE" w:rsidP="002203D8">
      <w:pPr>
        <w:pStyle w:val="berschrift1"/>
        <w:keepNext w:val="0"/>
        <w:keepLines w:val="0"/>
        <w:spacing w:before="120" w:after="120" w:line="276" w:lineRule="auto"/>
        <w:ind w:firstLine="0"/>
        <w:jc w:val="both"/>
        <w:rPr>
          <w:rFonts w:ascii="Times New Roman" w:hAnsi="Times New Roman" w:cs="Times New Roman"/>
          <w:b/>
          <w:color w:val="auto"/>
          <w:sz w:val="24"/>
          <w:szCs w:val="24"/>
        </w:rPr>
      </w:pPr>
      <w:r w:rsidRPr="005D3664">
        <w:rPr>
          <w:rFonts w:ascii="Times New Roman" w:hAnsi="Times New Roman" w:cs="Times New Roman"/>
          <w:color w:val="auto"/>
          <w:sz w:val="24"/>
          <w:szCs w:val="24"/>
        </w:rPr>
        <w:t>Blood samples (2.7ml) for determining t</w:t>
      </w:r>
      <w:r w:rsidRPr="005D3664">
        <w:rPr>
          <w:rFonts w:ascii="Times New Roman" w:hAnsi="Times New Roman" w:cs="Times New Roman"/>
          <w:color w:val="auto"/>
          <w:sz w:val="24"/>
          <w:szCs w:val="24"/>
          <w:vertAlign w:val="superscript"/>
        </w:rPr>
        <w:t>6</w:t>
      </w:r>
      <w:r w:rsidRPr="005D3664">
        <w:rPr>
          <w:rFonts w:ascii="Times New Roman" w:hAnsi="Times New Roman" w:cs="Times New Roman"/>
          <w:color w:val="auto"/>
          <w:sz w:val="24"/>
          <w:szCs w:val="24"/>
        </w:rPr>
        <w:t xml:space="preserve">A levels were collected from the arterial blood catheter to the tubes with 3.2% sodium citrate as an anticoagulant. In </w:t>
      </w:r>
      <w:r w:rsidRPr="00877037">
        <w:rPr>
          <w:rFonts w:ascii="Times New Roman" w:hAnsi="Times New Roman" w:cs="Times New Roman"/>
          <w:color w:val="auto"/>
          <w:sz w:val="24"/>
          <w:szCs w:val="24"/>
        </w:rPr>
        <w:t>the group of patients with sepsis samples were collected on days: 0 (day of the ICU admission), 3, 5, 7, and 10 of the ICU stay. In the group of patients undergoing CABG, samples were collected before surgery (time 0), and then at 6, 12, 24, and 48 hours after surgery.</w:t>
      </w:r>
      <w:r w:rsidR="00877037" w:rsidRPr="00877037">
        <w:rPr>
          <w:rFonts w:ascii="Times New Roman" w:hAnsi="Times New Roman" w:cs="Times New Roman"/>
          <w:color w:val="auto"/>
          <w:sz w:val="24"/>
          <w:szCs w:val="24"/>
        </w:rPr>
        <w:t xml:space="preserve"> In polytrauma patients, samples </w:t>
      </w:r>
      <w:r w:rsidR="00877037" w:rsidRPr="00877037">
        <w:rPr>
          <w:rFonts w:ascii="Times New Roman" w:hAnsi="Times New Roman" w:cs="Times New Roman"/>
          <w:bCs/>
          <w:color w:val="auto"/>
          <w:sz w:val="24"/>
          <w:szCs w:val="24"/>
          <w:highlight w:val="white"/>
        </w:rPr>
        <w:t>were collected at admission (day 0), 24h</w:t>
      </w:r>
      <w:r w:rsidR="00877037">
        <w:rPr>
          <w:rFonts w:ascii="Times New Roman" w:hAnsi="Times New Roman" w:cs="Times New Roman"/>
          <w:bCs/>
          <w:color w:val="auto"/>
          <w:sz w:val="24"/>
          <w:szCs w:val="24"/>
          <w:highlight w:val="white"/>
        </w:rPr>
        <w:t>, 48h</w:t>
      </w:r>
      <w:r w:rsidR="00877037" w:rsidRPr="00877037">
        <w:rPr>
          <w:rFonts w:ascii="Times New Roman" w:hAnsi="Times New Roman" w:cs="Times New Roman"/>
          <w:bCs/>
          <w:color w:val="auto"/>
          <w:sz w:val="24"/>
          <w:szCs w:val="24"/>
          <w:highlight w:val="white"/>
        </w:rPr>
        <w:t xml:space="preserve"> and </w:t>
      </w:r>
      <w:r w:rsidR="00877037">
        <w:rPr>
          <w:rFonts w:ascii="Times New Roman" w:hAnsi="Times New Roman" w:cs="Times New Roman"/>
          <w:bCs/>
          <w:color w:val="auto"/>
          <w:sz w:val="24"/>
          <w:szCs w:val="24"/>
          <w:highlight w:val="white"/>
        </w:rPr>
        <w:t>96</w:t>
      </w:r>
      <w:r w:rsidR="00877037" w:rsidRPr="00877037">
        <w:rPr>
          <w:rFonts w:ascii="Times New Roman" w:hAnsi="Times New Roman" w:cs="Times New Roman"/>
          <w:bCs/>
          <w:color w:val="auto"/>
          <w:sz w:val="24"/>
          <w:szCs w:val="24"/>
          <w:highlight w:val="white"/>
        </w:rPr>
        <w:t xml:space="preserve">h post-trauma. </w:t>
      </w:r>
      <w:r w:rsidR="00877037">
        <w:rPr>
          <w:rFonts w:ascii="Times New Roman" w:hAnsi="Times New Roman" w:cs="Times New Roman"/>
          <w:bCs/>
          <w:color w:val="auto"/>
          <w:sz w:val="24"/>
          <w:szCs w:val="24"/>
        </w:rPr>
        <w:t>In all cases, p</w:t>
      </w:r>
      <w:r w:rsidRPr="00877037">
        <w:rPr>
          <w:rFonts w:ascii="Times New Roman" w:hAnsi="Times New Roman" w:cs="Times New Roman"/>
          <w:color w:val="auto"/>
          <w:sz w:val="24"/>
          <w:szCs w:val="24"/>
        </w:rPr>
        <w:t>lasma was obtained by centrifugation of blood at 2000 rpm for</w:t>
      </w:r>
      <w:r w:rsidR="005F3215">
        <w:rPr>
          <w:rFonts w:ascii="Times New Roman" w:hAnsi="Times New Roman" w:cs="Times New Roman"/>
          <w:color w:val="auto"/>
          <w:sz w:val="24"/>
          <w:szCs w:val="24"/>
        </w:rPr>
        <w:t xml:space="preserve"> 1</w:t>
      </w:r>
      <w:r w:rsidRPr="00877037">
        <w:rPr>
          <w:rFonts w:ascii="Times New Roman" w:hAnsi="Times New Roman" w:cs="Times New Roman"/>
          <w:color w:val="auto"/>
          <w:sz w:val="24"/>
          <w:szCs w:val="24"/>
        </w:rPr>
        <w:t>0 minutes. Samples were stored at 70ºC until analysis.</w:t>
      </w:r>
    </w:p>
    <w:p w14:paraId="488E1B7A" w14:textId="77777777" w:rsidR="00E92A09" w:rsidRPr="00E92A09" w:rsidRDefault="00E92A09" w:rsidP="003037E0">
      <w:pPr>
        <w:pStyle w:val="berschrift1"/>
        <w:keepNext w:val="0"/>
        <w:keepLines w:val="0"/>
        <w:spacing w:after="120" w:line="276" w:lineRule="auto"/>
        <w:ind w:firstLine="0"/>
        <w:rPr>
          <w:rFonts w:ascii="Times New Roman" w:hAnsi="Times New Roman" w:cs="Times New Roman"/>
          <w:b/>
          <w:color w:val="auto"/>
          <w:sz w:val="24"/>
          <w:szCs w:val="24"/>
        </w:rPr>
      </w:pPr>
      <w:r w:rsidRPr="00E92A09">
        <w:rPr>
          <w:rFonts w:ascii="Times New Roman" w:hAnsi="Times New Roman" w:cs="Times New Roman"/>
          <w:b/>
          <w:color w:val="auto"/>
          <w:sz w:val="24"/>
          <w:szCs w:val="24"/>
        </w:rPr>
        <w:t>t</w:t>
      </w:r>
      <w:r w:rsidRPr="00E92A09">
        <w:rPr>
          <w:rFonts w:ascii="Times New Roman" w:hAnsi="Times New Roman" w:cs="Times New Roman"/>
          <w:b/>
          <w:color w:val="auto"/>
          <w:sz w:val="24"/>
          <w:szCs w:val="24"/>
          <w:vertAlign w:val="superscript"/>
        </w:rPr>
        <w:t>6</w:t>
      </w:r>
      <w:r w:rsidRPr="00E92A09">
        <w:rPr>
          <w:rFonts w:ascii="Times New Roman" w:hAnsi="Times New Roman" w:cs="Times New Roman"/>
          <w:b/>
          <w:color w:val="auto"/>
          <w:sz w:val="24"/>
          <w:szCs w:val="24"/>
        </w:rPr>
        <w:t>A Analysis</w:t>
      </w:r>
    </w:p>
    <w:p w14:paraId="0EC0E759" w14:textId="29D0ACBF" w:rsidR="00E92A09" w:rsidRPr="005D3664" w:rsidRDefault="00E92A09" w:rsidP="005D3664">
      <w:pPr>
        <w:pStyle w:val="berschrift2"/>
        <w:keepNext w:val="0"/>
        <w:keepLines w:val="0"/>
        <w:shd w:val="clear" w:color="auto" w:fill="FFFFFF"/>
        <w:spacing w:before="120" w:after="240" w:line="276" w:lineRule="auto"/>
        <w:ind w:firstLine="0"/>
        <w:jc w:val="both"/>
        <w:rPr>
          <w:rFonts w:ascii="Times New Roman" w:hAnsi="Times New Roman" w:cs="Times New Roman"/>
          <w:color w:val="auto"/>
          <w:sz w:val="24"/>
          <w:szCs w:val="24"/>
        </w:rPr>
      </w:pPr>
      <w:r w:rsidRPr="00E92A09">
        <w:rPr>
          <w:rFonts w:ascii="Times New Roman" w:hAnsi="Times New Roman" w:cs="Times New Roman"/>
          <w:color w:val="auto"/>
          <w:sz w:val="24"/>
          <w:szCs w:val="24"/>
        </w:rPr>
        <w:t xml:space="preserve">50µL of plasma or serum is used for the assay, 20µL of internal standard (in water) is added, and samples are vortexed. Subsequently, 100µL of acetonitrile is added, samples are vortexed again for precipitation </w:t>
      </w:r>
      <w:proofErr w:type="gramStart"/>
      <w:r w:rsidRPr="00E92A09">
        <w:rPr>
          <w:rFonts w:ascii="Times New Roman" w:hAnsi="Times New Roman" w:cs="Times New Roman"/>
          <w:color w:val="auto"/>
          <w:sz w:val="24"/>
          <w:szCs w:val="24"/>
        </w:rPr>
        <w:t>purposes, and</w:t>
      </w:r>
      <w:proofErr w:type="gramEnd"/>
      <w:r w:rsidRPr="00E92A09">
        <w:rPr>
          <w:rFonts w:ascii="Times New Roman" w:hAnsi="Times New Roman" w:cs="Times New Roman"/>
          <w:color w:val="auto"/>
          <w:sz w:val="24"/>
          <w:szCs w:val="24"/>
        </w:rPr>
        <w:t xml:space="preserve"> centrifuged at approx. 4000 × g for two minutes. Part of the clear supernatant is transferred to autosampler vials and diluted with water. 3 µL are injected into the HPLC-MS/MS system. The mobile phase consists of 0.1% formic acid in water vs. 0.1% formic acid in 90% acetonitrile via gradient </w:t>
      </w:r>
      <w:proofErr w:type="gramStart"/>
      <w:r w:rsidRPr="00E92A09">
        <w:rPr>
          <w:rFonts w:ascii="Times New Roman" w:hAnsi="Times New Roman" w:cs="Times New Roman"/>
          <w:color w:val="auto"/>
          <w:sz w:val="24"/>
          <w:szCs w:val="24"/>
        </w:rPr>
        <w:t>elution</w:t>
      </w:r>
      <w:proofErr w:type="gramEnd"/>
      <w:r w:rsidRPr="00E92A09">
        <w:rPr>
          <w:rFonts w:ascii="Times New Roman" w:hAnsi="Times New Roman" w:cs="Times New Roman"/>
          <w:color w:val="auto"/>
          <w:sz w:val="24"/>
          <w:szCs w:val="24"/>
        </w:rPr>
        <w:t xml:space="preserve">. Column temperature is set at 60°C and the flow rate set at 1 mL/min, where a run lasts for 5.2 minutes. Retention time on a YMC Pro C8 column (3 µm, 100 × 3mm) is 2.6 minutes. A </w:t>
      </w:r>
      <w:proofErr w:type="spellStart"/>
      <w:r w:rsidRPr="00E92A09">
        <w:rPr>
          <w:rFonts w:ascii="Times New Roman" w:hAnsi="Times New Roman" w:cs="Times New Roman"/>
          <w:color w:val="auto"/>
          <w:sz w:val="24"/>
          <w:szCs w:val="24"/>
        </w:rPr>
        <w:t>Xevo</w:t>
      </w:r>
      <w:proofErr w:type="spellEnd"/>
      <w:r w:rsidRPr="00E92A09">
        <w:rPr>
          <w:rFonts w:ascii="Times New Roman" w:hAnsi="Times New Roman" w:cs="Times New Roman"/>
          <w:color w:val="auto"/>
          <w:sz w:val="24"/>
          <w:szCs w:val="24"/>
        </w:rPr>
        <w:t xml:space="preserve"> TQ-XS (Waters Corporation, USA) mass spectrometer was used with a </w:t>
      </w:r>
      <w:proofErr w:type="spellStart"/>
      <w:r w:rsidRPr="00E92A09">
        <w:rPr>
          <w:rFonts w:ascii="Times New Roman" w:hAnsi="Times New Roman" w:cs="Times New Roman"/>
          <w:color w:val="auto"/>
          <w:sz w:val="24"/>
          <w:szCs w:val="24"/>
        </w:rPr>
        <w:t>UNISpray</w:t>
      </w:r>
      <w:proofErr w:type="spellEnd"/>
      <w:r w:rsidRPr="00E92A09">
        <w:rPr>
          <w:rFonts w:ascii="Times New Roman" w:hAnsi="Times New Roman" w:cs="Times New Roman"/>
          <w:color w:val="auto"/>
          <w:sz w:val="24"/>
          <w:szCs w:val="24"/>
        </w:rPr>
        <w:t xml:space="preserve"> ion source in positive ion mode at 600 °C, multiple reaction monitoring (MRM) transitions were 413.3 – 281.0 m/z for the analyte and 418.2 – 286.0 m/z for the internal standard. Calibration range was 5.00 (lower limit of quantification, LLOQ) to 5000ng/</w:t>
      </w:r>
      <w:proofErr w:type="spellStart"/>
      <w:r w:rsidRPr="00E92A09">
        <w:rPr>
          <w:rFonts w:ascii="Times New Roman" w:hAnsi="Times New Roman" w:cs="Times New Roman"/>
          <w:color w:val="auto"/>
          <w:sz w:val="24"/>
          <w:szCs w:val="24"/>
        </w:rPr>
        <w:t>mL.</w:t>
      </w:r>
      <w:proofErr w:type="spellEnd"/>
      <w:r w:rsidRPr="00E92A09">
        <w:rPr>
          <w:rFonts w:ascii="Times New Roman" w:hAnsi="Times New Roman" w:cs="Times New Roman"/>
          <w:color w:val="auto"/>
          <w:sz w:val="24"/>
          <w:szCs w:val="24"/>
        </w:rPr>
        <w:t xml:space="preserve"> Several standard addition samples in plasma (native and native + spiked) were also analyzed to prove correctness of concentration calculations in plasma by a partial validation (precision by the coefficient of variation, CV at three levels with 2.5%, 2.0%, 2.7%) and accuracies for native + spiked with 99.5% and 100.6%. For determination of the assay’s curve fitting, precisions (CV) and accuracies four validation runs were analyzed, each consisting of one set of calibration </w:t>
      </w:r>
      <w:r w:rsidRPr="005D3664">
        <w:rPr>
          <w:rFonts w:ascii="Times New Roman" w:hAnsi="Times New Roman" w:cs="Times New Roman"/>
          <w:color w:val="auto"/>
          <w:sz w:val="24"/>
          <w:szCs w:val="24"/>
        </w:rPr>
        <w:t>standards (Std1 – Std8), one zero (Std0) and one blank sample and five sets of quality control samples at four concentration levels (including at the LLOQ).</w:t>
      </w:r>
    </w:p>
    <w:p w14:paraId="1977F483" w14:textId="77777777" w:rsidR="005D3664" w:rsidRPr="005D3664" w:rsidRDefault="005D3664" w:rsidP="005D3664">
      <w:pPr>
        <w:pStyle w:val="berschrift2"/>
        <w:keepNext w:val="0"/>
        <w:keepLines w:val="0"/>
        <w:spacing w:before="0" w:line="276" w:lineRule="auto"/>
        <w:ind w:firstLine="0"/>
        <w:jc w:val="both"/>
        <w:rPr>
          <w:rFonts w:ascii="Times New Roman" w:hAnsi="Times New Roman" w:cs="Times New Roman"/>
          <w:b/>
          <w:color w:val="auto"/>
          <w:sz w:val="24"/>
          <w:szCs w:val="24"/>
        </w:rPr>
      </w:pPr>
      <w:r w:rsidRPr="005D3664">
        <w:rPr>
          <w:rFonts w:ascii="Times New Roman" w:hAnsi="Times New Roman" w:cs="Times New Roman"/>
          <w:b/>
          <w:color w:val="auto"/>
          <w:sz w:val="24"/>
          <w:szCs w:val="24"/>
        </w:rPr>
        <w:t>PCT analysis</w:t>
      </w:r>
    </w:p>
    <w:p w14:paraId="29EBFB64" w14:textId="27606F37" w:rsidR="005D3664" w:rsidRPr="00A17E34" w:rsidRDefault="005D3664" w:rsidP="005D3664">
      <w:pPr>
        <w:pStyle w:val="berschrift2"/>
        <w:keepNext w:val="0"/>
        <w:keepLines w:val="0"/>
        <w:spacing w:before="120" w:line="276" w:lineRule="auto"/>
        <w:ind w:firstLine="0"/>
        <w:jc w:val="both"/>
        <w:rPr>
          <w:rFonts w:ascii="Times New Roman" w:hAnsi="Times New Roman" w:cs="Times New Roman"/>
          <w:color w:val="auto"/>
          <w:sz w:val="24"/>
          <w:szCs w:val="24"/>
        </w:rPr>
      </w:pPr>
      <w:r w:rsidRPr="00A17E34">
        <w:rPr>
          <w:rFonts w:ascii="Times New Roman" w:hAnsi="Times New Roman" w:cs="Times New Roman"/>
          <w:color w:val="auto"/>
          <w:sz w:val="24"/>
          <w:szCs w:val="24"/>
        </w:rPr>
        <w:t xml:space="preserve">PCT levels </w:t>
      </w:r>
      <w:r w:rsidR="000316F8">
        <w:rPr>
          <w:rFonts w:ascii="Times New Roman" w:hAnsi="Times New Roman" w:cs="Times New Roman"/>
          <w:color w:val="auto"/>
          <w:sz w:val="24"/>
          <w:szCs w:val="24"/>
        </w:rPr>
        <w:t>in patients with sepsis and CABG patients</w:t>
      </w:r>
      <w:r w:rsidRPr="00A17E34">
        <w:rPr>
          <w:rFonts w:ascii="Times New Roman" w:hAnsi="Times New Roman" w:cs="Times New Roman"/>
          <w:color w:val="auto"/>
          <w:sz w:val="24"/>
          <w:szCs w:val="24"/>
        </w:rPr>
        <w:t xml:space="preserve"> </w:t>
      </w:r>
      <w:r w:rsidR="00A17E34" w:rsidRPr="00A17E34">
        <w:rPr>
          <w:rFonts w:ascii="Times New Roman" w:hAnsi="Times New Roman" w:cs="Times New Roman"/>
          <w:color w:val="auto"/>
          <w:sz w:val="24"/>
          <w:szCs w:val="24"/>
        </w:rPr>
        <w:t>were</w:t>
      </w:r>
      <w:r w:rsidRPr="00A17E34">
        <w:rPr>
          <w:rFonts w:ascii="Times New Roman" w:hAnsi="Times New Roman" w:cs="Times New Roman"/>
          <w:color w:val="auto"/>
          <w:sz w:val="24"/>
          <w:szCs w:val="24"/>
        </w:rPr>
        <w:t xml:space="preserve"> performed in the </w:t>
      </w:r>
      <w:r w:rsidR="00A17E34">
        <w:rPr>
          <w:rFonts w:ascii="Times New Roman" w:hAnsi="Times New Roman" w:cs="Times New Roman"/>
          <w:color w:val="auto"/>
          <w:sz w:val="24"/>
          <w:szCs w:val="24"/>
        </w:rPr>
        <w:t xml:space="preserve">certified </w:t>
      </w:r>
      <w:r w:rsidRPr="00A17E34">
        <w:rPr>
          <w:rFonts w:ascii="Times New Roman" w:hAnsi="Times New Roman" w:cs="Times New Roman"/>
          <w:color w:val="auto"/>
          <w:sz w:val="24"/>
          <w:szCs w:val="24"/>
        </w:rPr>
        <w:t>hospital laboratory</w:t>
      </w:r>
      <w:r w:rsidR="00A17E34" w:rsidRPr="00A17E34">
        <w:rPr>
          <w:rFonts w:ascii="Times New Roman" w:hAnsi="Times New Roman" w:cs="Times New Roman"/>
          <w:color w:val="auto"/>
          <w:sz w:val="24"/>
          <w:szCs w:val="24"/>
        </w:rPr>
        <w:t xml:space="preserve"> of the</w:t>
      </w:r>
      <w:r w:rsidRPr="00A17E34">
        <w:rPr>
          <w:rFonts w:ascii="Times New Roman" w:hAnsi="Times New Roman" w:cs="Times New Roman"/>
          <w:color w:val="auto"/>
          <w:sz w:val="24"/>
          <w:szCs w:val="24"/>
        </w:rPr>
        <w:t xml:space="preserve"> </w:t>
      </w:r>
      <w:r w:rsidR="00A17E34">
        <w:rPr>
          <w:rFonts w:ascii="Times New Roman" w:hAnsi="Times New Roman" w:cs="Times New Roman"/>
          <w:color w:val="auto"/>
          <w:sz w:val="24"/>
          <w:szCs w:val="24"/>
        </w:rPr>
        <w:t xml:space="preserve">Wroclaw Medical University, </w:t>
      </w:r>
      <w:r w:rsidR="00A17E34" w:rsidRPr="00A17E34">
        <w:rPr>
          <w:rFonts w:ascii="Times New Roman" w:hAnsi="Times New Roman" w:cs="Times New Roman"/>
          <w:color w:val="auto"/>
          <w:sz w:val="24"/>
          <w:szCs w:val="24"/>
        </w:rPr>
        <w:t>Wroclaw, Poland</w:t>
      </w:r>
      <w:r w:rsidR="000316F8">
        <w:rPr>
          <w:rFonts w:ascii="Times New Roman" w:hAnsi="Times New Roman" w:cs="Times New Roman"/>
          <w:color w:val="auto"/>
          <w:sz w:val="24"/>
          <w:szCs w:val="24"/>
        </w:rPr>
        <w:t xml:space="preserve">. PCT levels in polytrauma patients were </w:t>
      </w:r>
      <w:r w:rsidR="000316F8" w:rsidRPr="00A17E34">
        <w:rPr>
          <w:rFonts w:ascii="Times New Roman" w:hAnsi="Times New Roman" w:cs="Times New Roman"/>
          <w:color w:val="auto"/>
          <w:sz w:val="24"/>
          <w:szCs w:val="24"/>
        </w:rPr>
        <w:t xml:space="preserve">performed in the </w:t>
      </w:r>
      <w:r w:rsidR="000316F8">
        <w:rPr>
          <w:rFonts w:ascii="Times New Roman" w:hAnsi="Times New Roman" w:cs="Times New Roman"/>
          <w:color w:val="auto"/>
          <w:sz w:val="24"/>
          <w:szCs w:val="24"/>
        </w:rPr>
        <w:t xml:space="preserve">certified </w:t>
      </w:r>
      <w:r w:rsidR="000316F8" w:rsidRPr="00A17E34">
        <w:rPr>
          <w:rFonts w:ascii="Times New Roman" w:hAnsi="Times New Roman" w:cs="Times New Roman"/>
          <w:color w:val="auto"/>
          <w:sz w:val="24"/>
          <w:szCs w:val="24"/>
        </w:rPr>
        <w:t>hospital laboratory of the</w:t>
      </w:r>
      <w:r w:rsidR="000316F8">
        <w:rPr>
          <w:rFonts w:ascii="Times New Roman" w:hAnsi="Times New Roman" w:cs="Times New Roman"/>
          <w:color w:val="auto"/>
          <w:sz w:val="24"/>
          <w:szCs w:val="24"/>
        </w:rPr>
        <w:t xml:space="preserve"> AUVA Trauma hospital (</w:t>
      </w:r>
      <w:proofErr w:type="spellStart"/>
      <w:r w:rsidR="000316F8" w:rsidRPr="000316F8">
        <w:rPr>
          <w:rFonts w:ascii="Times New Roman" w:hAnsi="Times New Roman" w:cs="Times New Roman"/>
          <w:color w:val="auto"/>
          <w:sz w:val="24"/>
          <w:szCs w:val="24"/>
        </w:rPr>
        <w:t>Unfallkrankenhaus</w:t>
      </w:r>
      <w:proofErr w:type="spellEnd"/>
      <w:r w:rsidR="000316F8">
        <w:rPr>
          <w:rFonts w:ascii="Times New Roman" w:hAnsi="Times New Roman" w:cs="Times New Roman"/>
          <w:color w:val="auto"/>
          <w:sz w:val="24"/>
          <w:szCs w:val="24"/>
        </w:rPr>
        <w:t>), Salzburg, Austria.</w:t>
      </w:r>
      <w:r w:rsidR="000316F8" w:rsidRPr="00A17E34">
        <w:rPr>
          <w:rFonts w:ascii="Times New Roman" w:hAnsi="Times New Roman" w:cs="Times New Roman"/>
          <w:color w:val="auto"/>
          <w:sz w:val="24"/>
          <w:szCs w:val="24"/>
        </w:rPr>
        <w:t xml:space="preserve"> </w:t>
      </w:r>
      <w:r w:rsidR="000316F8">
        <w:rPr>
          <w:rFonts w:ascii="Times New Roman" w:hAnsi="Times New Roman" w:cs="Times New Roman"/>
          <w:color w:val="auto"/>
          <w:sz w:val="24"/>
          <w:szCs w:val="24"/>
        </w:rPr>
        <w:t>A</w:t>
      </w:r>
      <w:r w:rsidR="00A17E34" w:rsidRPr="00A17E34">
        <w:rPr>
          <w:rFonts w:ascii="Times New Roman" w:hAnsi="Times New Roman" w:cs="Times New Roman"/>
          <w:color w:val="auto"/>
          <w:sz w:val="24"/>
          <w:szCs w:val="24"/>
        </w:rPr>
        <w:t>n automated</w:t>
      </w:r>
      <w:r w:rsidRPr="00A17E34">
        <w:rPr>
          <w:rFonts w:ascii="Times New Roman" w:hAnsi="Times New Roman" w:cs="Times New Roman"/>
          <w:color w:val="auto"/>
          <w:sz w:val="24"/>
          <w:szCs w:val="24"/>
        </w:rPr>
        <w:t xml:space="preserve"> chemiluminescent microparticle immunoassay (ARCHITECT BRAHMS PCT, Abbott, Chicago, IL, USA)</w:t>
      </w:r>
      <w:r w:rsidR="000316F8">
        <w:rPr>
          <w:rFonts w:ascii="Times New Roman" w:hAnsi="Times New Roman" w:cs="Times New Roman"/>
          <w:color w:val="auto"/>
          <w:sz w:val="24"/>
          <w:szCs w:val="24"/>
        </w:rPr>
        <w:t xml:space="preserve"> was used in both locations.</w:t>
      </w:r>
    </w:p>
    <w:p w14:paraId="5D17EED6" w14:textId="77777777" w:rsidR="005D3664" w:rsidRPr="005D3664" w:rsidRDefault="005D3664" w:rsidP="005D3664">
      <w:pPr>
        <w:spacing w:line="276" w:lineRule="auto"/>
        <w:jc w:val="both"/>
      </w:pPr>
    </w:p>
    <w:p w14:paraId="7A327AD4" w14:textId="77777777" w:rsidR="008D51FE" w:rsidRDefault="008D51FE" w:rsidP="005D3664">
      <w:pPr>
        <w:spacing w:line="276" w:lineRule="auto"/>
        <w:ind w:firstLine="0"/>
        <w:jc w:val="both"/>
        <w:rPr>
          <w:b/>
        </w:rPr>
      </w:pPr>
    </w:p>
    <w:p w14:paraId="7D9F1737" w14:textId="77777777" w:rsidR="008D51FE" w:rsidRDefault="008D51FE" w:rsidP="005D3664">
      <w:pPr>
        <w:spacing w:line="276" w:lineRule="auto"/>
        <w:ind w:firstLine="0"/>
        <w:jc w:val="both"/>
        <w:rPr>
          <w:b/>
        </w:rPr>
      </w:pPr>
    </w:p>
    <w:p w14:paraId="5B4A9117" w14:textId="77777777" w:rsidR="008D51FE" w:rsidRDefault="008D51FE" w:rsidP="005D3664">
      <w:pPr>
        <w:spacing w:line="276" w:lineRule="auto"/>
        <w:ind w:firstLine="0"/>
        <w:jc w:val="both"/>
        <w:rPr>
          <w:b/>
        </w:rPr>
      </w:pPr>
    </w:p>
    <w:p w14:paraId="56ACFFCA" w14:textId="77777777" w:rsidR="005D3664" w:rsidRPr="005D3664" w:rsidRDefault="005D3664" w:rsidP="005D3664">
      <w:pPr>
        <w:spacing w:line="276" w:lineRule="auto"/>
        <w:ind w:firstLine="0"/>
        <w:jc w:val="both"/>
        <w:rPr>
          <w:b/>
        </w:rPr>
      </w:pPr>
      <w:r w:rsidRPr="005D3664">
        <w:rPr>
          <w:b/>
        </w:rPr>
        <w:t>Statistical Analyses of Animal Data</w:t>
      </w:r>
    </w:p>
    <w:p w14:paraId="45DDB975" w14:textId="77777777" w:rsidR="005D3664" w:rsidRDefault="005D3664" w:rsidP="005D3664">
      <w:pPr>
        <w:spacing w:before="120" w:line="276" w:lineRule="auto"/>
        <w:ind w:firstLine="0"/>
        <w:jc w:val="both"/>
      </w:pPr>
      <w:r>
        <w:t xml:space="preserve">Pharmacokinetic analysis of the mouse, pig and baboon data was performed in Phoenix </w:t>
      </w:r>
      <w:proofErr w:type="spellStart"/>
      <w:r>
        <w:t>WinNonlin</w:t>
      </w:r>
      <w:proofErr w:type="spellEnd"/>
      <w:r>
        <w:t xml:space="preserve"> </w:t>
      </w:r>
      <w:r>
        <w:rPr>
          <w:highlight w:val="white"/>
        </w:rPr>
        <w:t>8.4.0</w:t>
      </w:r>
      <w:r>
        <w:t xml:space="preserve"> (</w:t>
      </w:r>
      <w:r>
        <w:rPr>
          <w:highlight w:val="white"/>
        </w:rPr>
        <w:t>Certara USA, Inc. 2023, Princeton, NJ, USA</w:t>
      </w:r>
      <w:r>
        <w:t xml:space="preserve">). The AUC of the mouse data was calculated by the linear-up / logarithmic-down trapezoidal method and the Area Under the Effect Curve (AUEC) of the baboon data by the linear trapezoidal. AUC-, </w:t>
      </w:r>
      <w:proofErr w:type="spellStart"/>
      <w:r>
        <w:t>C</w:t>
      </w:r>
      <w:r>
        <w:rPr>
          <w:vertAlign w:val="subscript"/>
        </w:rPr>
        <w:t>max</w:t>
      </w:r>
      <w:proofErr w:type="spellEnd"/>
      <w:r>
        <w:t>-, and AUEC-values were log</w:t>
      </w:r>
      <w:r>
        <w:rPr>
          <w:i/>
          <w:vertAlign w:val="subscript"/>
        </w:rPr>
        <w:t>e</w:t>
      </w:r>
      <w:r>
        <w:t>-transformed before comparisons. AUCs as well as the maximum concentrations (</w:t>
      </w:r>
      <w:proofErr w:type="spellStart"/>
      <w:r>
        <w:t>C</w:t>
      </w:r>
      <w:r>
        <w:rPr>
          <w:vertAlign w:val="subscript"/>
        </w:rPr>
        <w:t>max</w:t>
      </w:r>
      <w:proofErr w:type="spellEnd"/>
      <w:r>
        <w:t>) of sexes of the mouse groups and AUECs of baboon groups were compared by the 95% CI based on the two-sided Welch-Satterthwaite test adjusting for unequal sample sizes and variances.</w:t>
      </w:r>
    </w:p>
    <w:p w14:paraId="66208582" w14:textId="77777777" w:rsidR="005D3664" w:rsidRDefault="005D3664" w:rsidP="00E92A09"/>
    <w:p w14:paraId="08AEBB6D" w14:textId="77777777" w:rsidR="00E92A09" w:rsidRPr="00E92A09" w:rsidRDefault="00E92A09" w:rsidP="00E92A09">
      <w:pPr>
        <w:ind w:firstLine="0"/>
      </w:pPr>
    </w:p>
    <w:p w14:paraId="3258E6FE" w14:textId="77777777" w:rsidR="00E92A09" w:rsidRDefault="00E92A09" w:rsidP="00E92A09">
      <w:pPr>
        <w:spacing w:before="120" w:after="120" w:line="276" w:lineRule="auto"/>
        <w:ind w:firstLine="0"/>
        <w:jc w:val="both"/>
        <w:rPr>
          <w:b/>
          <w:color w:val="212121"/>
          <w:highlight w:val="white"/>
        </w:rPr>
      </w:pPr>
    </w:p>
    <w:p w14:paraId="17A26010" w14:textId="77777777" w:rsidR="003037E0" w:rsidRDefault="003037E0">
      <w:pPr>
        <w:spacing w:after="160" w:line="259" w:lineRule="auto"/>
        <w:ind w:firstLine="0"/>
        <w:rPr>
          <w:b/>
          <w:color w:val="212121"/>
          <w:highlight w:val="white"/>
        </w:rPr>
      </w:pPr>
      <w:r>
        <w:rPr>
          <w:b/>
          <w:color w:val="212121"/>
          <w:highlight w:val="white"/>
        </w:rPr>
        <w:br w:type="page"/>
      </w:r>
    </w:p>
    <w:p w14:paraId="4B4C0BB8" w14:textId="77777777" w:rsidR="00E92A09" w:rsidRPr="00E92A09" w:rsidRDefault="00E92A09" w:rsidP="00E92A09">
      <w:pPr>
        <w:spacing w:before="120" w:after="120" w:line="276" w:lineRule="auto"/>
        <w:ind w:firstLine="0"/>
        <w:jc w:val="both"/>
        <w:rPr>
          <w:b/>
          <w:color w:val="212121"/>
          <w:highlight w:val="white"/>
        </w:rPr>
      </w:pPr>
      <w:r w:rsidRPr="00E92A09">
        <w:rPr>
          <w:b/>
          <w:color w:val="212121"/>
          <w:highlight w:val="white"/>
        </w:rPr>
        <w:lastRenderedPageBreak/>
        <w:t>Animal Experiments</w:t>
      </w:r>
    </w:p>
    <w:p w14:paraId="3F6A7DBE" w14:textId="77777777" w:rsidR="00E92A09" w:rsidRDefault="00E92A09" w:rsidP="00E92A09">
      <w:pPr>
        <w:spacing w:before="120" w:after="120" w:line="276" w:lineRule="auto"/>
        <w:ind w:firstLine="0"/>
        <w:jc w:val="both"/>
        <w:rPr>
          <w:b/>
        </w:rPr>
      </w:pPr>
      <w:r>
        <w:rPr>
          <w:color w:val="212121"/>
          <w:highlight w:val="white"/>
        </w:rPr>
        <w:t>All animal experiments from which samples for t</w:t>
      </w:r>
      <w:r w:rsidRPr="005F3215">
        <w:rPr>
          <w:color w:val="212121"/>
          <w:highlight w:val="white"/>
          <w:vertAlign w:val="superscript"/>
        </w:rPr>
        <w:t>6</w:t>
      </w:r>
      <w:r>
        <w:rPr>
          <w:color w:val="212121"/>
          <w:highlight w:val="white"/>
        </w:rPr>
        <w:t xml:space="preserve">A were </w:t>
      </w:r>
      <w:proofErr w:type="gramStart"/>
      <w:r>
        <w:rPr>
          <w:color w:val="212121"/>
          <w:highlight w:val="white"/>
        </w:rPr>
        <w:t>obtained,</w:t>
      </w:r>
      <w:proofErr w:type="gramEnd"/>
      <w:r>
        <w:rPr>
          <w:color w:val="212121"/>
          <w:highlight w:val="white"/>
        </w:rPr>
        <w:t xml:space="preserve"> met/exceeded the conditions described in the Guide for the Care and Use of Laboratory Animals as defined by the National Institutes of Health. All respective </w:t>
      </w:r>
      <w:proofErr w:type="gramStart"/>
      <w:r>
        <w:rPr>
          <w:color w:val="212121"/>
          <w:highlight w:val="white"/>
        </w:rPr>
        <w:t>approval</w:t>
      </w:r>
      <w:proofErr w:type="gramEnd"/>
      <w:r>
        <w:rPr>
          <w:color w:val="212121"/>
          <w:highlight w:val="white"/>
        </w:rPr>
        <w:t xml:space="preserve"> by the Institutional Animal Care and Use Committees</w:t>
      </w:r>
      <w:r>
        <w:rPr>
          <w:color w:val="212121"/>
        </w:rPr>
        <w:t xml:space="preserve"> are listed below.</w:t>
      </w:r>
    </w:p>
    <w:p w14:paraId="7366AB13" w14:textId="77777777" w:rsidR="009B7826" w:rsidRDefault="009B7826" w:rsidP="003037E0">
      <w:pPr>
        <w:spacing w:before="240" w:after="120" w:line="276" w:lineRule="auto"/>
        <w:ind w:firstLine="0"/>
        <w:jc w:val="both"/>
        <w:rPr>
          <w:b/>
        </w:rPr>
      </w:pPr>
      <w:r>
        <w:rPr>
          <w:b/>
        </w:rPr>
        <w:t>Mouse Model of Sepsis</w:t>
      </w:r>
    </w:p>
    <w:p w14:paraId="44BDFBED" w14:textId="6E78CC69" w:rsidR="009B7826" w:rsidRDefault="009B7826" w:rsidP="00E92A09">
      <w:pPr>
        <w:spacing w:before="120" w:after="120" w:line="276" w:lineRule="auto"/>
        <w:ind w:firstLine="0"/>
        <w:jc w:val="both"/>
      </w:pPr>
      <w:r>
        <w:t>The Supplementary Figure 5 data were obtained from samples originating from another mouse study</w:t>
      </w:r>
      <w:r w:rsidR="005F3215">
        <w:t xml:space="preserve"> (1)</w:t>
      </w:r>
      <w:r>
        <w:rPr>
          <w:b/>
        </w:rPr>
        <w:t xml:space="preserve"> </w:t>
      </w:r>
      <w:r>
        <w:t>performed in LBI Traumatology, Vienna, Austria.</w:t>
      </w:r>
      <w:r>
        <w:rPr>
          <w:b/>
        </w:rPr>
        <w:t xml:space="preserve"> </w:t>
      </w:r>
      <w:r>
        <w:t>Three- to six-month-old wild-type CD-1 mice (</w:t>
      </w:r>
      <w:r w:rsidR="00D10327" w:rsidRPr="00D10327">
        <w:rPr>
          <w:i/>
        </w:rPr>
        <w:t>Mus musculus,</w:t>
      </w:r>
      <w:r w:rsidR="00D10327">
        <w:t xml:space="preserve"> </w:t>
      </w:r>
      <w:r>
        <w:rPr>
          <w:color w:val="333333"/>
        </w:rPr>
        <w:t>Harlan Laboratories Ltd.</w:t>
      </w:r>
      <w:r>
        <w:t xml:space="preserve">) of both sexes were kept at 22–24°C with a 12h/12h light/dark cycle. The CLP study was approved by the Viennese legislative committee and was performed in strict accordance with guidelines for animal care and welfare (Animal Use Proposal Permission no: 343130/2013/14). This study followed both ARRIVE and </w:t>
      </w:r>
      <w:proofErr w:type="spellStart"/>
      <w:r>
        <w:t>MQTiPSS</w:t>
      </w:r>
      <w:proofErr w:type="spellEnd"/>
      <w:r>
        <w:t xml:space="preserve"> guidelines. </w:t>
      </w:r>
      <w:r>
        <w:rPr>
          <w:color w:val="212121"/>
          <w:highlight w:val="white"/>
        </w:rPr>
        <w:t xml:space="preserve">In brief, </w:t>
      </w:r>
      <w:r>
        <w:t>the CLP surgery was performed under isoflurane anesthesia with perioperative buprenorphine (0.05 mg kg</w:t>
      </w:r>
      <w:r>
        <w:rPr>
          <w:vertAlign w:val="superscript"/>
        </w:rPr>
        <w:t>-1</w:t>
      </w:r>
      <w:r>
        <w:t>) in 1 ml of Ringer’s solution (detailed CLP protocol here</w:t>
      </w:r>
      <w:r w:rsidR="005F3215">
        <w:t xml:space="preserve"> (2)</w:t>
      </w:r>
      <w:r>
        <w:t xml:space="preserve">). Starting with CLP, all mice received continuous analgesic treatment (0.05 mg/kg buprenorphine) every 6–8 h. All mice were monitored for clinical signs of illness and their status was evaluated using our modified mouse </w:t>
      </w:r>
      <w:proofErr w:type="gramStart"/>
      <w:r>
        <w:t>clinical assessment</w:t>
      </w:r>
      <w:proofErr w:type="gramEnd"/>
      <w:r>
        <w:t xml:space="preserve"> scoring system (M-</w:t>
      </w:r>
      <w:proofErr w:type="gramStart"/>
      <w:r>
        <w:t>CASS;</w:t>
      </w:r>
      <w:proofErr w:type="gramEnd"/>
      <w:r>
        <w:t xml:space="preserve"> relying on body temperature, fur appearance, posture, mobility, alertness, startle, and righting reflex). starting 12h post-CLP</w:t>
      </w:r>
      <w:r w:rsidR="005F3215">
        <w:rPr>
          <w:color w:val="000000"/>
          <w:vertAlign w:val="superscript"/>
        </w:rPr>
        <w:t xml:space="preserve"> </w:t>
      </w:r>
      <w:r w:rsidR="005F3215">
        <w:t>(3)</w:t>
      </w:r>
      <w:r>
        <w:t xml:space="preserve">. Approximately 20 </w:t>
      </w:r>
      <w:proofErr w:type="spellStart"/>
      <w:r>
        <w:t>μL</w:t>
      </w:r>
      <w:proofErr w:type="spellEnd"/>
      <w:r>
        <w:t xml:space="preserve"> of blood was collected via facial vein puncture from each animal as previously described</w:t>
      </w:r>
      <w:r w:rsidR="005F3215">
        <w:t xml:space="preserve"> (4)</w:t>
      </w:r>
      <w:r>
        <w:t xml:space="preserve">, 24h before CLP (baseline), as well as 6 h, 24 h, and 48 h after CLP. The whole blood underwent centrifugation </w:t>
      </w:r>
      <w:r>
        <w:rPr>
          <w:color w:val="212121"/>
          <w:highlight w:val="white"/>
        </w:rPr>
        <w:t>(1,000</w:t>
      </w:r>
      <w:r>
        <w:rPr>
          <w:i/>
          <w:color w:val="212121"/>
          <w:highlight w:val="white"/>
        </w:rPr>
        <w:t>g</w:t>
      </w:r>
      <w:r>
        <w:rPr>
          <w:color w:val="212121"/>
          <w:highlight w:val="white"/>
        </w:rPr>
        <w:t xml:space="preserve">, 5min, 22°C) and plasma was stored in -80°C until </w:t>
      </w:r>
      <w:r>
        <w:t>t</w:t>
      </w:r>
      <w:r>
        <w:rPr>
          <w:vertAlign w:val="superscript"/>
        </w:rPr>
        <w:t>6</w:t>
      </w:r>
      <w:r>
        <w:t>A</w:t>
      </w:r>
      <w:r>
        <w:rPr>
          <w:color w:val="212121"/>
          <w:highlight w:val="white"/>
        </w:rPr>
        <w:t xml:space="preserve"> analysis.</w:t>
      </w:r>
    </w:p>
    <w:p w14:paraId="47768F09" w14:textId="77777777" w:rsidR="009B7826" w:rsidRDefault="009B7826" w:rsidP="003037E0">
      <w:pPr>
        <w:spacing w:before="240" w:after="120" w:line="276" w:lineRule="auto"/>
        <w:ind w:firstLine="0"/>
        <w:jc w:val="both"/>
        <w:rPr>
          <w:b/>
        </w:rPr>
      </w:pPr>
      <w:r>
        <w:rPr>
          <w:b/>
        </w:rPr>
        <w:t>Pig Model of Liver Abrasion and Hemorrhage</w:t>
      </w:r>
    </w:p>
    <w:p w14:paraId="2A5A213D" w14:textId="4824089D" w:rsidR="009B7826" w:rsidRDefault="009B7826" w:rsidP="00E92A09">
      <w:pPr>
        <w:spacing w:before="120" w:after="120" w:line="276" w:lineRule="auto"/>
        <w:ind w:firstLine="0"/>
        <w:jc w:val="both"/>
        <w:rPr>
          <w:b/>
        </w:rPr>
      </w:pPr>
      <w:r>
        <w:t>The Supplementary Figure 6A data were obtained from samples originating from another pig study</w:t>
      </w:r>
      <w:r w:rsidR="002C3FA1">
        <w:t xml:space="preserve"> (5) </w:t>
      </w:r>
      <w:r>
        <w:t xml:space="preserve">performed in LBI Traumatology, Vienna, Austria (Animal Use Proposal Permission no: 434320/2020/25). </w:t>
      </w:r>
      <w:r>
        <w:rPr>
          <w:color w:val="212121"/>
          <w:highlight w:val="white"/>
        </w:rPr>
        <w:t xml:space="preserve">In brief, </w:t>
      </w:r>
      <w:r>
        <w:t xml:space="preserve">eight male pigs </w:t>
      </w:r>
      <w:r w:rsidR="00D10327">
        <w:t>(</w:t>
      </w:r>
      <w:r w:rsidR="00D10327" w:rsidRPr="00D10327">
        <w:rPr>
          <w:i/>
        </w:rPr>
        <w:t>Sus scrofa</w:t>
      </w:r>
      <w:r w:rsidR="00D10327">
        <w:t xml:space="preserve">) </w:t>
      </w:r>
      <w:r>
        <w:t>weighing approximately 35kg each were premedicated with a combination of tiletamine and zolazepam intramuscularly, followed by inhalation anesthesia with isoflurane. Carotid artery and jugular vein, these vessels were cannulated for blood pressure monitoring and intravenous access. A median laparotomy was performed, the liver exposed and circular lesions of about 1.8 cm in diameter and 2 mm in depth were created on the liver surface using a grinding disc to cause a moderate-level bleeding according to the validated intraoperative bleeding scale (</w:t>
      </w:r>
      <w:proofErr w:type="spellStart"/>
      <w:r>
        <w:t>VIBe</w:t>
      </w:r>
      <w:proofErr w:type="spellEnd"/>
      <w:r>
        <w:t xml:space="preserve"> SCALE) not exceeding 10 ml/min. Hydroxyethyl starch (</w:t>
      </w:r>
      <w:proofErr w:type="spellStart"/>
      <w:r>
        <w:t>Voluven</w:t>
      </w:r>
      <w:proofErr w:type="spellEnd"/>
      <w:r>
        <w:t>; Fresenius Kabi, Graz, Austria; 10mL/kg/h) and Norepinephrine (</w:t>
      </w:r>
      <w:proofErr w:type="spellStart"/>
      <w:r>
        <w:t>Arterenol</w:t>
      </w:r>
      <w:proofErr w:type="spellEnd"/>
      <w:r>
        <w:t xml:space="preserve">; Sanofi Aventis, Frankfurt, Germany; 5μg/kg/h) were administered to maintain the mean arterial blood pressure not lower than 70mmHg. Venous blood samples were collected after cannulation and prior to the laparotomy (control) and after approximately 8 hours after the liver abrasion/hemorrhage was initiated (trauma). The whole blood underwent centrifugation </w:t>
      </w:r>
      <w:r>
        <w:rPr>
          <w:color w:val="212121"/>
          <w:highlight w:val="white"/>
        </w:rPr>
        <w:t xml:space="preserve">(1,000 </w:t>
      </w:r>
      <w:r>
        <w:rPr>
          <w:i/>
          <w:color w:val="212121"/>
          <w:highlight w:val="white"/>
        </w:rPr>
        <w:t>g</w:t>
      </w:r>
      <w:r>
        <w:rPr>
          <w:color w:val="212121"/>
          <w:highlight w:val="white"/>
        </w:rPr>
        <w:t xml:space="preserve">, </w:t>
      </w:r>
      <w:r>
        <w:rPr>
          <w:color w:val="212121"/>
          <w:highlight w:val="white"/>
        </w:rPr>
        <w:lastRenderedPageBreak/>
        <w:t xml:space="preserve">5min, 22°C) and plasma was used for </w:t>
      </w:r>
      <w:r>
        <w:t>t</w:t>
      </w:r>
      <w:r>
        <w:rPr>
          <w:vertAlign w:val="superscript"/>
        </w:rPr>
        <w:t>6</w:t>
      </w:r>
      <w:r>
        <w:t>A</w:t>
      </w:r>
      <w:r>
        <w:rPr>
          <w:color w:val="212121"/>
          <w:highlight w:val="white"/>
        </w:rPr>
        <w:t xml:space="preserve"> analysis. Statistical approach is defined in the Statistical Analyses section of the main paper.</w:t>
      </w:r>
    </w:p>
    <w:p w14:paraId="5EB9FA40" w14:textId="77777777" w:rsidR="009B7826" w:rsidRDefault="009B7826" w:rsidP="003037E0">
      <w:pPr>
        <w:spacing w:before="240" w:after="120" w:line="276" w:lineRule="auto"/>
        <w:ind w:firstLine="0"/>
        <w:jc w:val="both"/>
        <w:rPr>
          <w:b/>
        </w:rPr>
      </w:pPr>
      <w:r>
        <w:rPr>
          <w:b/>
        </w:rPr>
        <w:t>Baboon Model of Septic Shock</w:t>
      </w:r>
    </w:p>
    <w:p w14:paraId="1FC241F8" w14:textId="6F88DDB9" w:rsidR="009B7826" w:rsidRDefault="009B7826" w:rsidP="00E92A09">
      <w:pPr>
        <w:spacing w:before="120" w:after="120" w:line="276" w:lineRule="auto"/>
        <w:ind w:firstLine="0"/>
        <w:jc w:val="both"/>
        <w:rPr>
          <w:color w:val="212121"/>
        </w:rPr>
      </w:pPr>
      <w:r>
        <w:t>The Figure 4 data were obtained from samples originating from another non-human primate study</w:t>
      </w:r>
      <w:r w:rsidR="002C3FA1">
        <w:t xml:space="preserve"> (6) </w:t>
      </w:r>
      <w:r>
        <w:t xml:space="preserve">performed at the </w:t>
      </w:r>
      <w:r>
        <w:rPr>
          <w:color w:val="212121"/>
          <w:highlight w:val="white"/>
        </w:rPr>
        <w:t>Free State University Bloemfontein, South Africa</w:t>
      </w:r>
      <w:r>
        <w:t xml:space="preserve">. </w:t>
      </w:r>
      <w:r>
        <w:rPr>
          <w:color w:val="212121"/>
          <w:highlight w:val="white"/>
        </w:rPr>
        <w:t xml:space="preserve">The study was approved by the Institutional Animal Care </w:t>
      </w:r>
      <w:proofErr w:type="gramStart"/>
      <w:r>
        <w:rPr>
          <w:color w:val="212121"/>
          <w:highlight w:val="white"/>
        </w:rPr>
        <w:t>use</w:t>
      </w:r>
      <w:proofErr w:type="gramEnd"/>
      <w:r>
        <w:rPr>
          <w:color w:val="212121"/>
          <w:highlight w:val="white"/>
        </w:rPr>
        <w:t xml:space="preserve"> Committee at Free State University Bloemfontein, South Africa (</w:t>
      </w:r>
      <w:r>
        <w:t xml:space="preserve">Animal Use Proposal Permission no: </w:t>
      </w:r>
      <w:r>
        <w:rPr>
          <w:color w:val="212121"/>
          <w:highlight w:val="white"/>
        </w:rPr>
        <w:t xml:space="preserve">03/2010). All experiments were performed under the conditions described in the Guide for the Care and Use of Laboratory Animals as defined by the US National Institutes of Health. In brief, twenty-two </w:t>
      </w:r>
      <w:proofErr w:type="gramStart"/>
      <w:r>
        <w:rPr>
          <w:color w:val="212121"/>
          <w:highlight w:val="white"/>
        </w:rPr>
        <w:t>3-10 year-old</w:t>
      </w:r>
      <w:proofErr w:type="gramEnd"/>
      <w:r>
        <w:rPr>
          <w:color w:val="212121"/>
          <w:highlight w:val="white"/>
        </w:rPr>
        <w:t xml:space="preserve"> healthy male Chacma baboons (</w:t>
      </w:r>
      <w:r>
        <w:rPr>
          <w:i/>
          <w:color w:val="212121"/>
          <w:highlight w:val="white"/>
        </w:rPr>
        <w:t>Papio ursinus)</w:t>
      </w:r>
      <w:r>
        <w:rPr>
          <w:color w:val="212121"/>
          <w:highlight w:val="white"/>
        </w:rPr>
        <w:t xml:space="preserve"> with a median weight of 18.1 (16.5–22.3) kg were premedicated with ketamine hydrochloride and pentobarbital, intubated and kept under continuous anesthesia with </w:t>
      </w:r>
      <w:r>
        <w:t xml:space="preserve">infusion 0.8 mg/kg/h sodium pentobarbital, 0.8μg/kg/h, </w:t>
      </w:r>
      <w:proofErr w:type="spellStart"/>
      <w:r>
        <w:t>sufentanil</w:t>
      </w:r>
      <w:proofErr w:type="spellEnd"/>
      <w:r>
        <w:t xml:space="preserve"> and 1 mg/kg/h rocuronium. Baboons were ventilated using a tidal volume of 6–8ml/kg and a respiratory rate of 18–20 breaths/minute maintaining an arterial pressure of CO</w:t>
      </w:r>
      <w:r>
        <w:rPr>
          <w:vertAlign w:val="subscript"/>
        </w:rPr>
        <w:t>2</w:t>
      </w:r>
      <w:r>
        <w:t xml:space="preserve"> at 35–45mmHg. Septic was induced by 5 × 10</w:t>
      </w:r>
      <w:r>
        <w:rPr>
          <w:vertAlign w:val="superscript"/>
        </w:rPr>
        <w:t>6</w:t>
      </w:r>
      <w:r>
        <w:t xml:space="preserve"> colony-forming units (CFU)/kg </w:t>
      </w:r>
      <w:r>
        <w:rPr>
          <w:i/>
        </w:rPr>
        <w:t>E. coli</w:t>
      </w:r>
      <w:r>
        <w:t xml:space="preserve"> O111:K58(B4):H-(ATCC 33780) infused intravenously over a 2h period via a motor-pump. Ringer’s solution and/or noradrenalin were infused to maintain the mean arterial blood pressure (MAP) at &gt;70 mmHg and CVP and PAOP at &gt;5mmHg. Antibiotics were not used. Fifteen minutes after completion of the </w:t>
      </w:r>
      <w:proofErr w:type="gramStart"/>
      <w:r>
        <w:rPr>
          <w:i/>
        </w:rPr>
        <w:t>E.coli</w:t>
      </w:r>
      <w:proofErr w:type="gramEnd"/>
      <w:r>
        <w:t xml:space="preserve"> infusion, animals were randomized into three groups to receive a crystalloid solution as vehicle (control; n = 8), low-dose SATI (n = 8) and high-dose SATI (n = 6).  </w:t>
      </w:r>
      <w:r>
        <w:rPr>
          <w:color w:val="212121"/>
          <w:highlight w:val="white"/>
        </w:rPr>
        <w:t>Blood samples were collected at baseline, after 1h, 2h, every 2h within the first 8h and every 4h until 24h (the end of the experiment). Blood was centrifuged at (2000</w:t>
      </w:r>
      <w:r>
        <w:rPr>
          <w:i/>
          <w:color w:val="212121"/>
          <w:highlight w:val="white"/>
        </w:rPr>
        <w:t xml:space="preserve">g, </w:t>
      </w:r>
      <w:r>
        <w:rPr>
          <w:color w:val="212121"/>
          <w:highlight w:val="white"/>
        </w:rPr>
        <w:t xml:space="preserve">10min, 22°C) and plasma was stored in -80°C until </w:t>
      </w:r>
      <w:r>
        <w:t>t</w:t>
      </w:r>
      <w:r>
        <w:rPr>
          <w:vertAlign w:val="superscript"/>
        </w:rPr>
        <w:t>6</w:t>
      </w:r>
      <w:r>
        <w:t>A</w:t>
      </w:r>
      <w:r>
        <w:rPr>
          <w:color w:val="212121"/>
          <w:highlight w:val="white"/>
        </w:rPr>
        <w:t xml:space="preserve"> analysis. Statistical approach is defined in the Statistical Analyses section of the main paper.</w:t>
      </w:r>
    </w:p>
    <w:p w14:paraId="7A697CF7" w14:textId="77777777" w:rsidR="00BE382D" w:rsidRPr="00BE382D" w:rsidRDefault="00BE382D" w:rsidP="003037E0">
      <w:pPr>
        <w:spacing w:before="240" w:after="120" w:line="276" w:lineRule="auto"/>
        <w:ind w:firstLine="0"/>
        <w:jc w:val="both"/>
        <w:rPr>
          <w:b/>
        </w:rPr>
      </w:pPr>
      <w:r w:rsidRPr="00BE382D">
        <w:rPr>
          <w:b/>
        </w:rPr>
        <w:t>Normative Values in Healthy Animals</w:t>
      </w:r>
    </w:p>
    <w:p w14:paraId="3BEC0093" w14:textId="77777777" w:rsidR="00BE382D" w:rsidRPr="00E92A09" w:rsidRDefault="00BE382D" w:rsidP="00E92A09">
      <w:pPr>
        <w:pStyle w:val="berschrift1"/>
        <w:keepNext w:val="0"/>
        <w:keepLines w:val="0"/>
        <w:spacing w:before="120" w:after="120" w:line="276" w:lineRule="auto"/>
        <w:ind w:firstLine="0"/>
        <w:jc w:val="both"/>
        <w:rPr>
          <w:rFonts w:ascii="Times New Roman" w:hAnsi="Times New Roman" w:cs="Times New Roman"/>
          <w:color w:val="auto"/>
          <w:sz w:val="24"/>
          <w:szCs w:val="24"/>
          <w:highlight w:val="white"/>
        </w:rPr>
      </w:pPr>
      <w:r w:rsidRPr="00BE382D">
        <w:rPr>
          <w:rFonts w:ascii="Times New Roman" w:hAnsi="Times New Roman" w:cs="Times New Roman"/>
          <w:color w:val="auto"/>
          <w:sz w:val="24"/>
          <w:szCs w:val="24"/>
          <w:highlight w:val="white"/>
        </w:rPr>
        <w:t>Additionally, t</w:t>
      </w:r>
      <w:r w:rsidRPr="00BE382D">
        <w:rPr>
          <w:rFonts w:ascii="Times New Roman" w:hAnsi="Times New Roman" w:cs="Times New Roman"/>
          <w:color w:val="auto"/>
          <w:sz w:val="24"/>
          <w:szCs w:val="24"/>
          <w:highlight w:val="white"/>
          <w:vertAlign w:val="superscript"/>
        </w:rPr>
        <w:t>6</w:t>
      </w:r>
      <w:r w:rsidRPr="00BE382D">
        <w:rPr>
          <w:rFonts w:ascii="Times New Roman" w:hAnsi="Times New Roman" w:cs="Times New Roman"/>
          <w:color w:val="auto"/>
          <w:sz w:val="24"/>
          <w:szCs w:val="24"/>
          <w:highlight w:val="white"/>
        </w:rPr>
        <w:t xml:space="preserve">A was analyzed in </w:t>
      </w:r>
      <w:proofErr w:type="gramStart"/>
      <w:r w:rsidRPr="00BE382D">
        <w:rPr>
          <w:rFonts w:ascii="Times New Roman" w:hAnsi="Times New Roman" w:cs="Times New Roman"/>
          <w:color w:val="auto"/>
          <w:sz w:val="24"/>
          <w:szCs w:val="24"/>
          <w:highlight w:val="white"/>
        </w:rPr>
        <w:t>the plasma</w:t>
      </w:r>
      <w:proofErr w:type="gramEnd"/>
      <w:r w:rsidRPr="00BE382D">
        <w:rPr>
          <w:rFonts w:ascii="Times New Roman" w:hAnsi="Times New Roman" w:cs="Times New Roman"/>
          <w:color w:val="auto"/>
          <w:sz w:val="24"/>
          <w:szCs w:val="24"/>
          <w:highlight w:val="white"/>
        </w:rPr>
        <w:t>/serum</w:t>
      </w:r>
      <w:r w:rsidRPr="00BE382D">
        <w:rPr>
          <w:rFonts w:ascii="Times New Roman" w:hAnsi="Times New Roman" w:cs="Times New Roman"/>
          <w:color w:val="auto"/>
          <w:sz w:val="24"/>
          <w:szCs w:val="24"/>
        </w:rPr>
        <w:t xml:space="preserve"> </w:t>
      </w:r>
      <w:r w:rsidRPr="00E92A09">
        <w:rPr>
          <w:rFonts w:ascii="Times New Roman" w:hAnsi="Times New Roman" w:cs="Times New Roman"/>
          <w:color w:val="auto"/>
          <w:sz w:val="24"/>
          <w:szCs w:val="24"/>
        </w:rPr>
        <w:t>samples collected from seven healthy species:</w:t>
      </w:r>
      <w:r w:rsidR="00E92A09">
        <w:rPr>
          <w:rFonts w:ascii="Times New Roman" w:hAnsi="Times New Roman" w:cs="Times New Roman"/>
          <w:color w:val="auto"/>
          <w:sz w:val="24"/>
          <w:szCs w:val="24"/>
        </w:rPr>
        <w:t xml:space="preserve"> </w:t>
      </w:r>
      <w:r w:rsidRPr="00E92A09">
        <w:rPr>
          <w:rFonts w:ascii="Times New Roman" w:hAnsi="Times New Roman" w:cs="Times New Roman"/>
          <w:color w:val="auto"/>
          <w:sz w:val="24"/>
          <w:szCs w:val="24"/>
        </w:rPr>
        <w:t>mouse, rat, rabbit, dog, pig, baboon and human. These samples were part of the approved experiments (as baseline</w:t>
      </w:r>
      <w:r w:rsidR="00E92A09">
        <w:rPr>
          <w:rFonts w:ascii="Times New Roman" w:hAnsi="Times New Roman" w:cs="Times New Roman"/>
          <w:color w:val="auto"/>
          <w:sz w:val="24"/>
          <w:szCs w:val="24"/>
        </w:rPr>
        <w:t>; mouse, rat, rabbit, pig, baboon, human</w:t>
      </w:r>
      <w:r w:rsidRPr="00E92A09">
        <w:rPr>
          <w:rFonts w:ascii="Times New Roman" w:hAnsi="Times New Roman" w:cs="Times New Roman"/>
          <w:color w:val="auto"/>
          <w:sz w:val="24"/>
          <w:szCs w:val="24"/>
        </w:rPr>
        <w:t xml:space="preserve">) or donated free-of-charge </w:t>
      </w:r>
      <w:r w:rsidR="00E92A09" w:rsidRPr="00E92A09">
        <w:rPr>
          <w:rFonts w:ascii="Times New Roman" w:hAnsi="Times New Roman" w:cs="Times New Roman"/>
          <w:color w:val="auto"/>
          <w:sz w:val="24"/>
          <w:szCs w:val="24"/>
        </w:rPr>
        <w:t>(</w:t>
      </w:r>
      <w:r w:rsidR="00E92A09">
        <w:rPr>
          <w:rFonts w:ascii="Times New Roman" w:hAnsi="Times New Roman" w:cs="Times New Roman"/>
          <w:color w:val="auto"/>
          <w:sz w:val="24"/>
          <w:szCs w:val="24"/>
        </w:rPr>
        <w:t>dog</w:t>
      </w:r>
      <w:r w:rsidR="00E92A09" w:rsidRPr="00E92A09">
        <w:rPr>
          <w:rFonts w:ascii="Times New Roman" w:hAnsi="Times New Roman" w:cs="Times New Roman"/>
          <w:color w:val="auto"/>
          <w:sz w:val="24"/>
          <w:szCs w:val="24"/>
        </w:rPr>
        <w:t>) by the Small Animal Ambulance from the University of Veterinary Medicine, Vienna, Austria</w:t>
      </w:r>
      <w:r w:rsidRPr="00E92A09">
        <w:rPr>
          <w:rFonts w:ascii="Times New Roman" w:hAnsi="Times New Roman" w:cs="Times New Roman"/>
          <w:color w:val="auto"/>
          <w:sz w:val="24"/>
          <w:szCs w:val="24"/>
        </w:rPr>
        <w:t>.</w:t>
      </w:r>
    </w:p>
    <w:p w14:paraId="67DED028" w14:textId="77777777" w:rsidR="00833EFC" w:rsidRDefault="00833EFC" w:rsidP="00E92A09">
      <w:pPr>
        <w:spacing w:before="120" w:after="120" w:line="276" w:lineRule="auto"/>
        <w:ind w:firstLine="0"/>
        <w:jc w:val="both"/>
        <w:rPr>
          <w:b/>
          <w:color w:val="0D0D0D"/>
          <w:highlight w:val="white"/>
        </w:rPr>
      </w:pPr>
    </w:p>
    <w:p w14:paraId="69E476AE" w14:textId="77777777" w:rsidR="003037E0" w:rsidRDefault="003037E0">
      <w:pPr>
        <w:spacing w:after="160" w:line="259" w:lineRule="auto"/>
        <w:ind w:firstLine="0"/>
        <w:rPr>
          <w:b/>
        </w:rPr>
      </w:pPr>
      <w:r>
        <w:rPr>
          <w:b/>
        </w:rPr>
        <w:br w:type="page"/>
      </w:r>
    </w:p>
    <w:p w14:paraId="7CA9DD7B" w14:textId="7F9DA339" w:rsidR="009B7826" w:rsidRDefault="009B7826" w:rsidP="009B7826">
      <w:pPr>
        <w:spacing w:before="240" w:after="60"/>
        <w:ind w:firstLine="0"/>
      </w:pPr>
      <w:r>
        <w:rPr>
          <w:b/>
        </w:rPr>
        <w:lastRenderedPageBreak/>
        <w:t>Supplementary Table 1</w:t>
      </w:r>
      <w:r>
        <w:t xml:space="preserve"> </w:t>
      </w:r>
      <w:r w:rsidR="00E30E39">
        <w:t xml:space="preserve">CABG as control: </w:t>
      </w:r>
      <w:r>
        <w:t>Descriptive statistics of biomarkers</w:t>
      </w:r>
    </w:p>
    <w:tbl>
      <w:tblPr>
        <w:tblW w:w="8205" w:type="dxa"/>
        <w:tblBorders>
          <w:top w:val="nil"/>
          <w:left w:val="nil"/>
          <w:bottom w:val="nil"/>
          <w:right w:val="nil"/>
          <w:insideH w:val="nil"/>
          <w:insideV w:val="nil"/>
        </w:tblBorders>
        <w:tblLayout w:type="fixed"/>
        <w:tblLook w:val="0600" w:firstRow="0" w:lastRow="0" w:firstColumn="0" w:lastColumn="0" w:noHBand="1" w:noVBand="1"/>
      </w:tblPr>
      <w:tblGrid>
        <w:gridCol w:w="1350"/>
        <w:gridCol w:w="900"/>
        <w:gridCol w:w="960"/>
        <w:gridCol w:w="1140"/>
        <w:gridCol w:w="975"/>
        <w:gridCol w:w="930"/>
        <w:gridCol w:w="915"/>
        <w:gridCol w:w="1035"/>
      </w:tblGrid>
      <w:tr w:rsidR="009B7826" w14:paraId="2BF04204" w14:textId="77777777" w:rsidTr="002A061A">
        <w:trPr>
          <w:trHeight w:val="360"/>
        </w:trPr>
        <w:tc>
          <w:tcPr>
            <w:tcW w:w="1350" w:type="dxa"/>
            <w:tcBorders>
              <w:top w:val="single" w:sz="12" w:space="0" w:color="000000"/>
              <w:left w:val="nil"/>
              <w:bottom w:val="single" w:sz="12" w:space="0" w:color="000000"/>
              <w:right w:val="nil"/>
            </w:tcBorders>
            <w:tcMar>
              <w:top w:w="0" w:type="dxa"/>
              <w:left w:w="0" w:type="dxa"/>
              <w:bottom w:w="0" w:type="dxa"/>
              <w:right w:w="0" w:type="dxa"/>
            </w:tcMar>
          </w:tcPr>
          <w:p w14:paraId="1BA2A395" w14:textId="77777777" w:rsidR="009B7826" w:rsidRDefault="009B7826" w:rsidP="000420FA">
            <w:pPr>
              <w:spacing w:before="40" w:after="40" w:line="240" w:lineRule="auto"/>
              <w:ind w:left="40" w:right="40" w:firstLine="0"/>
              <w:jc w:val="center"/>
            </w:pPr>
            <w:r>
              <w:t>Cohort</w:t>
            </w:r>
          </w:p>
        </w:tc>
        <w:tc>
          <w:tcPr>
            <w:tcW w:w="900" w:type="dxa"/>
            <w:tcBorders>
              <w:top w:val="single" w:sz="12" w:space="0" w:color="000000"/>
              <w:left w:val="nil"/>
              <w:bottom w:val="single" w:sz="12" w:space="0" w:color="000000"/>
              <w:right w:val="nil"/>
            </w:tcBorders>
            <w:tcMar>
              <w:top w:w="0" w:type="dxa"/>
              <w:left w:w="0" w:type="dxa"/>
              <w:bottom w:w="0" w:type="dxa"/>
              <w:right w:w="0" w:type="dxa"/>
            </w:tcMar>
          </w:tcPr>
          <w:p w14:paraId="496A542F" w14:textId="77777777" w:rsidR="009B7826" w:rsidRDefault="009B7826" w:rsidP="000420FA">
            <w:pPr>
              <w:spacing w:before="40" w:after="40" w:line="240" w:lineRule="auto"/>
              <w:ind w:left="40" w:right="40" w:firstLine="0"/>
              <w:jc w:val="center"/>
            </w:pPr>
            <w:r>
              <w:t>Marker</w:t>
            </w:r>
          </w:p>
        </w:tc>
        <w:tc>
          <w:tcPr>
            <w:tcW w:w="960" w:type="dxa"/>
            <w:tcBorders>
              <w:top w:val="single" w:sz="12" w:space="0" w:color="000000"/>
              <w:left w:val="nil"/>
              <w:bottom w:val="single" w:sz="12" w:space="0" w:color="000000"/>
              <w:right w:val="nil"/>
            </w:tcBorders>
            <w:tcMar>
              <w:top w:w="0" w:type="dxa"/>
              <w:left w:w="0" w:type="dxa"/>
              <w:bottom w:w="0" w:type="dxa"/>
              <w:right w:w="0" w:type="dxa"/>
            </w:tcMar>
          </w:tcPr>
          <w:p w14:paraId="0F2C6CBD" w14:textId="77777777" w:rsidR="009B7826" w:rsidRDefault="009B7826" w:rsidP="000420FA">
            <w:pPr>
              <w:spacing w:before="40" w:after="40" w:line="240" w:lineRule="auto"/>
              <w:ind w:left="40" w:right="40" w:firstLine="0"/>
              <w:jc w:val="center"/>
            </w:pPr>
            <w:r>
              <w:t>Patients</w:t>
            </w:r>
          </w:p>
        </w:tc>
        <w:tc>
          <w:tcPr>
            <w:tcW w:w="1140" w:type="dxa"/>
            <w:tcBorders>
              <w:top w:val="single" w:sz="12" w:space="0" w:color="000000"/>
              <w:left w:val="nil"/>
              <w:bottom w:val="single" w:sz="12" w:space="0" w:color="000000"/>
              <w:right w:val="nil"/>
            </w:tcBorders>
            <w:tcMar>
              <w:top w:w="0" w:type="dxa"/>
              <w:left w:w="0" w:type="dxa"/>
              <w:bottom w:w="0" w:type="dxa"/>
              <w:right w:w="0" w:type="dxa"/>
            </w:tcMar>
          </w:tcPr>
          <w:p w14:paraId="36544416" w14:textId="77777777" w:rsidR="009B7826" w:rsidRDefault="009B7826" w:rsidP="000420FA">
            <w:pPr>
              <w:spacing w:before="40" w:after="40" w:line="240" w:lineRule="auto"/>
              <w:ind w:left="40" w:right="40" w:firstLine="0"/>
              <w:jc w:val="center"/>
            </w:pPr>
            <w:r>
              <w:t>Condition</w:t>
            </w:r>
          </w:p>
        </w:tc>
        <w:tc>
          <w:tcPr>
            <w:tcW w:w="975" w:type="dxa"/>
            <w:tcBorders>
              <w:top w:val="single" w:sz="12" w:space="0" w:color="000000"/>
              <w:left w:val="nil"/>
              <w:bottom w:val="single" w:sz="12" w:space="0" w:color="000000"/>
              <w:right w:val="nil"/>
            </w:tcBorders>
            <w:tcMar>
              <w:top w:w="0" w:type="dxa"/>
              <w:left w:w="0" w:type="dxa"/>
              <w:bottom w:w="0" w:type="dxa"/>
              <w:right w:w="0" w:type="dxa"/>
            </w:tcMar>
          </w:tcPr>
          <w:p w14:paraId="59C4C706" w14:textId="77777777" w:rsidR="009B7826" w:rsidRDefault="009B7826" w:rsidP="000420FA">
            <w:pPr>
              <w:spacing w:before="40" w:after="40" w:line="240" w:lineRule="auto"/>
              <w:ind w:left="40" w:right="40" w:firstLine="0"/>
              <w:jc w:val="center"/>
            </w:pPr>
            <w:r>
              <w:t>Patients</w:t>
            </w:r>
          </w:p>
        </w:tc>
        <w:tc>
          <w:tcPr>
            <w:tcW w:w="930" w:type="dxa"/>
            <w:tcBorders>
              <w:top w:val="single" w:sz="12" w:space="0" w:color="000000"/>
              <w:left w:val="nil"/>
              <w:bottom w:val="single" w:sz="12" w:space="0" w:color="000000"/>
              <w:right w:val="nil"/>
            </w:tcBorders>
            <w:tcMar>
              <w:top w:w="0" w:type="dxa"/>
              <w:left w:w="0" w:type="dxa"/>
              <w:bottom w:w="0" w:type="dxa"/>
              <w:right w:w="0" w:type="dxa"/>
            </w:tcMar>
          </w:tcPr>
          <w:p w14:paraId="6D141282" w14:textId="77777777" w:rsidR="009B7826" w:rsidRDefault="009B7826" w:rsidP="000420FA">
            <w:pPr>
              <w:spacing w:before="40" w:after="40" w:line="240" w:lineRule="auto"/>
              <w:ind w:left="40" w:right="40" w:firstLine="0"/>
              <w:jc w:val="center"/>
            </w:pPr>
            <w:r>
              <w:t>Median</w:t>
            </w:r>
          </w:p>
        </w:tc>
        <w:tc>
          <w:tcPr>
            <w:tcW w:w="1950" w:type="dxa"/>
            <w:gridSpan w:val="2"/>
            <w:tcBorders>
              <w:top w:val="single" w:sz="12" w:space="0" w:color="000000"/>
              <w:left w:val="nil"/>
              <w:bottom w:val="single" w:sz="12" w:space="0" w:color="000000"/>
              <w:right w:val="nil"/>
            </w:tcBorders>
            <w:tcMar>
              <w:top w:w="0" w:type="dxa"/>
              <w:left w:w="0" w:type="dxa"/>
              <w:bottom w:w="0" w:type="dxa"/>
              <w:right w:w="0" w:type="dxa"/>
            </w:tcMar>
          </w:tcPr>
          <w:p w14:paraId="3617038E" w14:textId="77777777" w:rsidR="009B7826" w:rsidRDefault="009B7826" w:rsidP="000420FA">
            <w:pPr>
              <w:spacing w:before="40" w:after="40" w:line="240" w:lineRule="auto"/>
              <w:ind w:left="40" w:right="40" w:firstLine="0"/>
              <w:jc w:val="center"/>
            </w:pPr>
            <w:r>
              <w:t>Min – Max</w:t>
            </w:r>
          </w:p>
        </w:tc>
      </w:tr>
      <w:tr w:rsidR="009B7826" w14:paraId="3BD87728" w14:textId="77777777" w:rsidTr="002A061A">
        <w:trPr>
          <w:trHeight w:val="420"/>
        </w:trPr>
        <w:tc>
          <w:tcPr>
            <w:tcW w:w="1350" w:type="dxa"/>
            <w:tcBorders>
              <w:top w:val="single" w:sz="12" w:space="0" w:color="000000"/>
              <w:left w:val="nil"/>
              <w:bottom w:val="nil"/>
              <w:right w:val="nil"/>
            </w:tcBorders>
            <w:shd w:val="clear" w:color="auto" w:fill="auto"/>
            <w:tcMar>
              <w:top w:w="0" w:type="dxa"/>
              <w:left w:w="0" w:type="dxa"/>
              <w:bottom w:w="0" w:type="dxa"/>
              <w:right w:w="0" w:type="dxa"/>
            </w:tcMar>
          </w:tcPr>
          <w:p w14:paraId="3B216EB7" w14:textId="77777777" w:rsidR="009B7826" w:rsidRDefault="009B7826" w:rsidP="000420FA">
            <w:pPr>
              <w:spacing w:before="40" w:after="40" w:line="240" w:lineRule="auto"/>
              <w:ind w:left="40" w:right="40" w:firstLine="0"/>
            </w:pPr>
            <w:r>
              <w:t>Exploratory</w:t>
            </w:r>
          </w:p>
        </w:tc>
        <w:tc>
          <w:tcPr>
            <w:tcW w:w="900" w:type="dxa"/>
            <w:tcBorders>
              <w:top w:val="single" w:sz="12" w:space="0" w:color="000000"/>
              <w:left w:val="nil"/>
              <w:bottom w:val="nil"/>
              <w:right w:val="nil"/>
            </w:tcBorders>
            <w:shd w:val="clear" w:color="auto" w:fill="auto"/>
            <w:tcMar>
              <w:top w:w="0" w:type="dxa"/>
              <w:left w:w="0" w:type="dxa"/>
              <w:bottom w:w="0" w:type="dxa"/>
              <w:right w:w="0" w:type="dxa"/>
            </w:tcMar>
          </w:tcPr>
          <w:p w14:paraId="0CA14577" w14:textId="77777777" w:rsidR="009B7826" w:rsidRDefault="009B7826" w:rsidP="000420FA">
            <w:pPr>
              <w:spacing w:before="40" w:after="40" w:line="240" w:lineRule="auto"/>
              <w:ind w:left="40" w:right="40" w:firstLine="0"/>
              <w:jc w:val="center"/>
            </w:pPr>
            <w:r>
              <w:t>t</w:t>
            </w:r>
            <w:r>
              <w:rPr>
                <w:vertAlign w:val="superscript"/>
              </w:rPr>
              <w:t>6</w:t>
            </w:r>
            <w:r>
              <w:t>A</w:t>
            </w:r>
          </w:p>
        </w:tc>
        <w:tc>
          <w:tcPr>
            <w:tcW w:w="960" w:type="dxa"/>
            <w:tcBorders>
              <w:top w:val="single" w:sz="12" w:space="0" w:color="000000"/>
              <w:left w:val="nil"/>
              <w:bottom w:val="nil"/>
              <w:right w:val="nil"/>
            </w:tcBorders>
            <w:shd w:val="clear" w:color="auto" w:fill="auto"/>
            <w:tcMar>
              <w:top w:w="0" w:type="dxa"/>
              <w:left w:w="0" w:type="dxa"/>
              <w:bottom w:w="0" w:type="dxa"/>
              <w:right w:w="0" w:type="dxa"/>
            </w:tcMar>
          </w:tcPr>
          <w:p w14:paraId="21F297AF" w14:textId="77777777" w:rsidR="009B7826" w:rsidRDefault="009B7826" w:rsidP="000420FA">
            <w:pPr>
              <w:spacing w:before="40" w:after="40" w:line="240" w:lineRule="auto"/>
              <w:ind w:left="40" w:right="40" w:firstLine="0"/>
            </w:pPr>
            <w:r>
              <w:t>61</w:t>
            </w:r>
          </w:p>
        </w:tc>
        <w:tc>
          <w:tcPr>
            <w:tcW w:w="1140" w:type="dxa"/>
            <w:tcBorders>
              <w:top w:val="single" w:sz="12" w:space="0" w:color="000000"/>
              <w:left w:val="nil"/>
              <w:bottom w:val="nil"/>
              <w:right w:val="nil"/>
            </w:tcBorders>
            <w:shd w:val="clear" w:color="auto" w:fill="auto"/>
            <w:tcMar>
              <w:top w:w="0" w:type="dxa"/>
              <w:left w:w="0" w:type="dxa"/>
              <w:bottom w:w="0" w:type="dxa"/>
              <w:right w:w="0" w:type="dxa"/>
            </w:tcMar>
          </w:tcPr>
          <w:p w14:paraId="72B1E9EA" w14:textId="77777777" w:rsidR="009B7826" w:rsidRDefault="009B7826" w:rsidP="000420FA">
            <w:pPr>
              <w:spacing w:before="40" w:after="40" w:line="240" w:lineRule="auto"/>
              <w:ind w:left="40" w:right="40" w:firstLine="0"/>
              <w:jc w:val="center"/>
            </w:pPr>
            <w:r>
              <w:t>control</w:t>
            </w:r>
          </w:p>
        </w:tc>
        <w:tc>
          <w:tcPr>
            <w:tcW w:w="975" w:type="dxa"/>
            <w:tcBorders>
              <w:top w:val="single" w:sz="12" w:space="0" w:color="000000"/>
              <w:left w:val="nil"/>
              <w:bottom w:val="nil"/>
              <w:right w:val="nil"/>
            </w:tcBorders>
            <w:shd w:val="clear" w:color="auto" w:fill="auto"/>
            <w:tcMar>
              <w:top w:w="0" w:type="dxa"/>
              <w:left w:w="0" w:type="dxa"/>
              <w:bottom w:w="0" w:type="dxa"/>
              <w:right w:w="0" w:type="dxa"/>
            </w:tcMar>
          </w:tcPr>
          <w:p w14:paraId="2E67B1F1" w14:textId="77777777" w:rsidR="009B7826" w:rsidRDefault="009B7826" w:rsidP="000420FA">
            <w:pPr>
              <w:spacing w:before="40" w:after="40" w:line="240" w:lineRule="auto"/>
              <w:ind w:left="40" w:right="40" w:firstLine="0"/>
              <w:jc w:val="center"/>
            </w:pPr>
            <w:r>
              <w:t>14</w:t>
            </w:r>
          </w:p>
        </w:tc>
        <w:tc>
          <w:tcPr>
            <w:tcW w:w="930" w:type="dxa"/>
            <w:tcBorders>
              <w:top w:val="single" w:sz="12" w:space="0" w:color="000000"/>
              <w:left w:val="nil"/>
              <w:bottom w:val="nil"/>
              <w:right w:val="nil"/>
            </w:tcBorders>
            <w:shd w:val="clear" w:color="auto" w:fill="auto"/>
            <w:tcMar>
              <w:top w:w="0" w:type="dxa"/>
              <w:left w:w="0" w:type="dxa"/>
              <w:bottom w:w="0" w:type="dxa"/>
              <w:right w:w="0" w:type="dxa"/>
            </w:tcMar>
          </w:tcPr>
          <w:p w14:paraId="5B222ECF" w14:textId="77777777" w:rsidR="009B7826" w:rsidRDefault="009B7826" w:rsidP="000420FA">
            <w:pPr>
              <w:spacing w:before="40" w:after="40" w:line="240" w:lineRule="auto"/>
              <w:ind w:left="40" w:right="40" w:firstLine="0"/>
            </w:pPr>
            <w:r>
              <w:t>31.9</w:t>
            </w:r>
          </w:p>
        </w:tc>
        <w:tc>
          <w:tcPr>
            <w:tcW w:w="915" w:type="dxa"/>
            <w:tcBorders>
              <w:top w:val="single" w:sz="12" w:space="0" w:color="000000"/>
              <w:left w:val="nil"/>
              <w:bottom w:val="nil"/>
              <w:right w:val="nil"/>
            </w:tcBorders>
            <w:shd w:val="clear" w:color="auto" w:fill="auto"/>
            <w:tcMar>
              <w:top w:w="0" w:type="dxa"/>
              <w:left w:w="0" w:type="dxa"/>
              <w:bottom w:w="0" w:type="dxa"/>
              <w:right w:w="0" w:type="dxa"/>
            </w:tcMar>
          </w:tcPr>
          <w:p w14:paraId="496AA73F" w14:textId="77777777" w:rsidR="009B7826" w:rsidRDefault="009B7826" w:rsidP="000420FA">
            <w:pPr>
              <w:spacing w:before="40" w:after="40" w:line="240" w:lineRule="auto"/>
              <w:ind w:left="40" w:right="40" w:firstLine="0"/>
            </w:pPr>
            <w:r>
              <w:t>18.8</w:t>
            </w:r>
          </w:p>
        </w:tc>
        <w:tc>
          <w:tcPr>
            <w:tcW w:w="1035" w:type="dxa"/>
            <w:tcBorders>
              <w:top w:val="single" w:sz="12" w:space="0" w:color="000000"/>
              <w:left w:val="nil"/>
              <w:bottom w:val="nil"/>
              <w:right w:val="nil"/>
            </w:tcBorders>
            <w:shd w:val="clear" w:color="auto" w:fill="auto"/>
            <w:tcMar>
              <w:top w:w="0" w:type="dxa"/>
              <w:left w:w="0" w:type="dxa"/>
              <w:bottom w:w="0" w:type="dxa"/>
              <w:right w:w="0" w:type="dxa"/>
            </w:tcMar>
          </w:tcPr>
          <w:p w14:paraId="1B9EF2E2" w14:textId="77777777" w:rsidR="009B7826" w:rsidRDefault="009B7826" w:rsidP="000420FA">
            <w:pPr>
              <w:spacing w:before="40" w:after="40" w:line="240" w:lineRule="auto"/>
              <w:ind w:left="40" w:right="40" w:firstLine="0"/>
            </w:pPr>
            <w:r>
              <w:t>84.5</w:t>
            </w:r>
          </w:p>
        </w:tc>
      </w:tr>
      <w:tr w:rsidR="009B7826" w14:paraId="150FEC34" w14:textId="77777777" w:rsidTr="000420FA">
        <w:trPr>
          <w:trHeight w:val="345"/>
        </w:trPr>
        <w:tc>
          <w:tcPr>
            <w:tcW w:w="1350" w:type="dxa"/>
            <w:tcBorders>
              <w:top w:val="nil"/>
              <w:left w:val="nil"/>
              <w:bottom w:val="nil"/>
              <w:right w:val="nil"/>
            </w:tcBorders>
            <w:shd w:val="clear" w:color="auto" w:fill="auto"/>
            <w:tcMar>
              <w:top w:w="0" w:type="dxa"/>
              <w:left w:w="0" w:type="dxa"/>
              <w:bottom w:w="0" w:type="dxa"/>
              <w:right w:w="0" w:type="dxa"/>
            </w:tcMar>
          </w:tcPr>
          <w:p w14:paraId="7A601610" w14:textId="77777777" w:rsidR="009B7826" w:rsidRDefault="009B7826" w:rsidP="000420FA">
            <w:pPr>
              <w:spacing w:before="40" w:after="40" w:line="240" w:lineRule="auto"/>
              <w:ind w:left="40" w:right="40" w:firstLine="0"/>
            </w:pPr>
            <w:r>
              <w:t xml:space="preserve"> </w:t>
            </w:r>
          </w:p>
        </w:tc>
        <w:tc>
          <w:tcPr>
            <w:tcW w:w="900" w:type="dxa"/>
            <w:tcBorders>
              <w:top w:val="nil"/>
              <w:left w:val="nil"/>
              <w:bottom w:val="nil"/>
              <w:right w:val="nil"/>
            </w:tcBorders>
            <w:shd w:val="clear" w:color="auto" w:fill="auto"/>
            <w:tcMar>
              <w:top w:w="0" w:type="dxa"/>
              <w:left w:w="0" w:type="dxa"/>
              <w:bottom w:w="0" w:type="dxa"/>
              <w:right w:w="0" w:type="dxa"/>
            </w:tcMar>
          </w:tcPr>
          <w:p w14:paraId="533B7087" w14:textId="77777777" w:rsidR="009B7826" w:rsidRDefault="009B7826" w:rsidP="000420FA">
            <w:pPr>
              <w:spacing w:before="40" w:after="40" w:line="240" w:lineRule="auto"/>
              <w:ind w:left="40" w:right="40" w:firstLine="0"/>
              <w:jc w:val="center"/>
            </w:pPr>
            <w:r>
              <w:t xml:space="preserve"> </w:t>
            </w:r>
          </w:p>
        </w:tc>
        <w:tc>
          <w:tcPr>
            <w:tcW w:w="960" w:type="dxa"/>
            <w:tcBorders>
              <w:top w:val="nil"/>
              <w:left w:val="nil"/>
              <w:bottom w:val="nil"/>
              <w:right w:val="nil"/>
            </w:tcBorders>
            <w:shd w:val="clear" w:color="auto" w:fill="auto"/>
            <w:tcMar>
              <w:top w:w="0" w:type="dxa"/>
              <w:left w:w="0" w:type="dxa"/>
              <w:bottom w:w="0" w:type="dxa"/>
              <w:right w:w="0" w:type="dxa"/>
            </w:tcMar>
          </w:tcPr>
          <w:p w14:paraId="2A58C9AE" w14:textId="77777777" w:rsidR="009B7826" w:rsidRDefault="009B7826" w:rsidP="000420FA">
            <w:pPr>
              <w:spacing w:before="40" w:after="40" w:line="240" w:lineRule="auto"/>
              <w:ind w:left="40" w:right="40" w:firstLine="0"/>
            </w:pPr>
            <w:r>
              <w:t xml:space="preserve"> </w:t>
            </w:r>
          </w:p>
        </w:tc>
        <w:tc>
          <w:tcPr>
            <w:tcW w:w="1140" w:type="dxa"/>
            <w:tcBorders>
              <w:top w:val="nil"/>
              <w:left w:val="nil"/>
              <w:bottom w:val="nil"/>
              <w:right w:val="nil"/>
            </w:tcBorders>
            <w:shd w:val="clear" w:color="auto" w:fill="auto"/>
            <w:tcMar>
              <w:top w:w="0" w:type="dxa"/>
              <w:left w:w="0" w:type="dxa"/>
              <w:bottom w:w="0" w:type="dxa"/>
              <w:right w:w="0" w:type="dxa"/>
            </w:tcMar>
          </w:tcPr>
          <w:p w14:paraId="2B3DDB80" w14:textId="77777777" w:rsidR="009B7826" w:rsidRDefault="009B7826" w:rsidP="000420FA">
            <w:pPr>
              <w:spacing w:before="40" w:after="40" w:line="240" w:lineRule="auto"/>
              <w:ind w:left="40" w:right="40" w:firstLine="0"/>
              <w:jc w:val="center"/>
            </w:pPr>
            <w:r>
              <w:t>sepsis</w:t>
            </w:r>
          </w:p>
        </w:tc>
        <w:tc>
          <w:tcPr>
            <w:tcW w:w="975" w:type="dxa"/>
            <w:tcBorders>
              <w:top w:val="nil"/>
              <w:left w:val="nil"/>
              <w:bottom w:val="nil"/>
              <w:right w:val="nil"/>
            </w:tcBorders>
            <w:shd w:val="clear" w:color="auto" w:fill="auto"/>
            <w:tcMar>
              <w:top w:w="0" w:type="dxa"/>
              <w:left w:w="0" w:type="dxa"/>
              <w:bottom w:w="0" w:type="dxa"/>
              <w:right w:w="0" w:type="dxa"/>
            </w:tcMar>
          </w:tcPr>
          <w:p w14:paraId="7F1A7551" w14:textId="77777777" w:rsidR="009B7826" w:rsidRDefault="009B7826" w:rsidP="000420FA">
            <w:pPr>
              <w:spacing w:before="40" w:after="40" w:line="240" w:lineRule="auto"/>
              <w:ind w:left="40" w:right="40" w:firstLine="0"/>
              <w:jc w:val="center"/>
            </w:pPr>
            <w:r>
              <w:t>47</w:t>
            </w:r>
          </w:p>
        </w:tc>
        <w:tc>
          <w:tcPr>
            <w:tcW w:w="930" w:type="dxa"/>
            <w:tcBorders>
              <w:top w:val="nil"/>
              <w:left w:val="nil"/>
              <w:bottom w:val="nil"/>
              <w:right w:val="nil"/>
            </w:tcBorders>
            <w:shd w:val="clear" w:color="auto" w:fill="auto"/>
            <w:tcMar>
              <w:top w:w="0" w:type="dxa"/>
              <w:left w:w="0" w:type="dxa"/>
              <w:bottom w:w="0" w:type="dxa"/>
              <w:right w:w="0" w:type="dxa"/>
            </w:tcMar>
          </w:tcPr>
          <w:p w14:paraId="3513B0FE" w14:textId="77777777" w:rsidR="009B7826" w:rsidRDefault="009B7826" w:rsidP="000420FA">
            <w:pPr>
              <w:spacing w:before="40" w:after="40" w:line="240" w:lineRule="auto"/>
              <w:ind w:left="40" w:right="40" w:firstLine="0"/>
            </w:pPr>
            <w:r>
              <w:t>82.6</w:t>
            </w:r>
          </w:p>
        </w:tc>
        <w:tc>
          <w:tcPr>
            <w:tcW w:w="915" w:type="dxa"/>
            <w:tcBorders>
              <w:top w:val="nil"/>
              <w:left w:val="nil"/>
              <w:bottom w:val="nil"/>
              <w:right w:val="nil"/>
            </w:tcBorders>
            <w:shd w:val="clear" w:color="auto" w:fill="auto"/>
            <w:tcMar>
              <w:top w:w="0" w:type="dxa"/>
              <w:left w:w="0" w:type="dxa"/>
              <w:bottom w:w="0" w:type="dxa"/>
              <w:right w:w="0" w:type="dxa"/>
            </w:tcMar>
          </w:tcPr>
          <w:p w14:paraId="4F79D0D2" w14:textId="77777777" w:rsidR="009B7826" w:rsidRDefault="009B7826" w:rsidP="000420FA">
            <w:pPr>
              <w:spacing w:before="40" w:after="40" w:line="240" w:lineRule="auto"/>
              <w:ind w:left="40" w:right="40" w:firstLine="0"/>
            </w:pPr>
            <w:r>
              <w:t>25.7</w:t>
            </w:r>
          </w:p>
        </w:tc>
        <w:tc>
          <w:tcPr>
            <w:tcW w:w="1035" w:type="dxa"/>
            <w:tcBorders>
              <w:top w:val="nil"/>
              <w:left w:val="nil"/>
              <w:bottom w:val="nil"/>
              <w:right w:val="nil"/>
            </w:tcBorders>
            <w:shd w:val="clear" w:color="auto" w:fill="auto"/>
            <w:tcMar>
              <w:top w:w="0" w:type="dxa"/>
              <w:left w:w="0" w:type="dxa"/>
              <w:bottom w:w="0" w:type="dxa"/>
              <w:right w:w="0" w:type="dxa"/>
            </w:tcMar>
          </w:tcPr>
          <w:p w14:paraId="0F4CEC3F" w14:textId="77777777" w:rsidR="009B7826" w:rsidRDefault="009B7826" w:rsidP="000420FA">
            <w:pPr>
              <w:spacing w:before="40" w:after="40" w:line="240" w:lineRule="auto"/>
              <w:ind w:left="40" w:right="40" w:firstLine="0"/>
            </w:pPr>
            <w:r>
              <w:t>704</w:t>
            </w:r>
          </w:p>
        </w:tc>
      </w:tr>
      <w:tr w:rsidR="009B7826" w14:paraId="2B1E2492" w14:textId="77777777" w:rsidTr="002A061A">
        <w:trPr>
          <w:trHeight w:val="345"/>
        </w:trPr>
        <w:tc>
          <w:tcPr>
            <w:tcW w:w="1350" w:type="dxa"/>
            <w:tcBorders>
              <w:top w:val="nil"/>
              <w:left w:val="nil"/>
              <w:bottom w:val="nil"/>
              <w:right w:val="nil"/>
            </w:tcBorders>
            <w:shd w:val="clear" w:color="auto" w:fill="auto"/>
            <w:tcMar>
              <w:top w:w="0" w:type="dxa"/>
              <w:left w:w="0" w:type="dxa"/>
              <w:bottom w:w="0" w:type="dxa"/>
              <w:right w:w="0" w:type="dxa"/>
            </w:tcMar>
          </w:tcPr>
          <w:p w14:paraId="1EE54D07" w14:textId="77777777" w:rsidR="009B7826" w:rsidRDefault="009B7826" w:rsidP="000420FA">
            <w:pPr>
              <w:spacing w:before="40" w:after="40" w:line="240" w:lineRule="auto"/>
              <w:ind w:left="40" w:right="40" w:firstLine="0"/>
            </w:pPr>
            <w:r>
              <w:t xml:space="preserve"> </w:t>
            </w:r>
          </w:p>
        </w:tc>
        <w:tc>
          <w:tcPr>
            <w:tcW w:w="900" w:type="dxa"/>
            <w:tcBorders>
              <w:top w:val="nil"/>
              <w:left w:val="nil"/>
              <w:bottom w:val="nil"/>
              <w:right w:val="nil"/>
            </w:tcBorders>
            <w:shd w:val="clear" w:color="auto" w:fill="auto"/>
            <w:tcMar>
              <w:top w:w="0" w:type="dxa"/>
              <w:left w:w="0" w:type="dxa"/>
              <w:bottom w:w="0" w:type="dxa"/>
              <w:right w:w="0" w:type="dxa"/>
            </w:tcMar>
          </w:tcPr>
          <w:p w14:paraId="5DC8B99E" w14:textId="77777777" w:rsidR="009B7826" w:rsidRDefault="009B7826" w:rsidP="000420FA">
            <w:pPr>
              <w:spacing w:before="40" w:after="40" w:line="240" w:lineRule="auto"/>
              <w:ind w:left="40" w:right="40" w:firstLine="0"/>
              <w:jc w:val="center"/>
            </w:pPr>
            <w:r>
              <w:t>PCT</w:t>
            </w:r>
          </w:p>
        </w:tc>
        <w:tc>
          <w:tcPr>
            <w:tcW w:w="960" w:type="dxa"/>
            <w:tcBorders>
              <w:top w:val="nil"/>
              <w:left w:val="nil"/>
              <w:bottom w:val="nil"/>
              <w:right w:val="nil"/>
            </w:tcBorders>
            <w:shd w:val="clear" w:color="auto" w:fill="auto"/>
            <w:tcMar>
              <w:top w:w="0" w:type="dxa"/>
              <w:left w:w="0" w:type="dxa"/>
              <w:bottom w:w="0" w:type="dxa"/>
              <w:right w:w="0" w:type="dxa"/>
            </w:tcMar>
          </w:tcPr>
          <w:p w14:paraId="7885C573" w14:textId="77777777" w:rsidR="009B7826" w:rsidRDefault="009B7826" w:rsidP="000420FA">
            <w:pPr>
              <w:spacing w:before="40" w:after="40" w:line="240" w:lineRule="auto"/>
              <w:ind w:left="40" w:right="40" w:firstLine="0"/>
            </w:pPr>
            <w:r>
              <w:t>63</w:t>
            </w:r>
          </w:p>
        </w:tc>
        <w:tc>
          <w:tcPr>
            <w:tcW w:w="1140" w:type="dxa"/>
            <w:tcBorders>
              <w:top w:val="nil"/>
              <w:left w:val="nil"/>
              <w:bottom w:val="nil"/>
              <w:right w:val="nil"/>
            </w:tcBorders>
            <w:shd w:val="clear" w:color="auto" w:fill="auto"/>
            <w:tcMar>
              <w:top w:w="0" w:type="dxa"/>
              <w:left w:w="0" w:type="dxa"/>
              <w:bottom w:w="0" w:type="dxa"/>
              <w:right w:w="0" w:type="dxa"/>
            </w:tcMar>
          </w:tcPr>
          <w:p w14:paraId="3EF4D1ED" w14:textId="77777777" w:rsidR="009B7826" w:rsidRDefault="009B7826" w:rsidP="000420FA">
            <w:pPr>
              <w:spacing w:before="40" w:after="40" w:line="240" w:lineRule="auto"/>
              <w:ind w:left="40" w:right="40" w:firstLine="0"/>
              <w:jc w:val="center"/>
            </w:pPr>
            <w:r>
              <w:t>control</w:t>
            </w:r>
          </w:p>
        </w:tc>
        <w:tc>
          <w:tcPr>
            <w:tcW w:w="975" w:type="dxa"/>
            <w:tcBorders>
              <w:top w:val="nil"/>
              <w:left w:val="nil"/>
              <w:bottom w:val="nil"/>
              <w:right w:val="nil"/>
            </w:tcBorders>
            <w:shd w:val="clear" w:color="auto" w:fill="auto"/>
            <w:tcMar>
              <w:top w:w="0" w:type="dxa"/>
              <w:left w:w="0" w:type="dxa"/>
              <w:bottom w:w="0" w:type="dxa"/>
              <w:right w:w="0" w:type="dxa"/>
            </w:tcMar>
          </w:tcPr>
          <w:p w14:paraId="51264265" w14:textId="77777777" w:rsidR="009B7826" w:rsidRDefault="009B7826" w:rsidP="000420FA">
            <w:pPr>
              <w:spacing w:before="40" w:after="40" w:line="240" w:lineRule="auto"/>
              <w:ind w:left="40" w:right="40" w:firstLine="0"/>
              <w:jc w:val="center"/>
            </w:pPr>
            <w:r>
              <w:t>12</w:t>
            </w:r>
          </w:p>
        </w:tc>
        <w:tc>
          <w:tcPr>
            <w:tcW w:w="930" w:type="dxa"/>
            <w:tcBorders>
              <w:top w:val="nil"/>
              <w:left w:val="nil"/>
              <w:bottom w:val="nil"/>
              <w:right w:val="nil"/>
            </w:tcBorders>
            <w:shd w:val="clear" w:color="auto" w:fill="auto"/>
            <w:tcMar>
              <w:top w:w="0" w:type="dxa"/>
              <w:left w:w="0" w:type="dxa"/>
              <w:bottom w:w="0" w:type="dxa"/>
              <w:right w:w="0" w:type="dxa"/>
            </w:tcMar>
          </w:tcPr>
          <w:p w14:paraId="43CDF99A" w14:textId="77777777" w:rsidR="009B7826" w:rsidRDefault="009B7826" w:rsidP="000420FA">
            <w:pPr>
              <w:spacing w:before="40" w:after="40" w:line="240" w:lineRule="auto"/>
              <w:ind w:left="40" w:right="40" w:firstLine="0"/>
            </w:pPr>
            <w:r>
              <w:t>1.25</w:t>
            </w:r>
          </w:p>
        </w:tc>
        <w:tc>
          <w:tcPr>
            <w:tcW w:w="915" w:type="dxa"/>
            <w:tcBorders>
              <w:top w:val="nil"/>
              <w:left w:val="nil"/>
              <w:bottom w:val="nil"/>
              <w:right w:val="nil"/>
            </w:tcBorders>
            <w:shd w:val="clear" w:color="auto" w:fill="auto"/>
            <w:tcMar>
              <w:top w:w="0" w:type="dxa"/>
              <w:left w:w="0" w:type="dxa"/>
              <w:bottom w:w="0" w:type="dxa"/>
              <w:right w:w="0" w:type="dxa"/>
            </w:tcMar>
          </w:tcPr>
          <w:p w14:paraId="4FED6BC6" w14:textId="77777777" w:rsidR="009B7826" w:rsidRDefault="009B7826" w:rsidP="000420FA">
            <w:pPr>
              <w:spacing w:before="40" w:after="40" w:line="240" w:lineRule="auto"/>
              <w:ind w:left="40" w:right="40" w:firstLine="0"/>
            </w:pPr>
            <w:r>
              <w:t>0.17</w:t>
            </w:r>
          </w:p>
        </w:tc>
        <w:tc>
          <w:tcPr>
            <w:tcW w:w="1035" w:type="dxa"/>
            <w:tcBorders>
              <w:top w:val="nil"/>
              <w:left w:val="nil"/>
              <w:bottom w:val="nil"/>
              <w:right w:val="nil"/>
            </w:tcBorders>
            <w:shd w:val="clear" w:color="auto" w:fill="auto"/>
            <w:tcMar>
              <w:top w:w="0" w:type="dxa"/>
              <w:left w:w="0" w:type="dxa"/>
              <w:bottom w:w="0" w:type="dxa"/>
              <w:right w:w="0" w:type="dxa"/>
            </w:tcMar>
          </w:tcPr>
          <w:p w14:paraId="624C7B2C" w14:textId="77777777" w:rsidR="009B7826" w:rsidRDefault="009B7826" w:rsidP="000420FA">
            <w:pPr>
              <w:spacing w:before="40" w:after="40" w:line="240" w:lineRule="auto"/>
              <w:ind w:left="40" w:right="40" w:firstLine="0"/>
            </w:pPr>
            <w:r>
              <w:t>4.32</w:t>
            </w:r>
          </w:p>
        </w:tc>
      </w:tr>
      <w:tr w:rsidR="009B7826" w14:paraId="10D6FD5E" w14:textId="77777777" w:rsidTr="002A061A">
        <w:trPr>
          <w:trHeight w:val="360"/>
        </w:trPr>
        <w:tc>
          <w:tcPr>
            <w:tcW w:w="1350" w:type="dxa"/>
            <w:tcBorders>
              <w:top w:val="nil"/>
              <w:left w:val="nil"/>
              <w:bottom w:val="dashSmallGap" w:sz="4" w:space="0" w:color="000000"/>
              <w:right w:val="nil"/>
            </w:tcBorders>
            <w:shd w:val="clear" w:color="auto" w:fill="auto"/>
            <w:tcMar>
              <w:top w:w="0" w:type="dxa"/>
              <w:left w:w="0" w:type="dxa"/>
              <w:bottom w:w="0" w:type="dxa"/>
              <w:right w:w="0" w:type="dxa"/>
            </w:tcMar>
          </w:tcPr>
          <w:p w14:paraId="3E6DC9DC" w14:textId="77777777" w:rsidR="009B7826" w:rsidRDefault="009B7826" w:rsidP="000420FA">
            <w:pPr>
              <w:spacing w:before="40" w:after="40" w:line="240" w:lineRule="auto"/>
              <w:ind w:left="40" w:right="40" w:firstLine="0"/>
            </w:pPr>
            <w:r>
              <w:t xml:space="preserve"> </w:t>
            </w:r>
          </w:p>
        </w:tc>
        <w:tc>
          <w:tcPr>
            <w:tcW w:w="900" w:type="dxa"/>
            <w:tcBorders>
              <w:top w:val="nil"/>
              <w:left w:val="nil"/>
              <w:bottom w:val="dashSmallGap" w:sz="4" w:space="0" w:color="000000"/>
              <w:right w:val="nil"/>
            </w:tcBorders>
            <w:shd w:val="clear" w:color="auto" w:fill="auto"/>
            <w:tcMar>
              <w:top w:w="0" w:type="dxa"/>
              <w:left w:w="0" w:type="dxa"/>
              <w:bottom w:w="0" w:type="dxa"/>
              <w:right w:w="0" w:type="dxa"/>
            </w:tcMar>
          </w:tcPr>
          <w:p w14:paraId="14E5C814" w14:textId="77777777" w:rsidR="009B7826" w:rsidRDefault="009B7826" w:rsidP="000420FA">
            <w:pPr>
              <w:spacing w:before="40" w:after="40" w:line="240" w:lineRule="auto"/>
              <w:ind w:left="40" w:right="40" w:firstLine="0"/>
              <w:jc w:val="center"/>
            </w:pPr>
            <w:r>
              <w:t xml:space="preserve"> </w:t>
            </w:r>
          </w:p>
        </w:tc>
        <w:tc>
          <w:tcPr>
            <w:tcW w:w="960" w:type="dxa"/>
            <w:tcBorders>
              <w:top w:val="nil"/>
              <w:left w:val="nil"/>
              <w:bottom w:val="dashSmallGap" w:sz="4" w:space="0" w:color="000000"/>
              <w:right w:val="nil"/>
            </w:tcBorders>
            <w:shd w:val="clear" w:color="auto" w:fill="auto"/>
            <w:tcMar>
              <w:top w:w="0" w:type="dxa"/>
              <w:left w:w="0" w:type="dxa"/>
              <w:bottom w:w="0" w:type="dxa"/>
              <w:right w:w="0" w:type="dxa"/>
            </w:tcMar>
          </w:tcPr>
          <w:p w14:paraId="4E3961DC" w14:textId="77777777" w:rsidR="009B7826" w:rsidRDefault="009B7826" w:rsidP="000420FA">
            <w:pPr>
              <w:spacing w:before="40" w:after="40" w:line="240" w:lineRule="auto"/>
              <w:ind w:left="40" w:right="40" w:firstLine="0"/>
            </w:pPr>
            <w:r>
              <w:t xml:space="preserve"> </w:t>
            </w:r>
          </w:p>
        </w:tc>
        <w:tc>
          <w:tcPr>
            <w:tcW w:w="1140" w:type="dxa"/>
            <w:tcBorders>
              <w:top w:val="nil"/>
              <w:left w:val="nil"/>
              <w:bottom w:val="dashSmallGap" w:sz="4" w:space="0" w:color="000000"/>
              <w:right w:val="nil"/>
            </w:tcBorders>
            <w:shd w:val="clear" w:color="auto" w:fill="auto"/>
            <w:tcMar>
              <w:top w:w="0" w:type="dxa"/>
              <w:left w:w="0" w:type="dxa"/>
              <w:bottom w:w="0" w:type="dxa"/>
              <w:right w:w="0" w:type="dxa"/>
            </w:tcMar>
          </w:tcPr>
          <w:p w14:paraId="0A6C106A" w14:textId="77777777" w:rsidR="009B7826" w:rsidRDefault="009B7826" w:rsidP="000420FA">
            <w:pPr>
              <w:spacing w:before="40" w:after="40" w:line="240" w:lineRule="auto"/>
              <w:ind w:left="40" w:right="40" w:firstLine="0"/>
              <w:jc w:val="center"/>
            </w:pPr>
            <w:r>
              <w:t>sepsis</w:t>
            </w:r>
          </w:p>
        </w:tc>
        <w:tc>
          <w:tcPr>
            <w:tcW w:w="975" w:type="dxa"/>
            <w:tcBorders>
              <w:top w:val="nil"/>
              <w:left w:val="nil"/>
              <w:bottom w:val="dashSmallGap" w:sz="4" w:space="0" w:color="000000"/>
              <w:right w:val="nil"/>
            </w:tcBorders>
            <w:shd w:val="clear" w:color="auto" w:fill="auto"/>
            <w:tcMar>
              <w:top w:w="0" w:type="dxa"/>
              <w:left w:w="0" w:type="dxa"/>
              <w:bottom w:w="0" w:type="dxa"/>
              <w:right w:w="0" w:type="dxa"/>
            </w:tcMar>
          </w:tcPr>
          <w:p w14:paraId="6EBE5DAA" w14:textId="77777777" w:rsidR="009B7826" w:rsidRDefault="009B7826" w:rsidP="000420FA">
            <w:pPr>
              <w:spacing w:before="40" w:after="40" w:line="240" w:lineRule="auto"/>
              <w:ind w:left="40" w:right="40" w:firstLine="0"/>
              <w:jc w:val="center"/>
            </w:pPr>
            <w:r>
              <w:t>51</w:t>
            </w:r>
          </w:p>
        </w:tc>
        <w:tc>
          <w:tcPr>
            <w:tcW w:w="930" w:type="dxa"/>
            <w:tcBorders>
              <w:top w:val="nil"/>
              <w:left w:val="nil"/>
              <w:bottom w:val="dashSmallGap" w:sz="4" w:space="0" w:color="000000"/>
              <w:right w:val="nil"/>
            </w:tcBorders>
            <w:shd w:val="clear" w:color="auto" w:fill="auto"/>
            <w:tcMar>
              <w:top w:w="0" w:type="dxa"/>
              <w:left w:w="0" w:type="dxa"/>
              <w:bottom w:w="0" w:type="dxa"/>
              <w:right w:w="0" w:type="dxa"/>
            </w:tcMar>
          </w:tcPr>
          <w:p w14:paraId="181C3494" w14:textId="77777777" w:rsidR="009B7826" w:rsidRDefault="009B7826" w:rsidP="000420FA">
            <w:pPr>
              <w:spacing w:before="40" w:after="40" w:line="240" w:lineRule="auto"/>
              <w:ind w:left="40" w:right="40" w:firstLine="0"/>
            </w:pPr>
            <w:r>
              <w:t>5.41</w:t>
            </w:r>
          </w:p>
        </w:tc>
        <w:tc>
          <w:tcPr>
            <w:tcW w:w="915" w:type="dxa"/>
            <w:tcBorders>
              <w:top w:val="nil"/>
              <w:left w:val="nil"/>
              <w:bottom w:val="dashSmallGap" w:sz="4" w:space="0" w:color="000000"/>
              <w:right w:val="nil"/>
            </w:tcBorders>
            <w:shd w:val="clear" w:color="auto" w:fill="auto"/>
            <w:tcMar>
              <w:top w:w="0" w:type="dxa"/>
              <w:left w:w="0" w:type="dxa"/>
              <w:bottom w:w="0" w:type="dxa"/>
              <w:right w:w="0" w:type="dxa"/>
            </w:tcMar>
          </w:tcPr>
          <w:p w14:paraId="0D19C1F3" w14:textId="77777777" w:rsidR="009B7826" w:rsidRDefault="009B7826" w:rsidP="000420FA">
            <w:pPr>
              <w:spacing w:before="40" w:after="40" w:line="240" w:lineRule="auto"/>
              <w:ind w:left="40" w:right="40" w:firstLine="0"/>
            </w:pPr>
            <w:r>
              <w:t>0.42</w:t>
            </w:r>
          </w:p>
        </w:tc>
        <w:tc>
          <w:tcPr>
            <w:tcW w:w="1035" w:type="dxa"/>
            <w:tcBorders>
              <w:top w:val="nil"/>
              <w:left w:val="nil"/>
              <w:bottom w:val="dashSmallGap" w:sz="4" w:space="0" w:color="000000"/>
              <w:right w:val="nil"/>
            </w:tcBorders>
            <w:shd w:val="clear" w:color="auto" w:fill="auto"/>
            <w:tcMar>
              <w:top w:w="0" w:type="dxa"/>
              <w:left w:w="0" w:type="dxa"/>
              <w:bottom w:w="0" w:type="dxa"/>
              <w:right w:w="0" w:type="dxa"/>
            </w:tcMar>
          </w:tcPr>
          <w:p w14:paraId="303232E3" w14:textId="77777777" w:rsidR="009B7826" w:rsidRDefault="009B7826" w:rsidP="000420FA">
            <w:pPr>
              <w:spacing w:before="40" w:after="40" w:line="240" w:lineRule="auto"/>
              <w:ind w:left="40" w:right="40" w:firstLine="0"/>
            </w:pPr>
            <w:r>
              <w:t>333</w:t>
            </w:r>
          </w:p>
        </w:tc>
      </w:tr>
      <w:tr w:rsidR="009B7826" w14:paraId="148B156E" w14:textId="77777777" w:rsidTr="002A061A">
        <w:trPr>
          <w:trHeight w:val="420"/>
        </w:trPr>
        <w:tc>
          <w:tcPr>
            <w:tcW w:w="1350" w:type="dxa"/>
            <w:tcBorders>
              <w:top w:val="dashSmallGap" w:sz="4" w:space="0" w:color="000000"/>
              <w:left w:val="nil"/>
              <w:bottom w:val="nil"/>
              <w:right w:val="nil"/>
            </w:tcBorders>
            <w:shd w:val="clear" w:color="auto" w:fill="auto"/>
            <w:tcMar>
              <w:top w:w="0" w:type="dxa"/>
              <w:left w:w="0" w:type="dxa"/>
              <w:bottom w:w="0" w:type="dxa"/>
              <w:right w:w="0" w:type="dxa"/>
            </w:tcMar>
          </w:tcPr>
          <w:p w14:paraId="22C2BCE4" w14:textId="77777777" w:rsidR="009B7826" w:rsidRDefault="009B7826" w:rsidP="000420FA">
            <w:pPr>
              <w:spacing w:before="40" w:after="40" w:line="240" w:lineRule="auto"/>
              <w:ind w:left="40" w:right="40" w:firstLine="0"/>
            </w:pPr>
            <w:r>
              <w:t>Validation</w:t>
            </w:r>
          </w:p>
        </w:tc>
        <w:tc>
          <w:tcPr>
            <w:tcW w:w="900" w:type="dxa"/>
            <w:tcBorders>
              <w:top w:val="dashSmallGap" w:sz="4" w:space="0" w:color="000000"/>
              <w:left w:val="nil"/>
              <w:bottom w:val="nil"/>
              <w:right w:val="nil"/>
            </w:tcBorders>
            <w:shd w:val="clear" w:color="auto" w:fill="auto"/>
            <w:tcMar>
              <w:top w:w="0" w:type="dxa"/>
              <w:left w:w="0" w:type="dxa"/>
              <w:bottom w:w="0" w:type="dxa"/>
              <w:right w:w="0" w:type="dxa"/>
            </w:tcMar>
          </w:tcPr>
          <w:p w14:paraId="23D54415" w14:textId="77777777" w:rsidR="009B7826" w:rsidRDefault="009B7826" w:rsidP="000420FA">
            <w:pPr>
              <w:spacing w:before="40" w:after="40" w:line="240" w:lineRule="auto"/>
              <w:ind w:left="40" w:right="40" w:firstLine="0"/>
              <w:jc w:val="center"/>
            </w:pPr>
            <w:r>
              <w:t>t</w:t>
            </w:r>
            <w:r>
              <w:rPr>
                <w:vertAlign w:val="superscript"/>
              </w:rPr>
              <w:t>6</w:t>
            </w:r>
            <w:r>
              <w:t>A</w:t>
            </w:r>
          </w:p>
        </w:tc>
        <w:tc>
          <w:tcPr>
            <w:tcW w:w="960" w:type="dxa"/>
            <w:tcBorders>
              <w:top w:val="dashSmallGap" w:sz="4" w:space="0" w:color="000000"/>
              <w:left w:val="nil"/>
              <w:bottom w:val="nil"/>
              <w:right w:val="nil"/>
            </w:tcBorders>
            <w:shd w:val="clear" w:color="auto" w:fill="auto"/>
            <w:tcMar>
              <w:top w:w="0" w:type="dxa"/>
              <w:left w:w="0" w:type="dxa"/>
              <w:bottom w:w="0" w:type="dxa"/>
              <w:right w:w="0" w:type="dxa"/>
            </w:tcMar>
          </w:tcPr>
          <w:p w14:paraId="47A19785" w14:textId="77777777" w:rsidR="009B7826" w:rsidRDefault="009B7826" w:rsidP="000420FA">
            <w:pPr>
              <w:spacing w:before="40" w:after="40" w:line="240" w:lineRule="auto"/>
              <w:ind w:left="40" w:right="40" w:firstLine="0"/>
            </w:pPr>
            <w:r>
              <w:t>97</w:t>
            </w:r>
          </w:p>
        </w:tc>
        <w:tc>
          <w:tcPr>
            <w:tcW w:w="1140" w:type="dxa"/>
            <w:tcBorders>
              <w:top w:val="dashSmallGap" w:sz="4" w:space="0" w:color="000000"/>
              <w:left w:val="nil"/>
              <w:bottom w:val="nil"/>
              <w:right w:val="nil"/>
            </w:tcBorders>
            <w:shd w:val="clear" w:color="auto" w:fill="auto"/>
            <w:tcMar>
              <w:top w:w="0" w:type="dxa"/>
              <w:left w:w="0" w:type="dxa"/>
              <w:bottom w:w="0" w:type="dxa"/>
              <w:right w:w="0" w:type="dxa"/>
            </w:tcMar>
          </w:tcPr>
          <w:p w14:paraId="1D3EA482" w14:textId="77777777" w:rsidR="009B7826" w:rsidRDefault="009B7826" w:rsidP="000420FA">
            <w:pPr>
              <w:spacing w:before="40" w:after="40" w:line="240" w:lineRule="auto"/>
              <w:ind w:left="40" w:right="40" w:firstLine="0"/>
              <w:jc w:val="center"/>
            </w:pPr>
            <w:r>
              <w:t>control</w:t>
            </w:r>
          </w:p>
        </w:tc>
        <w:tc>
          <w:tcPr>
            <w:tcW w:w="975" w:type="dxa"/>
            <w:tcBorders>
              <w:top w:val="dashSmallGap" w:sz="4" w:space="0" w:color="000000"/>
              <w:left w:val="nil"/>
              <w:bottom w:val="nil"/>
              <w:right w:val="nil"/>
            </w:tcBorders>
            <w:shd w:val="clear" w:color="auto" w:fill="auto"/>
            <w:tcMar>
              <w:top w:w="0" w:type="dxa"/>
              <w:left w:w="0" w:type="dxa"/>
              <w:bottom w:w="0" w:type="dxa"/>
              <w:right w:w="0" w:type="dxa"/>
            </w:tcMar>
          </w:tcPr>
          <w:p w14:paraId="0739C4E1" w14:textId="77777777" w:rsidR="009B7826" w:rsidRDefault="009B7826" w:rsidP="000420FA">
            <w:pPr>
              <w:spacing w:before="40" w:after="40" w:line="240" w:lineRule="auto"/>
              <w:ind w:left="40" w:right="40" w:firstLine="0"/>
              <w:jc w:val="center"/>
            </w:pPr>
            <w:r>
              <w:t>67</w:t>
            </w:r>
          </w:p>
        </w:tc>
        <w:tc>
          <w:tcPr>
            <w:tcW w:w="930" w:type="dxa"/>
            <w:tcBorders>
              <w:top w:val="dashSmallGap" w:sz="4" w:space="0" w:color="000000"/>
              <w:left w:val="nil"/>
              <w:bottom w:val="nil"/>
              <w:right w:val="nil"/>
            </w:tcBorders>
            <w:shd w:val="clear" w:color="auto" w:fill="auto"/>
            <w:tcMar>
              <w:top w:w="0" w:type="dxa"/>
              <w:left w:w="0" w:type="dxa"/>
              <w:bottom w:w="0" w:type="dxa"/>
              <w:right w:w="0" w:type="dxa"/>
            </w:tcMar>
          </w:tcPr>
          <w:p w14:paraId="4E42A150" w14:textId="77777777" w:rsidR="009B7826" w:rsidRDefault="009B7826" w:rsidP="000420FA">
            <w:pPr>
              <w:spacing w:before="40" w:after="40" w:line="240" w:lineRule="auto"/>
              <w:ind w:left="40" w:right="40" w:firstLine="0"/>
            </w:pPr>
            <w:r>
              <w:t>23.0</w:t>
            </w:r>
          </w:p>
        </w:tc>
        <w:tc>
          <w:tcPr>
            <w:tcW w:w="915" w:type="dxa"/>
            <w:tcBorders>
              <w:top w:val="dashSmallGap" w:sz="4" w:space="0" w:color="000000"/>
              <w:left w:val="nil"/>
              <w:bottom w:val="nil"/>
              <w:right w:val="nil"/>
            </w:tcBorders>
            <w:shd w:val="clear" w:color="auto" w:fill="auto"/>
            <w:tcMar>
              <w:top w:w="0" w:type="dxa"/>
              <w:left w:w="0" w:type="dxa"/>
              <w:bottom w:w="0" w:type="dxa"/>
              <w:right w:w="0" w:type="dxa"/>
            </w:tcMar>
          </w:tcPr>
          <w:p w14:paraId="6D334F07" w14:textId="77777777" w:rsidR="009B7826" w:rsidRDefault="009B7826" w:rsidP="000420FA">
            <w:pPr>
              <w:spacing w:before="40" w:after="40" w:line="240" w:lineRule="auto"/>
              <w:ind w:left="40" w:right="40" w:firstLine="0"/>
            </w:pPr>
            <w:r>
              <w:t>16.1</w:t>
            </w:r>
          </w:p>
        </w:tc>
        <w:tc>
          <w:tcPr>
            <w:tcW w:w="1035" w:type="dxa"/>
            <w:tcBorders>
              <w:top w:val="dashSmallGap" w:sz="4" w:space="0" w:color="000000"/>
              <w:left w:val="nil"/>
              <w:bottom w:val="nil"/>
              <w:right w:val="nil"/>
            </w:tcBorders>
            <w:shd w:val="clear" w:color="auto" w:fill="auto"/>
            <w:tcMar>
              <w:top w:w="0" w:type="dxa"/>
              <w:left w:w="0" w:type="dxa"/>
              <w:bottom w:w="0" w:type="dxa"/>
              <w:right w:w="0" w:type="dxa"/>
            </w:tcMar>
          </w:tcPr>
          <w:p w14:paraId="646BBEFE" w14:textId="77777777" w:rsidR="009B7826" w:rsidRDefault="009B7826" w:rsidP="000420FA">
            <w:pPr>
              <w:spacing w:before="40" w:after="40" w:line="240" w:lineRule="auto"/>
              <w:ind w:left="40" w:right="40" w:firstLine="0"/>
            </w:pPr>
            <w:r>
              <w:t>69.1</w:t>
            </w:r>
          </w:p>
        </w:tc>
      </w:tr>
      <w:tr w:rsidR="009B7826" w14:paraId="5C06B729" w14:textId="77777777" w:rsidTr="000420FA">
        <w:trPr>
          <w:trHeight w:val="345"/>
        </w:trPr>
        <w:tc>
          <w:tcPr>
            <w:tcW w:w="1350" w:type="dxa"/>
            <w:tcBorders>
              <w:top w:val="nil"/>
              <w:left w:val="nil"/>
              <w:bottom w:val="nil"/>
              <w:right w:val="nil"/>
            </w:tcBorders>
            <w:shd w:val="clear" w:color="auto" w:fill="auto"/>
            <w:tcMar>
              <w:top w:w="0" w:type="dxa"/>
              <w:left w:w="0" w:type="dxa"/>
              <w:bottom w:w="0" w:type="dxa"/>
              <w:right w:w="0" w:type="dxa"/>
            </w:tcMar>
          </w:tcPr>
          <w:p w14:paraId="36C1D9CE" w14:textId="77777777" w:rsidR="009B7826" w:rsidRDefault="009B7826" w:rsidP="000420FA">
            <w:pPr>
              <w:spacing w:before="40" w:after="40" w:line="240" w:lineRule="auto"/>
              <w:ind w:left="40" w:right="40" w:firstLine="0"/>
            </w:pPr>
            <w:r>
              <w:t xml:space="preserve"> </w:t>
            </w:r>
          </w:p>
        </w:tc>
        <w:tc>
          <w:tcPr>
            <w:tcW w:w="900" w:type="dxa"/>
            <w:tcBorders>
              <w:top w:val="nil"/>
              <w:left w:val="nil"/>
              <w:bottom w:val="nil"/>
              <w:right w:val="nil"/>
            </w:tcBorders>
            <w:shd w:val="clear" w:color="auto" w:fill="auto"/>
            <w:tcMar>
              <w:top w:w="0" w:type="dxa"/>
              <w:left w:w="0" w:type="dxa"/>
              <w:bottom w:w="0" w:type="dxa"/>
              <w:right w:w="0" w:type="dxa"/>
            </w:tcMar>
          </w:tcPr>
          <w:p w14:paraId="45CD7A32" w14:textId="77777777" w:rsidR="009B7826" w:rsidRDefault="009B7826" w:rsidP="000420FA">
            <w:pPr>
              <w:spacing w:before="40" w:after="40" w:line="240" w:lineRule="auto"/>
              <w:ind w:left="40" w:right="40" w:firstLine="0"/>
              <w:jc w:val="center"/>
            </w:pPr>
            <w:r>
              <w:t xml:space="preserve"> </w:t>
            </w:r>
          </w:p>
        </w:tc>
        <w:tc>
          <w:tcPr>
            <w:tcW w:w="960" w:type="dxa"/>
            <w:tcBorders>
              <w:top w:val="nil"/>
              <w:left w:val="nil"/>
              <w:bottom w:val="nil"/>
              <w:right w:val="nil"/>
            </w:tcBorders>
            <w:shd w:val="clear" w:color="auto" w:fill="auto"/>
            <w:tcMar>
              <w:top w:w="0" w:type="dxa"/>
              <w:left w:w="0" w:type="dxa"/>
              <w:bottom w:w="0" w:type="dxa"/>
              <w:right w:w="0" w:type="dxa"/>
            </w:tcMar>
          </w:tcPr>
          <w:p w14:paraId="76D59924" w14:textId="77777777" w:rsidR="009B7826" w:rsidRDefault="009B7826" w:rsidP="000420FA">
            <w:pPr>
              <w:spacing w:before="40" w:after="40" w:line="240" w:lineRule="auto"/>
              <w:ind w:left="40" w:right="40" w:firstLine="0"/>
            </w:pPr>
            <w:r>
              <w:t xml:space="preserve"> </w:t>
            </w:r>
          </w:p>
        </w:tc>
        <w:tc>
          <w:tcPr>
            <w:tcW w:w="1140" w:type="dxa"/>
            <w:tcBorders>
              <w:top w:val="nil"/>
              <w:left w:val="nil"/>
              <w:bottom w:val="nil"/>
              <w:right w:val="nil"/>
            </w:tcBorders>
            <w:shd w:val="clear" w:color="auto" w:fill="auto"/>
            <w:tcMar>
              <w:top w:w="0" w:type="dxa"/>
              <w:left w:w="0" w:type="dxa"/>
              <w:bottom w:w="0" w:type="dxa"/>
              <w:right w:w="0" w:type="dxa"/>
            </w:tcMar>
          </w:tcPr>
          <w:p w14:paraId="7B60F721" w14:textId="77777777" w:rsidR="009B7826" w:rsidRDefault="009B7826" w:rsidP="000420FA">
            <w:pPr>
              <w:spacing w:before="40" w:after="40" w:line="240" w:lineRule="auto"/>
              <w:ind w:left="40" w:right="40" w:firstLine="0"/>
              <w:jc w:val="center"/>
            </w:pPr>
            <w:r>
              <w:t>sepsis</w:t>
            </w:r>
          </w:p>
        </w:tc>
        <w:tc>
          <w:tcPr>
            <w:tcW w:w="975" w:type="dxa"/>
            <w:tcBorders>
              <w:top w:val="nil"/>
              <w:left w:val="nil"/>
              <w:bottom w:val="nil"/>
              <w:right w:val="nil"/>
            </w:tcBorders>
            <w:shd w:val="clear" w:color="auto" w:fill="auto"/>
            <w:tcMar>
              <w:top w:w="0" w:type="dxa"/>
              <w:left w:w="0" w:type="dxa"/>
              <w:bottom w:w="0" w:type="dxa"/>
              <w:right w:w="0" w:type="dxa"/>
            </w:tcMar>
          </w:tcPr>
          <w:p w14:paraId="51F5B355" w14:textId="77777777" w:rsidR="009B7826" w:rsidRDefault="009B7826" w:rsidP="000420FA">
            <w:pPr>
              <w:spacing w:before="40" w:after="40" w:line="240" w:lineRule="auto"/>
              <w:ind w:left="40" w:right="40" w:firstLine="0"/>
              <w:jc w:val="center"/>
            </w:pPr>
            <w:r>
              <w:t>30</w:t>
            </w:r>
          </w:p>
        </w:tc>
        <w:tc>
          <w:tcPr>
            <w:tcW w:w="930" w:type="dxa"/>
            <w:tcBorders>
              <w:top w:val="nil"/>
              <w:left w:val="nil"/>
              <w:bottom w:val="nil"/>
              <w:right w:val="nil"/>
            </w:tcBorders>
            <w:shd w:val="clear" w:color="auto" w:fill="auto"/>
            <w:tcMar>
              <w:top w:w="0" w:type="dxa"/>
              <w:left w:w="0" w:type="dxa"/>
              <w:bottom w:w="0" w:type="dxa"/>
              <w:right w:w="0" w:type="dxa"/>
            </w:tcMar>
          </w:tcPr>
          <w:p w14:paraId="59EDB7F1" w14:textId="77777777" w:rsidR="009B7826" w:rsidRDefault="009B7826" w:rsidP="000420FA">
            <w:pPr>
              <w:spacing w:before="40" w:after="40" w:line="240" w:lineRule="auto"/>
              <w:ind w:left="40" w:right="40" w:firstLine="0"/>
            </w:pPr>
            <w:r>
              <w:t>106</w:t>
            </w:r>
          </w:p>
        </w:tc>
        <w:tc>
          <w:tcPr>
            <w:tcW w:w="915" w:type="dxa"/>
            <w:tcBorders>
              <w:top w:val="nil"/>
              <w:left w:val="nil"/>
              <w:bottom w:val="nil"/>
              <w:right w:val="nil"/>
            </w:tcBorders>
            <w:shd w:val="clear" w:color="auto" w:fill="auto"/>
            <w:tcMar>
              <w:top w:w="0" w:type="dxa"/>
              <w:left w:w="0" w:type="dxa"/>
              <w:bottom w:w="0" w:type="dxa"/>
              <w:right w:w="0" w:type="dxa"/>
            </w:tcMar>
          </w:tcPr>
          <w:p w14:paraId="0FB68041" w14:textId="77777777" w:rsidR="009B7826" w:rsidRDefault="009B7826" w:rsidP="000420FA">
            <w:pPr>
              <w:spacing w:before="40" w:after="40" w:line="240" w:lineRule="auto"/>
              <w:ind w:left="40" w:right="40" w:firstLine="0"/>
            </w:pPr>
            <w:r>
              <w:t>25.5</w:t>
            </w:r>
          </w:p>
        </w:tc>
        <w:tc>
          <w:tcPr>
            <w:tcW w:w="1035" w:type="dxa"/>
            <w:tcBorders>
              <w:top w:val="nil"/>
              <w:left w:val="nil"/>
              <w:bottom w:val="nil"/>
              <w:right w:val="nil"/>
            </w:tcBorders>
            <w:shd w:val="clear" w:color="auto" w:fill="auto"/>
            <w:tcMar>
              <w:top w:w="0" w:type="dxa"/>
              <w:left w:w="0" w:type="dxa"/>
              <w:bottom w:w="0" w:type="dxa"/>
              <w:right w:w="0" w:type="dxa"/>
            </w:tcMar>
          </w:tcPr>
          <w:p w14:paraId="67630013" w14:textId="77777777" w:rsidR="009B7826" w:rsidRDefault="009B7826" w:rsidP="000420FA">
            <w:pPr>
              <w:spacing w:before="40" w:after="40" w:line="240" w:lineRule="auto"/>
              <w:ind w:left="40" w:right="40" w:firstLine="0"/>
            </w:pPr>
            <w:r>
              <w:t>302</w:t>
            </w:r>
          </w:p>
        </w:tc>
      </w:tr>
      <w:tr w:rsidR="009B7826" w14:paraId="4DEBD4C5" w14:textId="77777777" w:rsidTr="002A061A">
        <w:trPr>
          <w:trHeight w:val="345"/>
        </w:trPr>
        <w:tc>
          <w:tcPr>
            <w:tcW w:w="1350" w:type="dxa"/>
            <w:tcBorders>
              <w:top w:val="nil"/>
              <w:left w:val="nil"/>
              <w:bottom w:val="nil"/>
              <w:right w:val="nil"/>
            </w:tcBorders>
            <w:shd w:val="clear" w:color="auto" w:fill="auto"/>
            <w:tcMar>
              <w:top w:w="0" w:type="dxa"/>
              <w:left w:w="0" w:type="dxa"/>
              <w:bottom w:w="0" w:type="dxa"/>
              <w:right w:w="0" w:type="dxa"/>
            </w:tcMar>
          </w:tcPr>
          <w:p w14:paraId="08AD8D12" w14:textId="77777777" w:rsidR="009B7826" w:rsidRDefault="009B7826" w:rsidP="000420FA">
            <w:pPr>
              <w:spacing w:before="40" w:after="40" w:line="240" w:lineRule="auto"/>
              <w:ind w:left="40" w:right="40" w:firstLine="0"/>
            </w:pPr>
            <w:r>
              <w:t xml:space="preserve"> </w:t>
            </w:r>
          </w:p>
        </w:tc>
        <w:tc>
          <w:tcPr>
            <w:tcW w:w="900" w:type="dxa"/>
            <w:tcBorders>
              <w:top w:val="nil"/>
              <w:left w:val="nil"/>
              <w:bottom w:val="nil"/>
              <w:right w:val="nil"/>
            </w:tcBorders>
            <w:shd w:val="clear" w:color="auto" w:fill="auto"/>
            <w:tcMar>
              <w:top w:w="0" w:type="dxa"/>
              <w:left w:w="0" w:type="dxa"/>
              <w:bottom w:w="0" w:type="dxa"/>
              <w:right w:w="0" w:type="dxa"/>
            </w:tcMar>
          </w:tcPr>
          <w:p w14:paraId="0509919B" w14:textId="77777777" w:rsidR="009B7826" w:rsidRDefault="009B7826" w:rsidP="000420FA">
            <w:pPr>
              <w:spacing w:before="40" w:after="40" w:line="240" w:lineRule="auto"/>
              <w:ind w:left="40" w:right="40" w:firstLine="0"/>
              <w:jc w:val="center"/>
            </w:pPr>
            <w:r>
              <w:t>PCT</w:t>
            </w:r>
          </w:p>
        </w:tc>
        <w:tc>
          <w:tcPr>
            <w:tcW w:w="960" w:type="dxa"/>
            <w:tcBorders>
              <w:top w:val="nil"/>
              <w:left w:val="nil"/>
              <w:bottom w:val="nil"/>
              <w:right w:val="nil"/>
            </w:tcBorders>
            <w:shd w:val="clear" w:color="auto" w:fill="auto"/>
            <w:tcMar>
              <w:top w:w="0" w:type="dxa"/>
              <w:left w:w="0" w:type="dxa"/>
              <w:bottom w:w="0" w:type="dxa"/>
              <w:right w:w="0" w:type="dxa"/>
            </w:tcMar>
          </w:tcPr>
          <w:p w14:paraId="5B23A546" w14:textId="77777777" w:rsidR="009B7826" w:rsidRDefault="009B7826" w:rsidP="000420FA">
            <w:pPr>
              <w:spacing w:before="40" w:after="40" w:line="240" w:lineRule="auto"/>
              <w:ind w:left="40" w:right="40" w:firstLine="0"/>
            </w:pPr>
            <w:r>
              <w:t>63</w:t>
            </w:r>
          </w:p>
        </w:tc>
        <w:tc>
          <w:tcPr>
            <w:tcW w:w="1140" w:type="dxa"/>
            <w:tcBorders>
              <w:top w:val="nil"/>
              <w:left w:val="nil"/>
              <w:bottom w:val="nil"/>
              <w:right w:val="nil"/>
            </w:tcBorders>
            <w:shd w:val="clear" w:color="auto" w:fill="auto"/>
            <w:tcMar>
              <w:top w:w="0" w:type="dxa"/>
              <w:left w:w="0" w:type="dxa"/>
              <w:bottom w:w="0" w:type="dxa"/>
              <w:right w:w="0" w:type="dxa"/>
            </w:tcMar>
          </w:tcPr>
          <w:p w14:paraId="01885097" w14:textId="77777777" w:rsidR="009B7826" w:rsidRDefault="009B7826" w:rsidP="000420FA">
            <w:pPr>
              <w:spacing w:before="40" w:after="40" w:line="240" w:lineRule="auto"/>
              <w:ind w:left="40" w:right="40" w:firstLine="0"/>
              <w:jc w:val="center"/>
            </w:pPr>
            <w:r>
              <w:t>control</w:t>
            </w:r>
          </w:p>
        </w:tc>
        <w:tc>
          <w:tcPr>
            <w:tcW w:w="975" w:type="dxa"/>
            <w:tcBorders>
              <w:top w:val="nil"/>
              <w:left w:val="nil"/>
              <w:bottom w:val="nil"/>
              <w:right w:val="nil"/>
            </w:tcBorders>
            <w:shd w:val="clear" w:color="auto" w:fill="auto"/>
            <w:tcMar>
              <w:top w:w="0" w:type="dxa"/>
              <w:left w:w="0" w:type="dxa"/>
              <w:bottom w:w="0" w:type="dxa"/>
              <w:right w:w="0" w:type="dxa"/>
            </w:tcMar>
          </w:tcPr>
          <w:p w14:paraId="65886262" w14:textId="77777777" w:rsidR="009B7826" w:rsidRDefault="009B7826" w:rsidP="000420FA">
            <w:pPr>
              <w:spacing w:before="40" w:after="40" w:line="240" w:lineRule="auto"/>
              <w:ind w:left="40" w:right="40" w:firstLine="0"/>
              <w:jc w:val="center"/>
            </w:pPr>
            <w:r>
              <w:t>33</w:t>
            </w:r>
          </w:p>
        </w:tc>
        <w:tc>
          <w:tcPr>
            <w:tcW w:w="930" w:type="dxa"/>
            <w:tcBorders>
              <w:top w:val="nil"/>
              <w:left w:val="nil"/>
              <w:bottom w:val="nil"/>
              <w:right w:val="nil"/>
            </w:tcBorders>
            <w:shd w:val="clear" w:color="auto" w:fill="auto"/>
            <w:tcMar>
              <w:top w:w="0" w:type="dxa"/>
              <w:left w:w="0" w:type="dxa"/>
              <w:bottom w:w="0" w:type="dxa"/>
              <w:right w:w="0" w:type="dxa"/>
            </w:tcMar>
          </w:tcPr>
          <w:p w14:paraId="3C3325EA" w14:textId="77777777" w:rsidR="009B7826" w:rsidRDefault="009B7826" w:rsidP="000420FA">
            <w:pPr>
              <w:spacing w:before="40" w:after="40" w:line="240" w:lineRule="auto"/>
              <w:ind w:left="40" w:right="40" w:firstLine="0"/>
            </w:pPr>
            <w:r>
              <w:t>0.30</w:t>
            </w:r>
          </w:p>
        </w:tc>
        <w:tc>
          <w:tcPr>
            <w:tcW w:w="915" w:type="dxa"/>
            <w:tcBorders>
              <w:top w:val="nil"/>
              <w:left w:val="nil"/>
              <w:bottom w:val="nil"/>
              <w:right w:val="nil"/>
            </w:tcBorders>
            <w:shd w:val="clear" w:color="auto" w:fill="auto"/>
            <w:tcMar>
              <w:top w:w="0" w:type="dxa"/>
              <w:left w:w="0" w:type="dxa"/>
              <w:bottom w:w="0" w:type="dxa"/>
              <w:right w:w="0" w:type="dxa"/>
            </w:tcMar>
          </w:tcPr>
          <w:p w14:paraId="11425EEC" w14:textId="77777777" w:rsidR="009B7826" w:rsidRDefault="009B7826" w:rsidP="000420FA">
            <w:pPr>
              <w:spacing w:before="40" w:after="40" w:line="240" w:lineRule="auto"/>
              <w:ind w:left="40" w:right="40" w:firstLine="0"/>
            </w:pPr>
            <w:r>
              <w:t>0.03</w:t>
            </w:r>
          </w:p>
        </w:tc>
        <w:tc>
          <w:tcPr>
            <w:tcW w:w="1035" w:type="dxa"/>
            <w:tcBorders>
              <w:top w:val="nil"/>
              <w:left w:val="nil"/>
              <w:bottom w:val="nil"/>
              <w:right w:val="nil"/>
            </w:tcBorders>
            <w:shd w:val="clear" w:color="auto" w:fill="auto"/>
            <w:tcMar>
              <w:top w:w="0" w:type="dxa"/>
              <w:left w:w="0" w:type="dxa"/>
              <w:bottom w:w="0" w:type="dxa"/>
              <w:right w:w="0" w:type="dxa"/>
            </w:tcMar>
          </w:tcPr>
          <w:p w14:paraId="3A404034" w14:textId="77777777" w:rsidR="009B7826" w:rsidRDefault="009B7826" w:rsidP="000420FA">
            <w:pPr>
              <w:spacing w:before="40" w:after="40" w:line="240" w:lineRule="auto"/>
              <w:ind w:left="40" w:right="40" w:firstLine="0"/>
            </w:pPr>
            <w:r>
              <w:t>32.4</w:t>
            </w:r>
          </w:p>
        </w:tc>
      </w:tr>
      <w:tr w:rsidR="009B7826" w14:paraId="7783EAB8" w14:textId="77777777" w:rsidTr="002A061A">
        <w:trPr>
          <w:trHeight w:val="360"/>
        </w:trPr>
        <w:tc>
          <w:tcPr>
            <w:tcW w:w="1350" w:type="dxa"/>
            <w:tcBorders>
              <w:top w:val="nil"/>
              <w:left w:val="nil"/>
              <w:bottom w:val="dashSmallGap" w:sz="4" w:space="0" w:color="000000"/>
              <w:right w:val="nil"/>
            </w:tcBorders>
            <w:shd w:val="clear" w:color="auto" w:fill="auto"/>
            <w:tcMar>
              <w:top w:w="0" w:type="dxa"/>
              <w:left w:w="0" w:type="dxa"/>
              <w:bottom w:w="0" w:type="dxa"/>
              <w:right w:w="0" w:type="dxa"/>
            </w:tcMar>
          </w:tcPr>
          <w:p w14:paraId="6B4E6726" w14:textId="77777777" w:rsidR="009B7826" w:rsidRDefault="009B7826" w:rsidP="000420FA">
            <w:pPr>
              <w:spacing w:before="40" w:after="40" w:line="240" w:lineRule="auto"/>
              <w:ind w:left="40" w:right="40" w:firstLine="0"/>
            </w:pPr>
            <w:r>
              <w:t xml:space="preserve"> </w:t>
            </w:r>
          </w:p>
        </w:tc>
        <w:tc>
          <w:tcPr>
            <w:tcW w:w="900" w:type="dxa"/>
            <w:tcBorders>
              <w:top w:val="nil"/>
              <w:left w:val="nil"/>
              <w:bottom w:val="dashSmallGap" w:sz="4" w:space="0" w:color="000000"/>
              <w:right w:val="nil"/>
            </w:tcBorders>
            <w:shd w:val="clear" w:color="auto" w:fill="auto"/>
            <w:tcMar>
              <w:top w:w="0" w:type="dxa"/>
              <w:left w:w="0" w:type="dxa"/>
              <w:bottom w:w="0" w:type="dxa"/>
              <w:right w:w="0" w:type="dxa"/>
            </w:tcMar>
          </w:tcPr>
          <w:p w14:paraId="39D817FD" w14:textId="77777777" w:rsidR="009B7826" w:rsidRDefault="009B7826" w:rsidP="000420FA">
            <w:pPr>
              <w:spacing w:before="40" w:after="40" w:line="240" w:lineRule="auto"/>
              <w:ind w:left="40" w:right="40" w:firstLine="0"/>
              <w:jc w:val="center"/>
            </w:pPr>
            <w:r>
              <w:t xml:space="preserve"> </w:t>
            </w:r>
          </w:p>
        </w:tc>
        <w:tc>
          <w:tcPr>
            <w:tcW w:w="960" w:type="dxa"/>
            <w:tcBorders>
              <w:top w:val="nil"/>
              <w:left w:val="nil"/>
              <w:bottom w:val="dashSmallGap" w:sz="4" w:space="0" w:color="000000"/>
              <w:right w:val="nil"/>
            </w:tcBorders>
            <w:shd w:val="clear" w:color="auto" w:fill="auto"/>
            <w:tcMar>
              <w:top w:w="0" w:type="dxa"/>
              <w:left w:w="0" w:type="dxa"/>
              <w:bottom w:w="0" w:type="dxa"/>
              <w:right w:w="0" w:type="dxa"/>
            </w:tcMar>
          </w:tcPr>
          <w:p w14:paraId="321D1010" w14:textId="77777777" w:rsidR="009B7826" w:rsidRDefault="009B7826" w:rsidP="000420FA">
            <w:pPr>
              <w:spacing w:before="40" w:after="40" w:line="240" w:lineRule="auto"/>
              <w:ind w:left="40" w:right="40" w:firstLine="0"/>
            </w:pPr>
            <w:r>
              <w:t xml:space="preserve"> </w:t>
            </w:r>
          </w:p>
        </w:tc>
        <w:tc>
          <w:tcPr>
            <w:tcW w:w="1140" w:type="dxa"/>
            <w:tcBorders>
              <w:top w:val="nil"/>
              <w:left w:val="nil"/>
              <w:bottom w:val="dashSmallGap" w:sz="4" w:space="0" w:color="000000"/>
              <w:right w:val="nil"/>
            </w:tcBorders>
            <w:shd w:val="clear" w:color="auto" w:fill="auto"/>
            <w:tcMar>
              <w:top w:w="0" w:type="dxa"/>
              <w:left w:w="0" w:type="dxa"/>
              <w:bottom w:w="0" w:type="dxa"/>
              <w:right w:w="0" w:type="dxa"/>
            </w:tcMar>
          </w:tcPr>
          <w:p w14:paraId="1FFE16C6" w14:textId="77777777" w:rsidR="009B7826" w:rsidRDefault="009B7826" w:rsidP="000420FA">
            <w:pPr>
              <w:spacing w:before="40" w:after="40" w:line="240" w:lineRule="auto"/>
              <w:ind w:left="40" w:right="40" w:firstLine="0"/>
              <w:jc w:val="center"/>
            </w:pPr>
            <w:r>
              <w:t>sepsis</w:t>
            </w:r>
          </w:p>
        </w:tc>
        <w:tc>
          <w:tcPr>
            <w:tcW w:w="975" w:type="dxa"/>
            <w:tcBorders>
              <w:top w:val="nil"/>
              <w:left w:val="nil"/>
              <w:bottom w:val="dashSmallGap" w:sz="4" w:space="0" w:color="000000"/>
              <w:right w:val="nil"/>
            </w:tcBorders>
            <w:shd w:val="clear" w:color="auto" w:fill="auto"/>
            <w:tcMar>
              <w:top w:w="0" w:type="dxa"/>
              <w:left w:w="0" w:type="dxa"/>
              <w:bottom w:w="0" w:type="dxa"/>
              <w:right w:w="0" w:type="dxa"/>
            </w:tcMar>
          </w:tcPr>
          <w:p w14:paraId="71BC5F0D" w14:textId="77777777" w:rsidR="009B7826" w:rsidRDefault="009B7826" w:rsidP="000420FA">
            <w:pPr>
              <w:spacing w:before="40" w:after="40" w:line="240" w:lineRule="auto"/>
              <w:ind w:left="40" w:right="40" w:firstLine="0"/>
              <w:jc w:val="center"/>
            </w:pPr>
            <w:r>
              <w:t>30</w:t>
            </w:r>
          </w:p>
        </w:tc>
        <w:tc>
          <w:tcPr>
            <w:tcW w:w="930" w:type="dxa"/>
            <w:tcBorders>
              <w:top w:val="nil"/>
              <w:left w:val="nil"/>
              <w:bottom w:val="dashSmallGap" w:sz="4" w:space="0" w:color="000000"/>
              <w:right w:val="nil"/>
            </w:tcBorders>
            <w:shd w:val="clear" w:color="auto" w:fill="auto"/>
            <w:tcMar>
              <w:top w:w="0" w:type="dxa"/>
              <w:left w:w="0" w:type="dxa"/>
              <w:bottom w:w="0" w:type="dxa"/>
              <w:right w:w="0" w:type="dxa"/>
            </w:tcMar>
          </w:tcPr>
          <w:p w14:paraId="62976D9B" w14:textId="77777777" w:rsidR="009B7826" w:rsidRDefault="009B7826" w:rsidP="000420FA">
            <w:pPr>
              <w:spacing w:before="40" w:after="40" w:line="240" w:lineRule="auto"/>
              <w:ind w:left="40" w:right="40" w:firstLine="0"/>
            </w:pPr>
            <w:r>
              <w:t>9.71</w:t>
            </w:r>
          </w:p>
        </w:tc>
        <w:tc>
          <w:tcPr>
            <w:tcW w:w="915" w:type="dxa"/>
            <w:tcBorders>
              <w:top w:val="nil"/>
              <w:left w:val="nil"/>
              <w:bottom w:val="dashSmallGap" w:sz="4" w:space="0" w:color="000000"/>
              <w:right w:val="nil"/>
            </w:tcBorders>
            <w:shd w:val="clear" w:color="auto" w:fill="auto"/>
            <w:tcMar>
              <w:top w:w="0" w:type="dxa"/>
              <w:left w:w="0" w:type="dxa"/>
              <w:bottom w:w="0" w:type="dxa"/>
              <w:right w:w="0" w:type="dxa"/>
            </w:tcMar>
          </w:tcPr>
          <w:p w14:paraId="6654C51F" w14:textId="77777777" w:rsidR="009B7826" w:rsidRDefault="009B7826" w:rsidP="000420FA">
            <w:pPr>
              <w:spacing w:before="40" w:after="40" w:line="240" w:lineRule="auto"/>
              <w:ind w:left="40" w:right="40" w:firstLine="0"/>
            </w:pPr>
            <w:r>
              <w:t>0.02</w:t>
            </w:r>
          </w:p>
        </w:tc>
        <w:tc>
          <w:tcPr>
            <w:tcW w:w="1035" w:type="dxa"/>
            <w:tcBorders>
              <w:top w:val="nil"/>
              <w:left w:val="nil"/>
              <w:bottom w:val="dashSmallGap" w:sz="4" w:space="0" w:color="000000"/>
              <w:right w:val="nil"/>
            </w:tcBorders>
            <w:shd w:val="clear" w:color="auto" w:fill="auto"/>
            <w:tcMar>
              <w:top w:w="0" w:type="dxa"/>
              <w:left w:w="0" w:type="dxa"/>
              <w:bottom w:w="0" w:type="dxa"/>
              <w:right w:w="0" w:type="dxa"/>
            </w:tcMar>
          </w:tcPr>
          <w:p w14:paraId="5D1B3317" w14:textId="77777777" w:rsidR="009B7826" w:rsidRDefault="009B7826" w:rsidP="000420FA">
            <w:pPr>
              <w:spacing w:before="40" w:after="40" w:line="240" w:lineRule="auto"/>
              <w:ind w:left="40" w:right="40" w:firstLine="0"/>
            </w:pPr>
            <w:r>
              <w:t>180</w:t>
            </w:r>
          </w:p>
        </w:tc>
      </w:tr>
      <w:tr w:rsidR="009B7826" w14:paraId="6526B11C" w14:textId="77777777" w:rsidTr="002A061A">
        <w:trPr>
          <w:trHeight w:val="420"/>
        </w:trPr>
        <w:tc>
          <w:tcPr>
            <w:tcW w:w="1350" w:type="dxa"/>
            <w:tcBorders>
              <w:top w:val="dashSmallGap" w:sz="4" w:space="0" w:color="000000"/>
              <w:left w:val="nil"/>
              <w:bottom w:val="nil"/>
              <w:right w:val="nil"/>
            </w:tcBorders>
            <w:shd w:val="clear" w:color="auto" w:fill="auto"/>
            <w:tcMar>
              <w:top w:w="0" w:type="dxa"/>
              <w:left w:w="0" w:type="dxa"/>
              <w:bottom w:w="0" w:type="dxa"/>
              <w:right w:w="0" w:type="dxa"/>
            </w:tcMar>
          </w:tcPr>
          <w:p w14:paraId="1AD08E3B" w14:textId="77777777" w:rsidR="009B7826" w:rsidRDefault="009B7826" w:rsidP="000420FA">
            <w:pPr>
              <w:spacing w:before="40" w:after="40" w:line="240" w:lineRule="auto"/>
              <w:ind w:left="40" w:right="40" w:firstLine="0"/>
            </w:pPr>
            <w:r>
              <w:t>Pooled</w:t>
            </w:r>
          </w:p>
        </w:tc>
        <w:tc>
          <w:tcPr>
            <w:tcW w:w="900" w:type="dxa"/>
            <w:tcBorders>
              <w:top w:val="dashSmallGap" w:sz="4" w:space="0" w:color="000000"/>
              <w:left w:val="nil"/>
              <w:bottom w:val="nil"/>
              <w:right w:val="nil"/>
            </w:tcBorders>
            <w:shd w:val="clear" w:color="auto" w:fill="auto"/>
            <w:tcMar>
              <w:top w:w="0" w:type="dxa"/>
              <w:left w:w="0" w:type="dxa"/>
              <w:bottom w:w="0" w:type="dxa"/>
              <w:right w:w="0" w:type="dxa"/>
            </w:tcMar>
          </w:tcPr>
          <w:p w14:paraId="4DED2ACD" w14:textId="77777777" w:rsidR="009B7826" w:rsidRDefault="009B7826" w:rsidP="000420FA">
            <w:pPr>
              <w:spacing w:before="40" w:after="40" w:line="240" w:lineRule="auto"/>
              <w:ind w:left="40" w:right="40" w:firstLine="0"/>
              <w:jc w:val="center"/>
            </w:pPr>
            <w:r>
              <w:t>t</w:t>
            </w:r>
            <w:r>
              <w:rPr>
                <w:vertAlign w:val="superscript"/>
              </w:rPr>
              <w:t>6</w:t>
            </w:r>
            <w:r>
              <w:t>A</w:t>
            </w:r>
          </w:p>
        </w:tc>
        <w:tc>
          <w:tcPr>
            <w:tcW w:w="960" w:type="dxa"/>
            <w:tcBorders>
              <w:top w:val="dashSmallGap" w:sz="4" w:space="0" w:color="000000"/>
              <w:left w:val="nil"/>
              <w:bottom w:val="nil"/>
              <w:right w:val="nil"/>
            </w:tcBorders>
            <w:shd w:val="clear" w:color="auto" w:fill="auto"/>
            <w:tcMar>
              <w:top w:w="0" w:type="dxa"/>
              <w:left w:w="0" w:type="dxa"/>
              <w:bottom w:w="0" w:type="dxa"/>
              <w:right w:w="0" w:type="dxa"/>
            </w:tcMar>
          </w:tcPr>
          <w:p w14:paraId="1E8FCB3F" w14:textId="77777777" w:rsidR="009B7826" w:rsidRDefault="009B7826" w:rsidP="000420FA">
            <w:pPr>
              <w:spacing w:before="40" w:after="40" w:line="240" w:lineRule="auto"/>
              <w:ind w:left="40" w:right="40" w:firstLine="0"/>
            </w:pPr>
            <w:r>
              <w:t>158</w:t>
            </w:r>
          </w:p>
        </w:tc>
        <w:tc>
          <w:tcPr>
            <w:tcW w:w="1140" w:type="dxa"/>
            <w:tcBorders>
              <w:top w:val="dashSmallGap" w:sz="4" w:space="0" w:color="000000"/>
              <w:left w:val="nil"/>
              <w:bottom w:val="nil"/>
              <w:right w:val="nil"/>
            </w:tcBorders>
            <w:shd w:val="clear" w:color="auto" w:fill="auto"/>
            <w:tcMar>
              <w:top w:w="0" w:type="dxa"/>
              <w:left w:w="0" w:type="dxa"/>
              <w:bottom w:w="0" w:type="dxa"/>
              <w:right w:w="0" w:type="dxa"/>
            </w:tcMar>
          </w:tcPr>
          <w:p w14:paraId="0D750263" w14:textId="77777777" w:rsidR="009B7826" w:rsidRDefault="009B7826" w:rsidP="000420FA">
            <w:pPr>
              <w:spacing w:before="40" w:after="40" w:line="240" w:lineRule="auto"/>
              <w:ind w:left="40" w:right="40" w:firstLine="0"/>
              <w:jc w:val="center"/>
            </w:pPr>
            <w:r>
              <w:t>control</w:t>
            </w:r>
          </w:p>
        </w:tc>
        <w:tc>
          <w:tcPr>
            <w:tcW w:w="975" w:type="dxa"/>
            <w:tcBorders>
              <w:top w:val="dashSmallGap" w:sz="4" w:space="0" w:color="000000"/>
              <w:left w:val="nil"/>
              <w:bottom w:val="nil"/>
              <w:right w:val="nil"/>
            </w:tcBorders>
            <w:shd w:val="clear" w:color="auto" w:fill="auto"/>
            <w:tcMar>
              <w:top w:w="0" w:type="dxa"/>
              <w:left w:w="0" w:type="dxa"/>
              <w:bottom w:w="0" w:type="dxa"/>
              <w:right w:w="0" w:type="dxa"/>
            </w:tcMar>
          </w:tcPr>
          <w:p w14:paraId="5CE942EA" w14:textId="77777777" w:rsidR="009B7826" w:rsidRDefault="009B7826" w:rsidP="000420FA">
            <w:pPr>
              <w:spacing w:before="40" w:after="40" w:line="240" w:lineRule="auto"/>
              <w:ind w:left="40" w:right="40" w:firstLine="0"/>
              <w:jc w:val="center"/>
            </w:pPr>
            <w:r>
              <w:t>81</w:t>
            </w:r>
          </w:p>
        </w:tc>
        <w:tc>
          <w:tcPr>
            <w:tcW w:w="930" w:type="dxa"/>
            <w:tcBorders>
              <w:top w:val="dashSmallGap" w:sz="4" w:space="0" w:color="000000"/>
              <w:left w:val="nil"/>
              <w:bottom w:val="nil"/>
              <w:right w:val="nil"/>
            </w:tcBorders>
            <w:shd w:val="clear" w:color="auto" w:fill="auto"/>
            <w:tcMar>
              <w:top w:w="0" w:type="dxa"/>
              <w:left w:w="0" w:type="dxa"/>
              <w:bottom w:w="0" w:type="dxa"/>
              <w:right w:w="0" w:type="dxa"/>
            </w:tcMar>
          </w:tcPr>
          <w:p w14:paraId="7BB8F8A0" w14:textId="77777777" w:rsidR="009B7826" w:rsidRDefault="009B7826" w:rsidP="000420FA">
            <w:pPr>
              <w:spacing w:before="40" w:after="40" w:line="240" w:lineRule="auto"/>
              <w:ind w:left="40" w:right="40" w:firstLine="0"/>
            </w:pPr>
            <w:r>
              <w:t>24.2</w:t>
            </w:r>
          </w:p>
        </w:tc>
        <w:tc>
          <w:tcPr>
            <w:tcW w:w="915" w:type="dxa"/>
            <w:tcBorders>
              <w:top w:val="dashSmallGap" w:sz="4" w:space="0" w:color="000000"/>
              <w:left w:val="nil"/>
              <w:bottom w:val="nil"/>
              <w:right w:val="nil"/>
            </w:tcBorders>
            <w:shd w:val="clear" w:color="auto" w:fill="auto"/>
            <w:tcMar>
              <w:top w:w="0" w:type="dxa"/>
              <w:left w:w="0" w:type="dxa"/>
              <w:bottom w:w="0" w:type="dxa"/>
              <w:right w:w="0" w:type="dxa"/>
            </w:tcMar>
          </w:tcPr>
          <w:p w14:paraId="0227085E" w14:textId="77777777" w:rsidR="009B7826" w:rsidRDefault="009B7826" w:rsidP="000420FA">
            <w:pPr>
              <w:spacing w:before="40" w:after="40" w:line="240" w:lineRule="auto"/>
              <w:ind w:left="40" w:right="40" w:firstLine="0"/>
            </w:pPr>
            <w:r>
              <w:t>16.1</w:t>
            </w:r>
          </w:p>
        </w:tc>
        <w:tc>
          <w:tcPr>
            <w:tcW w:w="1035" w:type="dxa"/>
            <w:tcBorders>
              <w:top w:val="dashSmallGap" w:sz="4" w:space="0" w:color="000000"/>
              <w:left w:val="nil"/>
              <w:bottom w:val="nil"/>
              <w:right w:val="nil"/>
            </w:tcBorders>
            <w:shd w:val="clear" w:color="auto" w:fill="auto"/>
            <w:tcMar>
              <w:top w:w="0" w:type="dxa"/>
              <w:left w:w="0" w:type="dxa"/>
              <w:bottom w:w="0" w:type="dxa"/>
              <w:right w:w="0" w:type="dxa"/>
            </w:tcMar>
          </w:tcPr>
          <w:p w14:paraId="2E78A38A" w14:textId="77777777" w:rsidR="009B7826" w:rsidRDefault="009B7826" w:rsidP="000420FA">
            <w:pPr>
              <w:spacing w:before="40" w:after="40" w:line="240" w:lineRule="auto"/>
              <w:ind w:left="40" w:right="40" w:firstLine="0"/>
            </w:pPr>
            <w:r>
              <w:t>84.5</w:t>
            </w:r>
          </w:p>
        </w:tc>
      </w:tr>
      <w:tr w:rsidR="009B7826" w14:paraId="41713C3E" w14:textId="77777777" w:rsidTr="000420FA">
        <w:trPr>
          <w:trHeight w:val="345"/>
        </w:trPr>
        <w:tc>
          <w:tcPr>
            <w:tcW w:w="1350" w:type="dxa"/>
            <w:tcBorders>
              <w:top w:val="nil"/>
              <w:left w:val="nil"/>
              <w:bottom w:val="nil"/>
              <w:right w:val="nil"/>
            </w:tcBorders>
            <w:shd w:val="clear" w:color="auto" w:fill="auto"/>
            <w:tcMar>
              <w:top w:w="0" w:type="dxa"/>
              <w:left w:w="0" w:type="dxa"/>
              <w:bottom w:w="0" w:type="dxa"/>
              <w:right w:w="0" w:type="dxa"/>
            </w:tcMar>
          </w:tcPr>
          <w:p w14:paraId="1865770F" w14:textId="77777777" w:rsidR="009B7826" w:rsidRDefault="009B7826" w:rsidP="000420FA">
            <w:pPr>
              <w:spacing w:before="40" w:after="40" w:line="240" w:lineRule="auto"/>
              <w:ind w:left="40" w:right="40" w:firstLine="0"/>
            </w:pPr>
            <w:r>
              <w:t xml:space="preserve"> </w:t>
            </w:r>
          </w:p>
        </w:tc>
        <w:tc>
          <w:tcPr>
            <w:tcW w:w="900" w:type="dxa"/>
            <w:tcBorders>
              <w:top w:val="nil"/>
              <w:left w:val="nil"/>
              <w:bottom w:val="nil"/>
              <w:right w:val="nil"/>
            </w:tcBorders>
            <w:shd w:val="clear" w:color="auto" w:fill="auto"/>
            <w:tcMar>
              <w:top w:w="0" w:type="dxa"/>
              <w:left w:w="0" w:type="dxa"/>
              <w:bottom w:w="0" w:type="dxa"/>
              <w:right w:w="0" w:type="dxa"/>
            </w:tcMar>
          </w:tcPr>
          <w:p w14:paraId="079545E8" w14:textId="77777777" w:rsidR="009B7826" w:rsidRDefault="009B7826" w:rsidP="000420FA">
            <w:pPr>
              <w:spacing w:before="40" w:after="40" w:line="240" w:lineRule="auto"/>
              <w:ind w:left="40" w:right="40" w:firstLine="0"/>
              <w:jc w:val="center"/>
            </w:pPr>
            <w:r>
              <w:t xml:space="preserve"> </w:t>
            </w:r>
          </w:p>
        </w:tc>
        <w:tc>
          <w:tcPr>
            <w:tcW w:w="960" w:type="dxa"/>
            <w:tcBorders>
              <w:top w:val="nil"/>
              <w:left w:val="nil"/>
              <w:bottom w:val="nil"/>
              <w:right w:val="nil"/>
            </w:tcBorders>
            <w:shd w:val="clear" w:color="auto" w:fill="auto"/>
            <w:tcMar>
              <w:top w:w="0" w:type="dxa"/>
              <w:left w:w="0" w:type="dxa"/>
              <w:bottom w:w="0" w:type="dxa"/>
              <w:right w:w="0" w:type="dxa"/>
            </w:tcMar>
          </w:tcPr>
          <w:p w14:paraId="04A78564" w14:textId="77777777" w:rsidR="009B7826" w:rsidRDefault="009B7826" w:rsidP="000420FA">
            <w:pPr>
              <w:spacing w:before="40" w:after="40" w:line="240" w:lineRule="auto"/>
              <w:ind w:left="40" w:right="40" w:firstLine="0"/>
            </w:pPr>
            <w:r>
              <w:t xml:space="preserve"> </w:t>
            </w:r>
          </w:p>
        </w:tc>
        <w:tc>
          <w:tcPr>
            <w:tcW w:w="1140" w:type="dxa"/>
            <w:tcBorders>
              <w:top w:val="nil"/>
              <w:left w:val="nil"/>
              <w:bottom w:val="nil"/>
              <w:right w:val="nil"/>
            </w:tcBorders>
            <w:shd w:val="clear" w:color="auto" w:fill="auto"/>
            <w:tcMar>
              <w:top w:w="0" w:type="dxa"/>
              <w:left w:w="0" w:type="dxa"/>
              <w:bottom w:w="0" w:type="dxa"/>
              <w:right w:w="0" w:type="dxa"/>
            </w:tcMar>
          </w:tcPr>
          <w:p w14:paraId="29B4F1F8" w14:textId="77777777" w:rsidR="009B7826" w:rsidRDefault="009B7826" w:rsidP="000420FA">
            <w:pPr>
              <w:spacing w:before="40" w:after="40" w:line="240" w:lineRule="auto"/>
              <w:ind w:left="40" w:right="40" w:firstLine="0"/>
              <w:jc w:val="center"/>
            </w:pPr>
            <w:r>
              <w:t>sepsis</w:t>
            </w:r>
          </w:p>
        </w:tc>
        <w:tc>
          <w:tcPr>
            <w:tcW w:w="975" w:type="dxa"/>
            <w:tcBorders>
              <w:top w:val="nil"/>
              <w:left w:val="nil"/>
              <w:bottom w:val="nil"/>
              <w:right w:val="nil"/>
            </w:tcBorders>
            <w:shd w:val="clear" w:color="auto" w:fill="auto"/>
            <w:tcMar>
              <w:top w:w="0" w:type="dxa"/>
              <w:left w:w="0" w:type="dxa"/>
              <w:bottom w:w="0" w:type="dxa"/>
              <w:right w:w="0" w:type="dxa"/>
            </w:tcMar>
          </w:tcPr>
          <w:p w14:paraId="1DB38A1E" w14:textId="77777777" w:rsidR="009B7826" w:rsidRDefault="009B7826" w:rsidP="000420FA">
            <w:pPr>
              <w:spacing w:before="40" w:after="40" w:line="240" w:lineRule="auto"/>
              <w:ind w:left="40" w:right="40" w:firstLine="0"/>
              <w:jc w:val="center"/>
            </w:pPr>
            <w:r>
              <w:t>77</w:t>
            </w:r>
          </w:p>
        </w:tc>
        <w:tc>
          <w:tcPr>
            <w:tcW w:w="930" w:type="dxa"/>
            <w:tcBorders>
              <w:top w:val="nil"/>
              <w:left w:val="nil"/>
              <w:bottom w:val="nil"/>
              <w:right w:val="nil"/>
            </w:tcBorders>
            <w:shd w:val="clear" w:color="auto" w:fill="auto"/>
            <w:tcMar>
              <w:top w:w="0" w:type="dxa"/>
              <w:left w:w="0" w:type="dxa"/>
              <w:bottom w:w="0" w:type="dxa"/>
              <w:right w:w="0" w:type="dxa"/>
            </w:tcMar>
          </w:tcPr>
          <w:p w14:paraId="0BC65E45" w14:textId="77777777" w:rsidR="009B7826" w:rsidRDefault="009B7826" w:rsidP="000420FA">
            <w:pPr>
              <w:spacing w:before="40" w:after="40" w:line="240" w:lineRule="auto"/>
              <w:ind w:left="40" w:right="40" w:firstLine="0"/>
            </w:pPr>
            <w:r>
              <w:t>94.7</w:t>
            </w:r>
          </w:p>
        </w:tc>
        <w:tc>
          <w:tcPr>
            <w:tcW w:w="915" w:type="dxa"/>
            <w:tcBorders>
              <w:top w:val="nil"/>
              <w:left w:val="nil"/>
              <w:bottom w:val="nil"/>
              <w:right w:val="nil"/>
            </w:tcBorders>
            <w:shd w:val="clear" w:color="auto" w:fill="auto"/>
            <w:tcMar>
              <w:top w:w="0" w:type="dxa"/>
              <w:left w:w="0" w:type="dxa"/>
              <w:bottom w:w="0" w:type="dxa"/>
              <w:right w:w="0" w:type="dxa"/>
            </w:tcMar>
          </w:tcPr>
          <w:p w14:paraId="541B277A" w14:textId="77777777" w:rsidR="009B7826" w:rsidRDefault="009B7826" w:rsidP="000420FA">
            <w:pPr>
              <w:spacing w:before="40" w:after="40" w:line="240" w:lineRule="auto"/>
              <w:ind w:left="40" w:right="40" w:firstLine="0"/>
            </w:pPr>
            <w:r>
              <w:t>25.5</w:t>
            </w:r>
          </w:p>
        </w:tc>
        <w:tc>
          <w:tcPr>
            <w:tcW w:w="1035" w:type="dxa"/>
            <w:tcBorders>
              <w:top w:val="nil"/>
              <w:left w:val="nil"/>
              <w:bottom w:val="nil"/>
              <w:right w:val="nil"/>
            </w:tcBorders>
            <w:shd w:val="clear" w:color="auto" w:fill="auto"/>
            <w:tcMar>
              <w:top w:w="0" w:type="dxa"/>
              <w:left w:w="0" w:type="dxa"/>
              <w:bottom w:w="0" w:type="dxa"/>
              <w:right w:w="0" w:type="dxa"/>
            </w:tcMar>
          </w:tcPr>
          <w:p w14:paraId="30C645D1" w14:textId="77777777" w:rsidR="009B7826" w:rsidRDefault="009B7826" w:rsidP="000420FA">
            <w:pPr>
              <w:spacing w:before="40" w:after="40" w:line="240" w:lineRule="auto"/>
              <w:ind w:left="40" w:right="40" w:firstLine="0"/>
            </w:pPr>
            <w:r>
              <w:t>704</w:t>
            </w:r>
          </w:p>
        </w:tc>
      </w:tr>
      <w:tr w:rsidR="009B7826" w14:paraId="7F4D0BF4" w14:textId="77777777" w:rsidTr="002A061A">
        <w:trPr>
          <w:trHeight w:val="345"/>
        </w:trPr>
        <w:tc>
          <w:tcPr>
            <w:tcW w:w="1350" w:type="dxa"/>
            <w:tcBorders>
              <w:top w:val="nil"/>
              <w:left w:val="nil"/>
              <w:bottom w:val="nil"/>
              <w:right w:val="nil"/>
            </w:tcBorders>
            <w:shd w:val="clear" w:color="auto" w:fill="auto"/>
            <w:tcMar>
              <w:top w:w="0" w:type="dxa"/>
              <w:left w:w="0" w:type="dxa"/>
              <w:bottom w:w="0" w:type="dxa"/>
              <w:right w:w="0" w:type="dxa"/>
            </w:tcMar>
          </w:tcPr>
          <w:p w14:paraId="3020DDC8" w14:textId="77777777" w:rsidR="009B7826" w:rsidRDefault="009B7826" w:rsidP="000420FA">
            <w:pPr>
              <w:spacing w:before="40" w:after="40" w:line="240" w:lineRule="auto"/>
              <w:ind w:left="40" w:right="40" w:firstLine="0"/>
            </w:pPr>
            <w:r>
              <w:t xml:space="preserve"> </w:t>
            </w:r>
          </w:p>
        </w:tc>
        <w:tc>
          <w:tcPr>
            <w:tcW w:w="900" w:type="dxa"/>
            <w:tcBorders>
              <w:top w:val="nil"/>
              <w:left w:val="nil"/>
              <w:bottom w:val="nil"/>
              <w:right w:val="nil"/>
            </w:tcBorders>
            <w:shd w:val="clear" w:color="auto" w:fill="auto"/>
            <w:tcMar>
              <w:top w:w="0" w:type="dxa"/>
              <w:left w:w="0" w:type="dxa"/>
              <w:bottom w:w="0" w:type="dxa"/>
              <w:right w:w="0" w:type="dxa"/>
            </w:tcMar>
          </w:tcPr>
          <w:p w14:paraId="77E91187" w14:textId="77777777" w:rsidR="009B7826" w:rsidRDefault="009B7826" w:rsidP="000420FA">
            <w:pPr>
              <w:spacing w:before="40" w:after="40" w:line="240" w:lineRule="auto"/>
              <w:ind w:left="40" w:right="40" w:firstLine="0"/>
              <w:jc w:val="center"/>
            </w:pPr>
            <w:r>
              <w:t>PCT</w:t>
            </w:r>
          </w:p>
        </w:tc>
        <w:tc>
          <w:tcPr>
            <w:tcW w:w="960" w:type="dxa"/>
            <w:tcBorders>
              <w:top w:val="nil"/>
              <w:left w:val="nil"/>
              <w:bottom w:val="nil"/>
              <w:right w:val="nil"/>
            </w:tcBorders>
            <w:shd w:val="clear" w:color="auto" w:fill="auto"/>
            <w:tcMar>
              <w:top w:w="0" w:type="dxa"/>
              <w:left w:w="0" w:type="dxa"/>
              <w:bottom w:w="0" w:type="dxa"/>
              <w:right w:w="0" w:type="dxa"/>
            </w:tcMar>
          </w:tcPr>
          <w:p w14:paraId="43525A02" w14:textId="77777777" w:rsidR="009B7826" w:rsidRDefault="009B7826" w:rsidP="000420FA">
            <w:pPr>
              <w:spacing w:before="40" w:after="40" w:line="240" w:lineRule="auto"/>
              <w:ind w:left="40" w:right="40" w:firstLine="0"/>
            </w:pPr>
            <w:r>
              <w:t>126</w:t>
            </w:r>
          </w:p>
        </w:tc>
        <w:tc>
          <w:tcPr>
            <w:tcW w:w="1140" w:type="dxa"/>
            <w:tcBorders>
              <w:top w:val="nil"/>
              <w:left w:val="nil"/>
              <w:bottom w:val="nil"/>
              <w:right w:val="nil"/>
            </w:tcBorders>
            <w:shd w:val="clear" w:color="auto" w:fill="auto"/>
            <w:tcMar>
              <w:top w:w="0" w:type="dxa"/>
              <w:left w:w="0" w:type="dxa"/>
              <w:bottom w:w="0" w:type="dxa"/>
              <w:right w:w="0" w:type="dxa"/>
            </w:tcMar>
          </w:tcPr>
          <w:p w14:paraId="4953E335" w14:textId="77777777" w:rsidR="009B7826" w:rsidRDefault="009B7826" w:rsidP="000420FA">
            <w:pPr>
              <w:spacing w:before="40" w:after="40" w:line="240" w:lineRule="auto"/>
              <w:ind w:left="40" w:right="40" w:firstLine="0"/>
              <w:jc w:val="center"/>
            </w:pPr>
            <w:r>
              <w:t>control</w:t>
            </w:r>
          </w:p>
        </w:tc>
        <w:tc>
          <w:tcPr>
            <w:tcW w:w="975" w:type="dxa"/>
            <w:tcBorders>
              <w:top w:val="nil"/>
              <w:left w:val="nil"/>
              <w:bottom w:val="nil"/>
              <w:right w:val="nil"/>
            </w:tcBorders>
            <w:shd w:val="clear" w:color="auto" w:fill="auto"/>
            <w:tcMar>
              <w:top w:w="0" w:type="dxa"/>
              <w:left w:w="0" w:type="dxa"/>
              <w:bottom w:w="0" w:type="dxa"/>
              <w:right w:w="0" w:type="dxa"/>
            </w:tcMar>
          </w:tcPr>
          <w:p w14:paraId="324031FC" w14:textId="77777777" w:rsidR="009B7826" w:rsidRDefault="009B7826" w:rsidP="000420FA">
            <w:pPr>
              <w:spacing w:before="40" w:after="40" w:line="240" w:lineRule="auto"/>
              <w:ind w:left="40" w:right="40" w:firstLine="0"/>
              <w:jc w:val="center"/>
            </w:pPr>
            <w:r>
              <w:t>45</w:t>
            </w:r>
          </w:p>
        </w:tc>
        <w:tc>
          <w:tcPr>
            <w:tcW w:w="930" w:type="dxa"/>
            <w:tcBorders>
              <w:top w:val="nil"/>
              <w:left w:val="nil"/>
              <w:bottom w:val="nil"/>
              <w:right w:val="nil"/>
            </w:tcBorders>
            <w:shd w:val="clear" w:color="auto" w:fill="auto"/>
            <w:tcMar>
              <w:top w:w="0" w:type="dxa"/>
              <w:left w:w="0" w:type="dxa"/>
              <w:bottom w:w="0" w:type="dxa"/>
              <w:right w:w="0" w:type="dxa"/>
            </w:tcMar>
          </w:tcPr>
          <w:p w14:paraId="63CA6032" w14:textId="77777777" w:rsidR="009B7826" w:rsidRDefault="009B7826" w:rsidP="000420FA">
            <w:pPr>
              <w:spacing w:before="40" w:after="40" w:line="240" w:lineRule="auto"/>
              <w:ind w:left="40" w:right="40" w:firstLine="0"/>
            </w:pPr>
            <w:r>
              <w:t>0.40</w:t>
            </w:r>
          </w:p>
        </w:tc>
        <w:tc>
          <w:tcPr>
            <w:tcW w:w="915" w:type="dxa"/>
            <w:tcBorders>
              <w:top w:val="nil"/>
              <w:left w:val="nil"/>
              <w:bottom w:val="nil"/>
              <w:right w:val="nil"/>
            </w:tcBorders>
            <w:shd w:val="clear" w:color="auto" w:fill="auto"/>
            <w:tcMar>
              <w:top w:w="0" w:type="dxa"/>
              <w:left w:w="0" w:type="dxa"/>
              <w:bottom w:w="0" w:type="dxa"/>
              <w:right w:w="0" w:type="dxa"/>
            </w:tcMar>
          </w:tcPr>
          <w:p w14:paraId="65D93B39" w14:textId="77777777" w:rsidR="009B7826" w:rsidRDefault="009B7826" w:rsidP="000420FA">
            <w:pPr>
              <w:spacing w:before="40" w:after="40" w:line="240" w:lineRule="auto"/>
              <w:ind w:left="40" w:right="40" w:firstLine="0"/>
            </w:pPr>
            <w:r>
              <w:t>0.03</w:t>
            </w:r>
          </w:p>
        </w:tc>
        <w:tc>
          <w:tcPr>
            <w:tcW w:w="1035" w:type="dxa"/>
            <w:tcBorders>
              <w:top w:val="nil"/>
              <w:left w:val="nil"/>
              <w:bottom w:val="nil"/>
              <w:right w:val="nil"/>
            </w:tcBorders>
            <w:shd w:val="clear" w:color="auto" w:fill="auto"/>
            <w:tcMar>
              <w:top w:w="0" w:type="dxa"/>
              <w:left w:w="0" w:type="dxa"/>
              <w:bottom w:w="0" w:type="dxa"/>
              <w:right w:w="0" w:type="dxa"/>
            </w:tcMar>
          </w:tcPr>
          <w:p w14:paraId="59C1EA79" w14:textId="77777777" w:rsidR="009B7826" w:rsidRDefault="009B7826" w:rsidP="000420FA">
            <w:pPr>
              <w:spacing w:before="40" w:after="40" w:line="240" w:lineRule="auto"/>
              <w:ind w:left="40" w:right="40" w:firstLine="0"/>
            </w:pPr>
            <w:r>
              <w:t>32.4</w:t>
            </w:r>
          </w:p>
        </w:tc>
      </w:tr>
      <w:tr w:rsidR="009B7826" w14:paraId="7E86C3CC" w14:textId="77777777" w:rsidTr="002A061A">
        <w:trPr>
          <w:trHeight w:val="360"/>
        </w:trPr>
        <w:tc>
          <w:tcPr>
            <w:tcW w:w="1350" w:type="dxa"/>
            <w:tcBorders>
              <w:top w:val="nil"/>
              <w:left w:val="nil"/>
              <w:bottom w:val="single" w:sz="12" w:space="0" w:color="000000"/>
              <w:right w:val="nil"/>
            </w:tcBorders>
            <w:shd w:val="clear" w:color="auto" w:fill="auto"/>
            <w:tcMar>
              <w:top w:w="0" w:type="dxa"/>
              <w:left w:w="0" w:type="dxa"/>
              <w:bottom w:w="0" w:type="dxa"/>
              <w:right w:w="0" w:type="dxa"/>
            </w:tcMar>
          </w:tcPr>
          <w:p w14:paraId="49D09457" w14:textId="77777777" w:rsidR="009B7826" w:rsidRDefault="009B7826" w:rsidP="000420FA">
            <w:pPr>
              <w:spacing w:before="40" w:after="40" w:line="240" w:lineRule="auto"/>
              <w:ind w:left="40" w:right="40" w:firstLine="0"/>
            </w:pPr>
            <w:r>
              <w:t xml:space="preserve"> </w:t>
            </w:r>
          </w:p>
        </w:tc>
        <w:tc>
          <w:tcPr>
            <w:tcW w:w="900" w:type="dxa"/>
            <w:tcBorders>
              <w:top w:val="nil"/>
              <w:left w:val="nil"/>
              <w:bottom w:val="single" w:sz="12" w:space="0" w:color="000000"/>
              <w:right w:val="nil"/>
            </w:tcBorders>
            <w:shd w:val="clear" w:color="auto" w:fill="auto"/>
            <w:tcMar>
              <w:top w:w="0" w:type="dxa"/>
              <w:left w:w="0" w:type="dxa"/>
              <w:bottom w:w="0" w:type="dxa"/>
              <w:right w:w="0" w:type="dxa"/>
            </w:tcMar>
          </w:tcPr>
          <w:p w14:paraId="61D79B74" w14:textId="77777777" w:rsidR="009B7826" w:rsidRDefault="009B7826" w:rsidP="000420FA">
            <w:pPr>
              <w:spacing w:before="40" w:after="40" w:line="240" w:lineRule="auto"/>
              <w:ind w:left="40" w:right="40" w:firstLine="0"/>
              <w:jc w:val="center"/>
            </w:pPr>
            <w:r>
              <w:t xml:space="preserve"> </w:t>
            </w:r>
          </w:p>
        </w:tc>
        <w:tc>
          <w:tcPr>
            <w:tcW w:w="960" w:type="dxa"/>
            <w:tcBorders>
              <w:top w:val="nil"/>
              <w:left w:val="nil"/>
              <w:bottom w:val="single" w:sz="12" w:space="0" w:color="000000"/>
              <w:right w:val="nil"/>
            </w:tcBorders>
            <w:shd w:val="clear" w:color="auto" w:fill="auto"/>
            <w:tcMar>
              <w:top w:w="0" w:type="dxa"/>
              <w:left w:w="0" w:type="dxa"/>
              <w:bottom w:w="0" w:type="dxa"/>
              <w:right w:w="0" w:type="dxa"/>
            </w:tcMar>
          </w:tcPr>
          <w:p w14:paraId="2773A6C8" w14:textId="77777777" w:rsidR="009B7826" w:rsidRDefault="009B7826" w:rsidP="000420FA">
            <w:pPr>
              <w:spacing w:before="40" w:after="40" w:line="240" w:lineRule="auto"/>
              <w:ind w:left="40" w:right="40" w:firstLine="0"/>
            </w:pPr>
            <w:r>
              <w:t xml:space="preserve"> </w:t>
            </w:r>
          </w:p>
        </w:tc>
        <w:tc>
          <w:tcPr>
            <w:tcW w:w="1140" w:type="dxa"/>
            <w:tcBorders>
              <w:top w:val="nil"/>
              <w:left w:val="nil"/>
              <w:bottom w:val="single" w:sz="12" w:space="0" w:color="000000"/>
              <w:right w:val="nil"/>
            </w:tcBorders>
            <w:shd w:val="clear" w:color="auto" w:fill="auto"/>
            <w:tcMar>
              <w:top w:w="0" w:type="dxa"/>
              <w:left w:w="0" w:type="dxa"/>
              <w:bottom w:w="0" w:type="dxa"/>
              <w:right w:w="0" w:type="dxa"/>
            </w:tcMar>
          </w:tcPr>
          <w:p w14:paraId="1AD200E1" w14:textId="77777777" w:rsidR="009B7826" w:rsidRDefault="009B7826" w:rsidP="000420FA">
            <w:pPr>
              <w:spacing w:before="40" w:after="40" w:line="240" w:lineRule="auto"/>
              <w:ind w:left="40" w:right="40" w:firstLine="0"/>
              <w:jc w:val="center"/>
            </w:pPr>
            <w:r>
              <w:t>sepsis</w:t>
            </w:r>
          </w:p>
        </w:tc>
        <w:tc>
          <w:tcPr>
            <w:tcW w:w="975" w:type="dxa"/>
            <w:tcBorders>
              <w:top w:val="nil"/>
              <w:left w:val="nil"/>
              <w:bottom w:val="single" w:sz="12" w:space="0" w:color="000000"/>
              <w:right w:val="nil"/>
            </w:tcBorders>
            <w:shd w:val="clear" w:color="auto" w:fill="auto"/>
            <w:tcMar>
              <w:top w:w="0" w:type="dxa"/>
              <w:left w:w="0" w:type="dxa"/>
              <w:bottom w:w="0" w:type="dxa"/>
              <w:right w:w="0" w:type="dxa"/>
            </w:tcMar>
          </w:tcPr>
          <w:p w14:paraId="05787063" w14:textId="77777777" w:rsidR="009B7826" w:rsidRDefault="009B7826" w:rsidP="000420FA">
            <w:pPr>
              <w:spacing w:before="40" w:after="40" w:line="240" w:lineRule="auto"/>
              <w:ind w:left="40" w:right="40" w:firstLine="0"/>
              <w:jc w:val="center"/>
            </w:pPr>
            <w:r>
              <w:t>81</w:t>
            </w:r>
          </w:p>
        </w:tc>
        <w:tc>
          <w:tcPr>
            <w:tcW w:w="930" w:type="dxa"/>
            <w:tcBorders>
              <w:top w:val="nil"/>
              <w:left w:val="nil"/>
              <w:bottom w:val="single" w:sz="12" w:space="0" w:color="000000"/>
              <w:right w:val="nil"/>
            </w:tcBorders>
            <w:shd w:val="clear" w:color="auto" w:fill="auto"/>
            <w:tcMar>
              <w:top w:w="0" w:type="dxa"/>
              <w:left w:w="0" w:type="dxa"/>
              <w:bottom w:w="0" w:type="dxa"/>
              <w:right w:w="0" w:type="dxa"/>
            </w:tcMar>
          </w:tcPr>
          <w:p w14:paraId="787C45BA" w14:textId="77777777" w:rsidR="009B7826" w:rsidRDefault="009B7826" w:rsidP="000420FA">
            <w:pPr>
              <w:spacing w:before="40" w:after="40" w:line="240" w:lineRule="auto"/>
              <w:ind w:left="40" w:right="40" w:firstLine="0"/>
            </w:pPr>
            <w:r>
              <w:t>7.67</w:t>
            </w:r>
          </w:p>
        </w:tc>
        <w:tc>
          <w:tcPr>
            <w:tcW w:w="915" w:type="dxa"/>
            <w:tcBorders>
              <w:top w:val="nil"/>
              <w:left w:val="nil"/>
              <w:bottom w:val="single" w:sz="12" w:space="0" w:color="000000"/>
              <w:right w:val="nil"/>
            </w:tcBorders>
            <w:shd w:val="clear" w:color="auto" w:fill="auto"/>
            <w:tcMar>
              <w:top w:w="0" w:type="dxa"/>
              <w:left w:w="0" w:type="dxa"/>
              <w:bottom w:w="0" w:type="dxa"/>
              <w:right w:w="0" w:type="dxa"/>
            </w:tcMar>
          </w:tcPr>
          <w:p w14:paraId="528BE083" w14:textId="77777777" w:rsidR="009B7826" w:rsidRDefault="009B7826" w:rsidP="000420FA">
            <w:pPr>
              <w:spacing w:before="40" w:after="40" w:line="240" w:lineRule="auto"/>
              <w:ind w:left="40" w:right="40" w:firstLine="0"/>
            </w:pPr>
            <w:r>
              <w:t>0.02</w:t>
            </w:r>
          </w:p>
        </w:tc>
        <w:tc>
          <w:tcPr>
            <w:tcW w:w="1035" w:type="dxa"/>
            <w:tcBorders>
              <w:top w:val="nil"/>
              <w:left w:val="nil"/>
              <w:bottom w:val="single" w:sz="12" w:space="0" w:color="000000"/>
              <w:right w:val="nil"/>
            </w:tcBorders>
            <w:shd w:val="clear" w:color="auto" w:fill="auto"/>
            <w:tcMar>
              <w:top w:w="0" w:type="dxa"/>
              <w:left w:w="0" w:type="dxa"/>
              <w:bottom w:w="0" w:type="dxa"/>
              <w:right w:w="0" w:type="dxa"/>
            </w:tcMar>
          </w:tcPr>
          <w:p w14:paraId="5B30E9D0" w14:textId="77777777" w:rsidR="009B7826" w:rsidRDefault="009B7826" w:rsidP="000420FA">
            <w:pPr>
              <w:spacing w:before="40" w:after="40" w:line="240" w:lineRule="auto"/>
              <w:ind w:left="40" w:right="40" w:firstLine="0"/>
            </w:pPr>
            <w:r>
              <w:t>333</w:t>
            </w:r>
          </w:p>
        </w:tc>
      </w:tr>
    </w:tbl>
    <w:p w14:paraId="13127740" w14:textId="6528A941" w:rsidR="00E30E39" w:rsidRDefault="009B7826" w:rsidP="009B7826">
      <w:pPr>
        <w:spacing w:before="40" w:after="240"/>
        <w:ind w:firstLine="0"/>
      </w:pPr>
      <w:r>
        <w:t>All concentrations in ng/mL</w:t>
      </w:r>
    </w:p>
    <w:p w14:paraId="63F215ED" w14:textId="77777777" w:rsidR="00E30E39" w:rsidRDefault="00E30E39">
      <w:pPr>
        <w:spacing w:after="160" w:line="259" w:lineRule="auto"/>
        <w:ind w:firstLine="0"/>
      </w:pPr>
      <w:r>
        <w:br w:type="page"/>
      </w:r>
    </w:p>
    <w:p w14:paraId="594013D7" w14:textId="5CC70E95" w:rsidR="00E30E39" w:rsidRDefault="00E30E39" w:rsidP="00E30E39">
      <w:pPr>
        <w:spacing w:before="240" w:after="60"/>
        <w:ind w:firstLine="0"/>
      </w:pPr>
      <w:r w:rsidRPr="00C65AB2">
        <w:rPr>
          <w:b/>
        </w:rPr>
        <w:lastRenderedPageBreak/>
        <w:t>Supplementary Table 2</w:t>
      </w:r>
      <w:r w:rsidRPr="00C65AB2">
        <w:t xml:space="preserve"> </w:t>
      </w:r>
      <w:r>
        <w:t>Polytrauma as control: Descriptive statistics of biomarkers</w:t>
      </w:r>
    </w:p>
    <w:tbl>
      <w:tblPr>
        <w:tblW w:w="8205" w:type="dxa"/>
        <w:tblBorders>
          <w:top w:val="nil"/>
          <w:left w:val="nil"/>
          <w:bottom w:val="nil"/>
          <w:right w:val="nil"/>
          <w:insideH w:val="nil"/>
          <w:insideV w:val="nil"/>
        </w:tblBorders>
        <w:tblLayout w:type="fixed"/>
        <w:tblLook w:val="0600" w:firstRow="0" w:lastRow="0" w:firstColumn="0" w:lastColumn="0" w:noHBand="1" w:noVBand="1"/>
      </w:tblPr>
      <w:tblGrid>
        <w:gridCol w:w="1350"/>
        <w:gridCol w:w="900"/>
        <w:gridCol w:w="960"/>
        <w:gridCol w:w="1140"/>
        <w:gridCol w:w="975"/>
        <w:gridCol w:w="930"/>
        <w:gridCol w:w="915"/>
        <w:gridCol w:w="1035"/>
      </w:tblGrid>
      <w:tr w:rsidR="00E30E39" w14:paraId="4D130AF5" w14:textId="77777777" w:rsidTr="002A061A">
        <w:trPr>
          <w:trHeight w:val="360"/>
        </w:trPr>
        <w:tc>
          <w:tcPr>
            <w:tcW w:w="1350" w:type="dxa"/>
            <w:tcBorders>
              <w:top w:val="single" w:sz="12" w:space="0" w:color="000000"/>
              <w:left w:val="nil"/>
              <w:bottom w:val="single" w:sz="12" w:space="0" w:color="000000"/>
              <w:right w:val="nil"/>
            </w:tcBorders>
            <w:tcMar>
              <w:top w:w="0" w:type="dxa"/>
              <w:left w:w="0" w:type="dxa"/>
              <w:bottom w:w="0" w:type="dxa"/>
              <w:right w:w="0" w:type="dxa"/>
            </w:tcMar>
          </w:tcPr>
          <w:p w14:paraId="0A460AC8" w14:textId="77777777" w:rsidR="00E30E39" w:rsidRDefault="00E30E39" w:rsidP="000B03F1">
            <w:pPr>
              <w:spacing w:before="40" w:after="40" w:line="240" w:lineRule="auto"/>
              <w:ind w:left="40" w:right="40" w:firstLine="0"/>
              <w:jc w:val="center"/>
            </w:pPr>
            <w:r>
              <w:t>Cohort</w:t>
            </w:r>
          </w:p>
        </w:tc>
        <w:tc>
          <w:tcPr>
            <w:tcW w:w="900" w:type="dxa"/>
            <w:tcBorders>
              <w:top w:val="single" w:sz="12" w:space="0" w:color="000000"/>
              <w:left w:val="nil"/>
              <w:bottom w:val="single" w:sz="12" w:space="0" w:color="000000"/>
              <w:right w:val="nil"/>
            </w:tcBorders>
            <w:tcMar>
              <w:top w:w="0" w:type="dxa"/>
              <w:left w:w="0" w:type="dxa"/>
              <w:bottom w:w="0" w:type="dxa"/>
              <w:right w:w="0" w:type="dxa"/>
            </w:tcMar>
          </w:tcPr>
          <w:p w14:paraId="3C184ECF" w14:textId="77777777" w:rsidR="00E30E39" w:rsidRDefault="00E30E39" w:rsidP="000B03F1">
            <w:pPr>
              <w:spacing w:before="40" w:after="40" w:line="240" w:lineRule="auto"/>
              <w:ind w:left="40" w:right="40" w:firstLine="0"/>
              <w:jc w:val="center"/>
            </w:pPr>
            <w:r>
              <w:t>Marker</w:t>
            </w:r>
          </w:p>
        </w:tc>
        <w:tc>
          <w:tcPr>
            <w:tcW w:w="960" w:type="dxa"/>
            <w:tcBorders>
              <w:top w:val="single" w:sz="12" w:space="0" w:color="000000"/>
              <w:left w:val="nil"/>
              <w:bottom w:val="single" w:sz="12" w:space="0" w:color="000000"/>
              <w:right w:val="nil"/>
            </w:tcBorders>
            <w:tcMar>
              <w:top w:w="0" w:type="dxa"/>
              <w:left w:w="0" w:type="dxa"/>
              <w:bottom w:w="0" w:type="dxa"/>
              <w:right w:w="0" w:type="dxa"/>
            </w:tcMar>
          </w:tcPr>
          <w:p w14:paraId="0B941EDD" w14:textId="77777777" w:rsidR="00E30E39" w:rsidRDefault="00E30E39" w:rsidP="000B03F1">
            <w:pPr>
              <w:spacing w:before="40" w:after="40" w:line="240" w:lineRule="auto"/>
              <w:ind w:left="40" w:right="40" w:firstLine="0"/>
              <w:jc w:val="center"/>
            </w:pPr>
            <w:r>
              <w:t>Patients</w:t>
            </w:r>
          </w:p>
        </w:tc>
        <w:tc>
          <w:tcPr>
            <w:tcW w:w="1140" w:type="dxa"/>
            <w:tcBorders>
              <w:top w:val="single" w:sz="12" w:space="0" w:color="000000"/>
              <w:left w:val="nil"/>
              <w:bottom w:val="single" w:sz="12" w:space="0" w:color="000000"/>
              <w:right w:val="nil"/>
            </w:tcBorders>
            <w:tcMar>
              <w:top w:w="0" w:type="dxa"/>
              <w:left w:w="0" w:type="dxa"/>
              <w:bottom w:w="0" w:type="dxa"/>
              <w:right w:w="0" w:type="dxa"/>
            </w:tcMar>
          </w:tcPr>
          <w:p w14:paraId="4C70B896" w14:textId="77777777" w:rsidR="00E30E39" w:rsidRDefault="00E30E39" w:rsidP="000B03F1">
            <w:pPr>
              <w:spacing w:before="40" w:after="40" w:line="240" w:lineRule="auto"/>
              <w:ind w:left="40" w:right="40" w:firstLine="0"/>
              <w:jc w:val="center"/>
            </w:pPr>
            <w:r>
              <w:t>Condition</w:t>
            </w:r>
          </w:p>
        </w:tc>
        <w:tc>
          <w:tcPr>
            <w:tcW w:w="975" w:type="dxa"/>
            <w:tcBorders>
              <w:top w:val="single" w:sz="12" w:space="0" w:color="000000"/>
              <w:left w:val="nil"/>
              <w:bottom w:val="single" w:sz="12" w:space="0" w:color="000000"/>
              <w:right w:val="nil"/>
            </w:tcBorders>
            <w:tcMar>
              <w:top w:w="0" w:type="dxa"/>
              <w:left w:w="0" w:type="dxa"/>
              <w:bottom w:w="0" w:type="dxa"/>
              <w:right w:w="0" w:type="dxa"/>
            </w:tcMar>
          </w:tcPr>
          <w:p w14:paraId="1B662417" w14:textId="77777777" w:rsidR="00E30E39" w:rsidRDefault="00E30E39" w:rsidP="000B03F1">
            <w:pPr>
              <w:spacing w:before="40" w:after="40" w:line="240" w:lineRule="auto"/>
              <w:ind w:left="40" w:right="40" w:firstLine="0"/>
              <w:jc w:val="center"/>
            </w:pPr>
            <w:r>
              <w:t>Patients</w:t>
            </w:r>
          </w:p>
        </w:tc>
        <w:tc>
          <w:tcPr>
            <w:tcW w:w="930" w:type="dxa"/>
            <w:tcBorders>
              <w:top w:val="single" w:sz="12" w:space="0" w:color="000000"/>
              <w:left w:val="nil"/>
              <w:bottom w:val="single" w:sz="12" w:space="0" w:color="000000"/>
              <w:right w:val="nil"/>
            </w:tcBorders>
            <w:tcMar>
              <w:top w:w="0" w:type="dxa"/>
              <w:left w:w="0" w:type="dxa"/>
              <w:bottom w:w="0" w:type="dxa"/>
              <w:right w:w="0" w:type="dxa"/>
            </w:tcMar>
          </w:tcPr>
          <w:p w14:paraId="388358C7" w14:textId="77777777" w:rsidR="00E30E39" w:rsidRDefault="00E30E39" w:rsidP="000B03F1">
            <w:pPr>
              <w:spacing w:before="40" w:after="40" w:line="240" w:lineRule="auto"/>
              <w:ind w:left="40" w:right="40" w:firstLine="0"/>
              <w:jc w:val="center"/>
            </w:pPr>
            <w:r>
              <w:t>Median</w:t>
            </w:r>
          </w:p>
        </w:tc>
        <w:tc>
          <w:tcPr>
            <w:tcW w:w="1950" w:type="dxa"/>
            <w:gridSpan w:val="2"/>
            <w:tcBorders>
              <w:top w:val="single" w:sz="12" w:space="0" w:color="000000"/>
              <w:left w:val="nil"/>
              <w:bottom w:val="single" w:sz="12" w:space="0" w:color="000000"/>
              <w:right w:val="nil"/>
            </w:tcBorders>
            <w:tcMar>
              <w:top w:w="0" w:type="dxa"/>
              <w:left w:w="0" w:type="dxa"/>
              <w:bottom w:w="0" w:type="dxa"/>
              <w:right w:w="0" w:type="dxa"/>
            </w:tcMar>
          </w:tcPr>
          <w:p w14:paraId="21F19CA4" w14:textId="77777777" w:rsidR="00E30E39" w:rsidRDefault="00E30E39" w:rsidP="000B03F1">
            <w:pPr>
              <w:spacing w:before="40" w:after="40" w:line="240" w:lineRule="auto"/>
              <w:ind w:left="40" w:right="40" w:firstLine="0"/>
              <w:jc w:val="center"/>
            </w:pPr>
            <w:r>
              <w:t>Min – Max</w:t>
            </w:r>
          </w:p>
        </w:tc>
      </w:tr>
      <w:tr w:rsidR="006236D7" w14:paraId="19AD1E2C" w14:textId="77777777" w:rsidTr="002A061A">
        <w:trPr>
          <w:trHeight w:val="420"/>
        </w:trPr>
        <w:tc>
          <w:tcPr>
            <w:tcW w:w="1350" w:type="dxa"/>
            <w:tcBorders>
              <w:top w:val="single" w:sz="12" w:space="0" w:color="000000"/>
              <w:left w:val="nil"/>
              <w:bottom w:val="nil"/>
              <w:right w:val="nil"/>
            </w:tcBorders>
            <w:shd w:val="clear" w:color="auto" w:fill="auto"/>
            <w:tcMar>
              <w:top w:w="0" w:type="dxa"/>
              <w:left w:w="0" w:type="dxa"/>
              <w:bottom w:w="0" w:type="dxa"/>
              <w:right w:w="0" w:type="dxa"/>
            </w:tcMar>
          </w:tcPr>
          <w:p w14:paraId="6E982880" w14:textId="57E2B469" w:rsidR="006236D7" w:rsidRDefault="006236D7" w:rsidP="006236D7">
            <w:pPr>
              <w:spacing w:before="40" w:after="40" w:line="240" w:lineRule="auto"/>
              <w:ind w:left="40" w:right="40" w:firstLine="0"/>
            </w:pPr>
          </w:p>
        </w:tc>
        <w:tc>
          <w:tcPr>
            <w:tcW w:w="900" w:type="dxa"/>
            <w:tcBorders>
              <w:top w:val="single" w:sz="12" w:space="0" w:color="000000"/>
              <w:left w:val="nil"/>
              <w:bottom w:val="nil"/>
              <w:right w:val="nil"/>
            </w:tcBorders>
            <w:shd w:val="clear" w:color="auto" w:fill="auto"/>
            <w:tcMar>
              <w:top w:w="0" w:type="dxa"/>
              <w:left w:w="0" w:type="dxa"/>
              <w:bottom w:w="0" w:type="dxa"/>
              <w:right w:w="0" w:type="dxa"/>
            </w:tcMar>
          </w:tcPr>
          <w:p w14:paraId="5E56ABFC" w14:textId="77777777" w:rsidR="006236D7" w:rsidRDefault="006236D7" w:rsidP="006236D7">
            <w:pPr>
              <w:spacing w:before="40" w:after="40" w:line="240" w:lineRule="auto"/>
              <w:ind w:left="40" w:right="40" w:firstLine="0"/>
              <w:jc w:val="center"/>
            </w:pPr>
            <w:r>
              <w:t>t</w:t>
            </w:r>
            <w:r>
              <w:rPr>
                <w:vertAlign w:val="superscript"/>
              </w:rPr>
              <w:t>6</w:t>
            </w:r>
            <w:r>
              <w:t>A</w:t>
            </w:r>
          </w:p>
        </w:tc>
        <w:tc>
          <w:tcPr>
            <w:tcW w:w="960" w:type="dxa"/>
            <w:tcBorders>
              <w:top w:val="single" w:sz="12" w:space="0" w:color="000000"/>
              <w:left w:val="nil"/>
              <w:bottom w:val="nil"/>
              <w:right w:val="nil"/>
            </w:tcBorders>
            <w:shd w:val="clear" w:color="auto" w:fill="auto"/>
            <w:tcMar>
              <w:top w:w="0" w:type="dxa"/>
              <w:left w:w="0" w:type="dxa"/>
              <w:bottom w:w="0" w:type="dxa"/>
              <w:right w:w="0" w:type="dxa"/>
            </w:tcMar>
          </w:tcPr>
          <w:p w14:paraId="3E10DB8E" w14:textId="1DE8D018" w:rsidR="006236D7" w:rsidRDefault="006236D7" w:rsidP="006236D7">
            <w:pPr>
              <w:spacing w:before="40" w:after="40" w:line="240" w:lineRule="auto"/>
              <w:ind w:left="40" w:right="40" w:firstLine="0"/>
            </w:pPr>
            <w:r>
              <w:t>141</w:t>
            </w:r>
          </w:p>
        </w:tc>
        <w:tc>
          <w:tcPr>
            <w:tcW w:w="1140" w:type="dxa"/>
            <w:tcBorders>
              <w:top w:val="single" w:sz="12" w:space="0" w:color="000000"/>
              <w:left w:val="nil"/>
              <w:bottom w:val="nil"/>
              <w:right w:val="nil"/>
            </w:tcBorders>
            <w:shd w:val="clear" w:color="auto" w:fill="auto"/>
            <w:tcMar>
              <w:top w:w="0" w:type="dxa"/>
              <w:left w:w="0" w:type="dxa"/>
              <w:bottom w:w="0" w:type="dxa"/>
              <w:right w:w="0" w:type="dxa"/>
            </w:tcMar>
          </w:tcPr>
          <w:p w14:paraId="27C3BDD7" w14:textId="77777777" w:rsidR="006236D7" w:rsidRDefault="006236D7" w:rsidP="006236D7">
            <w:pPr>
              <w:spacing w:before="40" w:after="40" w:line="240" w:lineRule="auto"/>
              <w:ind w:left="40" w:right="40" w:firstLine="0"/>
              <w:jc w:val="center"/>
            </w:pPr>
            <w:r>
              <w:t>control</w:t>
            </w:r>
          </w:p>
        </w:tc>
        <w:tc>
          <w:tcPr>
            <w:tcW w:w="975" w:type="dxa"/>
            <w:tcBorders>
              <w:top w:val="single" w:sz="12" w:space="0" w:color="000000"/>
              <w:left w:val="nil"/>
              <w:bottom w:val="nil"/>
              <w:right w:val="nil"/>
            </w:tcBorders>
            <w:shd w:val="clear" w:color="auto" w:fill="auto"/>
            <w:tcMar>
              <w:top w:w="0" w:type="dxa"/>
              <w:left w:w="0" w:type="dxa"/>
              <w:bottom w:w="0" w:type="dxa"/>
              <w:right w:w="0" w:type="dxa"/>
            </w:tcMar>
          </w:tcPr>
          <w:p w14:paraId="1B56A01F" w14:textId="12861811" w:rsidR="006236D7" w:rsidRPr="00B31DA2" w:rsidRDefault="006236D7" w:rsidP="006236D7">
            <w:pPr>
              <w:spacing w:before="40" w:after="40" w:line="240" w:lineRule="auto"/>
              <w:ind w:left="40" w:right="40" w:firstLine="0"/>
              <w:jc w:val="center"/>
            </w:pPr>
            <w:r w:rsidRPr="00B31DA2">
              <w:t>64</w:t>
            </w:r>
          </w:p>
        </w:tc>
        <w:tc>
          <w:tcPr>
            <w:tcW w:w="930" w:type="dxa"/>
            <w:tcBorders>
              <w:top w:val="single" w:sz="12" w:space="0" w:color="000000"/>
              <w:left w:val="nil"/>
              <w:bottom w:val="nil"/>
              <w:right w:val="nil"/>
            </w:tcBorders>
            <w:shd w:val="clear" w:color="auto" w:fill="auto"/>
            <w:tcMar>
              <w:top w:w="0" w:type="dxa"/>
              <w:left w:w="0" w:type="dxa"/>
              <w:bottom w:w="0" w:type="dxa"/>
              <w:right w:w="0" w:type="dxa"/>
            </w:tcMar>
          </w:tcPr>
          <w:p w14:paraId="654995E2" w14:textId="0A3A9380" w:rsidR="006236D7" w:rsidRPr="00B31DA2" w:rsidRDefault="006236D7" w:rsidP="006236D7">
            <w:pPr>
              <w:spacing w:before="40" w:after="40" w:line="240" w:lineRule="auto"/>
              <w:ind w:left="40" w:right="40" w:firstLine="0"/>
            </w:pPr>
            <w:r w:rsidRPr="00B31DA2">
              <w:t>20.8</w:t>
            </w:r>
          </w:p>
        </w:tc>
        <w:tc>
          <w:tcPr>
            <w:tcW w:w="915" w:type="dxa"/>
            <w:tcBorders>
              <w:top w:val="single" w:sz="12" w:space="0" w:color="000000"/>
              <w:left w:val="nil"/>
              <w:bottom w:val="nil"/>
              <w:right w:val="nil"/>
            </w:tcBorders>
            <w:shd w:val="clear" w:color="auto" w:fill="auto"/>
            <w:tcMar>
              <w:top w:w="0" w:type="dxa"/>
              <w:left w:w="0" w:type="dxa"/>
              <w:bottom w:w="0" w:type="dxa"/>
              <w:right w:w="0" w:type="dxa"/>
            </w:tcMar>
          </w:tcPr>
          <w:p w14:paraId="5307EA06" w14:textId="504A301B" w:rsidR="006236D7" w:rsidRPr="00B31DA2" w:rsidRDefault="006236D7" w:rsidP="006236D7">
            <w:pPr>
              <w:spacing w:before="40" w:after="40" w:line="240" w:lineRule="auto"/>
              <w:ind w:left="40" w:right="40" w:firstLine="0"/>
            </w:pPr>
            <w:r w:rsidRPr="00B31DA2">
              <w:t>15.2</w:t>
            </w:r>
          </w:p>
        </w:tc>
        <w:tc>
          <w:tcPr>
            <w:tcW w:w="1035" w:type="dxa"/>
            <w:tcBorders>
              <w:top w:val="single" w:sz="12" w:space="0" w:color="000000"/>
              <w:left w:val="nil"/>
              <w:bottom w:val="nil"/>
              <w:right w:val="nil"/>
            </w:tcBorders>
            <w:shd w:val="clear" w:color="auto" w:fill="auto"/>
            <w:tcMar>
              <w:top w:w="0" w:type="dxa"/>
              <w:left w:w="0" w:type="dxa"/>
              <w:bottom w:w="0" w:type="dxa"/>
              <w:right w:w="0" w:type="dxa"/>
            </w:tcMar>
          </w:tcPr>
          <w:p w14:paraId="71A9C9BC" w14:textId="04A71EE3" w:rsidR="006236D7" w:rsidRPr="00B31DA2" w:rsidRDefault="006236D7" w:rsidP="006236D7">
            <w:pPr>
              <w:spacing w:before="40" w:after="40" w:line="240" w:lineRule="auto"/>
              <w:ind w:left="40" w:right="40" w:firstLine="0"/>
            </w:pPr>
            <w:r w:rsidRPr="00B31DA2">
              <w:t>88.6</w:t>
            </w:r>
          </w:p>
        </w:tc>
      </w:tr>
      <w:tr w:rsidR="006236D7" w14:paraId="426C5378" w14:textId="77777777" w:rsidTr="000B03F1">
        <w:trPr>
          <w:trHeight w:val="345"/>
        </w:trPr>
        <w:tc>
          <w:tcPr>
            <w:tcW w:w="1350" w:type="dxa"/>
            <w:tcBorders>
              <w:top w:val="nil"/>
              <w:left w:val="nil"/>
              <w:bottom w:val="nil"/>
              <w:right w:val="nil"/>
            </w:tcBorders>
            <w:shd w:val="clear" w:color="auto" w:fill="auto"/>
            <w:tcMar>
              <w:top w:w="0" w:type="dxa"/>
              <w:left w:w="0" w:type="dxa"/>
              <w:bottom w:w="0" w:type="dxa"/>
              <w:right w:w="0" w:type="dxa"/>
            </w:tcMar>
          </w:tcPr>
          <w:p w14:paraId="216B2E9D" w14:textId="77777777" w:rsidR="006236D7" w:rsidRDefault="006236D7" w:rsidP="006236D7">
            <w:pPr>
              <w:spacing w:before="40" w:after="40" w:line="240" w:lineRule="auto"/>
              <w:ind w:left="40" w:right="40" w:firstLine="0"/>
            </w:pPr>
            <w:r>
              <w:t xml:space="preserve"> </w:t>
            </w:r>
          </w:p>
        </w:tc>
        <w:tc>
          <w:tcPr>
            <w:tcW w:w="900" w:type="dxa"/>
            <w:tcBorders>
              <w:top w:val="nil"/>
              <w:left w:val="nil"/>
              <w:bottom w:val="nil"/>
              <w:right w:val="nil"/>
            </w:tcBorders>
            <w:shd w:val="clear" w:color="auto" w:fill="auto"/>
            <w:tcMar>
              <w:top w:w="0" w:type="dxa"/>
              <w:left w:w="0" w:type="dxa"/>
              <w:bottom w:w="0" w:type="dxa"/>
              <w:right w:w="0" w:type="dxa"/>
            </w:tcMar>
          </w:tcPr>
          <w:p w14:paraId="27E81275" w14:textId="77777777" w:rsidR="006236D7" w:rsidRDefault="006236D7" w:rsidP="006236D7">
            <w:pPr>
              <w:spacing w:before="40" w:after="40" w:line="240" w:lineRule="auto"/>
              <w:ind w:left="40" w:right="40" w:firstLine="0"/>
              <w:jc w:val="center"/>
            </w:pPr>
            <w:r>
              <w:t xml:space="preserve"> </w:t>
            </w:r>
          </w:p>
        </w:tc>
        <w:tc>
          <w:tcPr>
            <w:tcW w:w="960" w:type="dxa"/>
            <w:tcBorders>
              <w:top w:val="nil"/>
              <w:left w:val="nil"/>
              <w:bottom w:val="nil"/>
              <w:right w:val="nil"/>
            </w:tcBorders>
            <w:shd w:val="clear" w:color="auto" w:fill="auto"/>
            <w:tcMar>
              <w:top w:w="0" w:type="dxa"/>
              <w:left w:w="0" w:type="dxa"/>
              <w:bottom w:w="0" w:type="dxa"/>
              <w:right w:w="0" w:type="dxa"/>
            </w:tcMar>
          </w:tcPr>
          <w:p w14:paraId="0D18C8AE" w14:textId="77777777" w:rsidR="006236D7" w:rsidRDefault="006236D7" w:rsidP="006236D7">
            <w:pPr>
              <w:spacing w:before="40" w:after="40" w:line="240" w:lineRule="auto"/>
              <w:ind w:left="40" w:right="40" w:firstLine="0"/>
            </w:pPr>
            <w:r>
              <w:t xml:space="preserve"> </w:t>
            </w:r>
          </w:p>
        </w:tc>
        <w:tc>
          <w:tcPr>
            <w:tcW w:w="1140" w:type="dxa"/>
            <w:tcBorders>
              <w:top w:val="nil"/>
              <w:left w:val="nil"/>
              <w:bottom w:val="nil"/>
              <w:right w:val="nil"/>
            </w:tcBorders>
            <w:shd w:val="clear" w:color="auto" w:fill="auto"/>
            <w:tcMar>
              <w:top w:w="0" w:type="dxa"/>
              <w:left w:w="0" w:type="dxa"/>
              <w:bottom w:w="0" w:type="dxa"/>
              <w:right w:w="0" w:type="dxa"/>
            </w:tcMar>
          </w:tcPr>
          <w:p w14:paraId="0AD77B34" w14:textId="77777777" w:rsidR="006236D7" w:rsidRDefault="006236D7" w:rsidP="006236D7">
            <w:pPr>
              <w:spacing w:before="40" w:after="40" w:line="240" w:lineRule="auto"/>
              <w:ind w:left="40" w:right="40" w:firstLine="0"/>
              <w:jc w:val="center"/>
            </w:pPr>
            <w:r>
              <w:t>sepsis</w:t>
            </w:r>
          </w:p>
        </w:tc>
        <w:tc>
          <w:tcPr>
            <w:tcW w:w="975" w:type="dxa"/>
            <w:tcBorders>
              <w:top w:val="nil"/>
              <w:left w:val="nil"/>
              <w:bottom w:val="nil"/>
              <w:right w:val="nil"/>
            </w:tcBorders>
            <w:shd w:val="clear" w:color="auto" w:fill="auto"/>
            <w:tcMar>
              <w:top w:w="0" w:type="dxa"/>
              <w:left w:w="0" w:type="dxa"/>
              <w:bottom w:w="0" w:type="dxa"/>
              <w:right w:w="0" w:type="dxa"/>
            </w:tcMar>
          </w:tcPr>
          <w:p w14:paraId="079E3204" w14:textId="27CC054D" w:rsidR="006236D7" w:rsidRPr="00B31DA2" w:rsidRDefault="006236D7" w:rsidP="006236D7">
            <w:pPr>
              <w:spacing w:before="40" w:after="40" w:line="240" w:lineRule="auto"/>
              <w:ind w:left="40" w:right="40" w:firstLine="0"/>
              <w:jc w:val="center"/>
            </w:pPr>
            <w:r w:rsidRPr="00B31DA2">
              <w:t>77</w:t>
            </w:r>
          </w:p>
        </w:tc>
        <w:tc>
          <w:tcPr>
            <w:tcW w:w="930" w:type="dxa"/>
            <w:tcBorders>
              <w:top w:val="nil"/>
              <w:left w:val="nil"/>
              <w:bottom w:val="nil"/>
              <w:right w:val="nil"/>
            </w:tcBorders>
            <w:shd w:val="clear" w:color="auto" w:fill="auto"/>
            <w:tcMar>
              <w:top w:w="0" w:type="dxa"/>
              <w:left w:w="0" w:type="dxa"/>
              <w:bottom w:w="0" w:type="dxa"/>
              <w:right w:w="0" w:type="dxa"/>
            </w:tcMar>
          </w:tcPr>
          <w:p w14:paraId="5AF178CD" w14:textId="3DCA21D5" w:rsidR="006236D7" w:rsidRPr="00B31DA2" w:rsidRDefault="006236D7" w:rsidP="006236D7">
            <w:pPr>
              <w:spacing w:before="40" w:after="40" w:line="240" w:lineRule="auto"/>
              <w:ind w:left="40" w:right="40" w:firstLine="0"/>
            </w:pPr>
            <w:r w:rsidRPr="00B31DA2">
              <w:t>94.7</w:t>
            </w:r>
          </w:p>
        </w:tc>
        <w:tc>
          <w:tcPr>
            <w:tcW w:w="915" w:type="dxa"/>
            <w:tcBorders>
              <w:top w:val="nil"/>
              <w:left w:val="nil"/>
              <w:bottom w:val="nil"/>
              <w:right w:val="nil"/>
            </w:tcBorders>
            <w:shd w:val="clear" w:color="auto" w:fill="auto"/>
            <w:tcMar>
              <w:top w:w="0" w:type="dxa"/>
              <w:left w:w="0" w:type="dxa"/>
              <w:bottom w:w="0" w:type="dxa"/>
              <w:right w:w="0" w:type="dxa"/>
            </w:tcMar>
          </w:tcPr>
          <w:p w14:paraId="7CB436E5" w14:textId="7B09C2A3" w:rsidR="006236D7" w:rsidRPr="00B31DA2" w:rsidRDefault="006236D7" w:rsidP="006236D7">
            <w:pPr>
              <w:spacing w:before="40" w:after="40" w:line="240" w:lineRule="auto"/>
              <w:ind w:left="40" w:right="40" w:firstLine="0"/>
            </w:pPr>
            <w:r w:rsidRPr="00B31DA2">
              <w:t>25.5</w:t>
            </w:r>
          </w:p>
        </w:tc>
        <w:tc>
          <w:tcPr>
            <w:tcW w:w="1035" w:type="dxa"/>
            <w:tcBorders>
              <w:top w:val="nil"/>
              <w:left w:val="nil"/>
              <w:bottom w:val="nil"/>
              <w:right w:val="nil"/>
            </w:tcBorders>
            <w:shd w:val="clear" w:color="auto" w:fill="auto"/>
            <w:tcMar>
              <w:top w:w="0" w:type="dxa"/>
              <w:left w:w="0" w:type="dxa"/>
              <w:bottom w:w="0" w:type="dxa"/>
              <w:right w:w="0" w:type="dxa"/>
            </w:tcMar>
          </w:tcPr>
          <w:p w14:paraId="28AAFB02" w14:textId="0FA7A993" w:rsidR="006236D7" w:rsidRPr="00B31DA2" w:rsidRDefault="006236D7" w:rsidP="006236D7">
            <w:pPr>
              <w:spacing w:before="40" w:after="40" w:line="240" w:lineRule="auto"/>
              <w:ind w:left="40" w:right="40" w:firstLine="0"/>
            </w:pPr>
            <w:r w:rsidRPr="00B31DA2">
              <w:t>704</w:t>
            </w:r>
          </w:p>
        </w:tc>
      </w:tr>
      <w:tr w:rsidR="006236D7" w14:paraId="1509410F" w14:textId="77777777" w:rsidTr="002A061A">
        <w:trPr>
          <w:trHeight w:val="345"/>
        </w:trPr>
        <w:tc>
          <w:tcPr>
            <w:tcW w:w="1350" w:type="dxa"/>
            <w:tcBorders>
              <w:top w:val="nil"/>
              <w:left w:val="nil"/>
              <w:bottom w:val="nil"/>
              <w:right w:val="nil"/>
            </w:tcBorders>
            <w:shd w:val="clear" w:color="auto" w:fill="auto"/>
            <w:tcMar>
              <w:top w:w="0" w:type="dxa"/>
              <w:left w:w="0" w:type="dxa"/>
              <w:bottom w:w="0" w:type="dxa"/>
              <w:right w:w="0" w:type="dxa"/>
            </w:tcMar>
          </w:tcPr>
          <w:p w14:paraId="50CAF0F8" w14:textId="77777777" w:rsidR="006236D7" w:rsidRDefault="006236D7" w:rsidP="006236D7">
            <w:pPr>
              <w:spacing w:before="40" w:after="40" w:line="240" w:lineRule="auto"/>
              <w:ind w:left="40" w:right="40" w:firstLine="0"/>
            </w:pPr>
            <w:r>
              <w:t xml:space="preserve"> </w:t>
            </w:r>
          </w:p>
        </w:tc>
        <w:tc>
          <w:tcPr>
            <w:tcW w:w="900" w:type="dxa"/>
            <w:tcBorders>
              <w:top w:val="nil"/>
              <w:left w:val="nil"/>
              <w:bottom w:val="nil"/>
              <w:right w:val="nil"/>
            </w:tcBorders>
            <w:shd w:val="clear" w:color="auto" w:fill="auto"/>
            <w:tcMar>
              <w:top w:w="0" w:type="dxa"/>
              <w:left w:w="0" w:type="dxa"/>
              <w:bottom w:w="0" w:type="dxa"/>
              <w:right w:w="0" w:type="dxa"/>
            </w:tcMar>
          </w:tcPr>
          <w:p w14:paraId="148B33C9" w14:textId="77777777" w:rsidR="006236D7" w:rsidRDefault="006236D7" w:rsidP="006236D7">
            <w:pPr>
              <w:spacing w:before="40" w:after="40" w:line="240" w:lineRule="auto"/>
              <w:ind w:left="40" w:right="40" w:firstLine="0"/>
              <w:jc w:val="center"/>
            </w:pPr>
            <w:r>
              <w:t>PCT</w:t>
            </w:r>
          </w:p>
        </w:tc>
        <w:tc>
          <w:tcPr>
            <w:tcW w:w="960" w:type="dxa"/>
            <w:tcBorders>
              <w:top w:val="nil"/>
              <w:left w:val="nil"/>
              <w:bottom w:val="nil"/>
              <w:right w:val="nil"/>
            </w:tcBorders>
            <w:shd w:val="clear" w:color="auto" w:fill="auto"/>
            <w:tcMar>
              <w:top w:w="0" w:type="dxa"/>
              <w:left w:w="0" w:type="dxa"/>
              <w:bottom w:w="0" w:type="dxa"/>
              <w:right w:w="0" w:type="dxa"/>
            </w:tcMar>
          </w:tcPr>
          <w:p w14:paraId="3B4E69C1" w14:textId="2638F4F2" w:rsidR="006236D7" w:rsidRDefault="006236D7" w:rsidP="006236D7">
            <w:pPr>
              <w:spacing w:before="40" w:after="40" w:line="240" w:lineRule="auto"/>
              <w:ind w:left="40" w:right="40" w:firstLine="0"/>
            </w:pPr>
            <w:r>
              <w:t>144</w:t>
            </w:r>
          </w:p>
        </w:tc>
        <w:tc>
          <w:tcPr>
            <w:tcW w:w="1140" w:type="dxa"/>
            <w:tcBorders>
              <w:top w:val="nil"/>
              <w:left w:val="nil"/>
              <w:bottom w:val="nil"/>
              <w:right w:val="nil"/>
            </w:tcBorders>
            <w:shd w:val="clear" w:color="auto" w:fill="auto"/>
            <w:tcMar>
              <w:top w:w="0" w:type="dxa"/>
              <w:left w:w="0" w:type="dxa"/>
              <w:bottom w:w="0" w:type="dxa"/>
              <w:right w:w="0" w:type="dxa"/>
            </w:tcMar>
          </w:tcPr>
          <w:p w14:paraId="4A3BF2BF" w14:textId="77777777" w:rsidR="006236D7" w:rsidRDefault="006236D7" w:rsidP="006236D7">
            <w:pPr>
              <w:spacing w:before="40" w:after="40" w:line="240" w:lineRule="auto"/>
              <w:ind w:left="40" w:right="40" w:firstLine="0"/>
              <w:jc w:val="center"/>
            </w:pPr>
            <w:r>
              <w:t>control</w:t>
            </w:r>
          </w:p>
        </w:tc>
        <w:tc>
          <w:tcPr>
            <w:tcW w:w="975" w:type="dxa"/>
            <w:tcBorders>
              <w:top w:val="nil"/>
              <w:left w:val="nil"/>
              <w:bottom w:val="nil"/>
              <w:right w:val="nil"/>
            </w:tcBorders>
            <w:shd w:val="clear" w:color="auto" w:fill="auto"/>
            <w:tcMar>
              <w:top w:w="0" w:type="dxa"/>
              <w:left w:w="0" w:type="dxa"/>
              <w:bottom w:w="0" w:type="dxa"/>
              <w:right w:w="0" w:type="dxa"/>
            </w:tcMar>
          </w:tcPr>
          <w:p w14:paraId="78DC56DC" w14:textId="5EA18F9C" w:rsidR="006236D7" w:rsidRPr="00B31DA2" w:rsidRDefault="006236D7" w:rsidP="006236D7">
            <w:pPr>
              <w:spacing w:before="40" w:after="40" w:line="240" w:lineRule="auto"/>
              <w:ind w:left="40" w:right="40" w:firstLine="0"/>
              <w:jc w:val="center"/>
            </w:pPr>
            <w:r w:rsidRPr="00B31DA2">
              <w:t>63</w:t>
            </w:r>
          </w:p>
        </w:tc>
        <w:tc>
          <w:tcPr>
            <w:tcW w:w="930" w:type="dxa"/>
            <w:tcBorders>
              <w:top w:val="nil"/>
              <w:left w:val="nil"/>
              <w:bottom w:val="nil"/>
              <w:right w:val="nil"/>
            </w:tcBorders>
            <w:shd w:val="clear" w:color="auto" w:fill="auto"/>
            <w:tcMar>
              <w:top w:w="0" w:type="dxa"/>
              <w:left w:w="0" w:type="dxa"/>
              <w:bottom w:w="0" w:type="dxa"/>
              <w:right w:w="0" w:type="dxa"/>
            </w:tcMar>
          </w:tcPr>
          <w:p w14:paraId="37FD2F15" w14:textId="0D789668" w:rsidR="006236D7" w:rsidRPr="00B31DA2" w:rsidRDefault="006236D7" w:rsidP="006236D7">
            <w:pPr>
              <w:spacing w:before="40" w:after="40" w:line="240" w:lineRule="auto"/>
              <w:ind w:left="40" w:right="40" w:firstLine="0"/>
            </w:pPr>
            <w:r w:rsidRPr="00B31DA2">
              <w:t>0.47</w:t>
            </w:r>
          </w:p>
        </w:tc>
        <w:tc>
          <w:tcPr>
            <w:tcW w:w="915" w:type="dxa"/>
            <w:tcBorders>
              <w:top w:val="nil"/>
              <w:left w:val="nil"/>
              <w:bottom w:val="nil"/>
              <w:right w:val="nil"/>
            </w:tcBorders>
            <w:shd w:val="clear" w:color="auto" w:fill="auto"/>
            <w:tcMar>
              <w:top w:w="0" w:type="dxa"/>
              <w:left w:w="0" w:type="dxa"/>
              <w:bottom w:w="0" w:type="dxa"/>
              <w:right w:w="0" w:type="dxa"/>
            </w:tcMar>
          </w:tcPr>
          <w:p w14:paraId="07040788" w14:textId="261AE631" w:rsidR="006236D7" w:rsidRPr="00B31DA2" w:rsidRDefault="006236D7" w:rsidP="006236D7">
            <w:pPr>
              <w:spacing w:before="40" w:after="40" w:line="240" w:lineRule="auto"/>
              <w:ind w:left="40" w:right="40" w:firstLine="0"/>
            </w:pPr>
            <w:r w:rsidRPr="00B31DA2">
              <w:t>0.03</w:t>
            </w:r>
          </w:p>
        </w:tc>
        <w:tc>
          <w:tcPr>
            <w:tcW w:w="1035" w:type="dxa"/>
            <w:tcBorders>
              <w:top w:val="nil"/>
              <w:left w:val="nil"/>
              <w:bottom w:val="nil"/>
              <w:right w:val="nil"/>
            </w:tcBorders>
            <w:shd w:val="clear" w:color="auto" w:fill="auto"/>
            <w:tcMar>
              <w:top w:w="0" w:type="dxa"/>
              <w:left w:w="0" w:type="dxa"/>
              <w:bottom w:w="0" w:type="dxa"/>
              <w:right w:w="0" w:type="dxa"/>
            </w:tcMar>
          </w:tcPr>
          <w:p w14:paraId="40A1AA26" w14:textId="46438E31" w:rsidR="006236D7" w:rsidRPr="00B31DA2" w:rsidRDefault="006236D7" w:rsidP="006236D7">
            <w:pPr>
              <w:spacing w:before="40" w:after="40" w:line="240" w:lineRule="auto"/>
              <w:ind w:left="40" w:right="40" w:firstLine="0"/>
            </w:pPr>
            <w:r w:rsidRPr="00B31DA2">
              <w:t>37.1</w:t>
            </w:r>
          </w:p>
        </w:tc>
      </w:tr>
      <w:tr w:rsidR="006236D7" w14:paraId="70F05E75" w14:textId="77777777" w:rsidTr="002A061A">
        <w:trPr>
          <w:trHeight w:val="360"/>
        </w:trPr>
        <w:tc>
          <w:tcPr>
            <w:tcW w:w="1350" w:type="dxa"/>
            <w:tcBorders>
              <w:top w:val="nil"/>
              <w:left w:val="nil"/>
              <w:bottom w:val="single" w:sz="12" w:space="0" w:color="000000"/>
              <w:right w:val="nil"/>
            </w:tcBorders>
            <w:shd w:val="clear" w:color="auto" w:fill="auto"/>
            <w:tcMar>
              <w:top w:w="0" w:type="dxa"/>
              <w:left w:w="0" w:type="dxa"/>
              <w:bottom w:w="0" w:type="dxa"/>
              <w:right w:w="0" w:type="dxa"/>
            </w:tcMar>
          </w:tcPr>
          <w:p w14:paraId="1F119A58" w14:textId="77777777" w:rsidR="006236D7" w:rsidRDefault="006236D7" w:rsidP="006236D7">
            <w:pPr>
              <w:spacing w:before="40" w:after="40" w:line="240" w:lineRule="auto"/>
              <w:ind w:left="40" w:right="40" w:firstLine="0"/>
            </w:pPr>
            <w:r>
              <w:t xml:space="preserve"> </w:t>
            </w:r>
          </w:p>
        </w:tc>
        <w:tc>
          <w:tcPr>
            <w:tcW w:w="900" w:type="dxa"/>
            <w:tcBorders>
              <w:top w:val="nil"/>
              <w:left w:val="nil"/>
              <w:bottom w:val="single" w:sz="12" w:space="0" w:color="000000"/>
              <w:right w:val="nil"/>
            </w:tcBorders>
            <w:shd w:val="clear" w:color="auto" w:fill="auto"/>
            <w:tcMar>
              <w:top w:w="0" w:type="dxa"/>
              <w:left w:w="0" w:type="dxa"/>
              <w:bottom w:w="0" w:type="dxa"/>
              <w:right w:w="0" w:type="dxa"/>
            </w:tcMar>
          </w:tcPr>
          <w:p w14:paraId="015AD6CC" w14:textId="77777777" w:rsidR="006236D7" w:rsidRDefault="006236D7" w:rsidP="006236D7">
            <w:pPr>
              <w:spacing w:before="40" w:after="40" w:line="240" w:lineRule="auto"/>
              <w:ind w:left="40" w:right="40" w:firstLine="0"/>
              <w:jc w:val="center"/>
            </w:pPr>
            <w:r>
              <w:t xml:space="preserve"> </w:t>
            </w:r>
          </w:p>
        </w:tc>
        <w:tc>
          <w:tcPr>
            <w:tcW w:w="960" w:type="dxa"/>
            <w:tcBorders>
              <w:top w:val="nil"/>
              <w:left w:val="nil"/>
              <w:bottom w:val="single" w:sz="12" w:space="0" w:color="000000"/>
              <w:right w:val="nil"/>
            </w:tcBorders>
            <w:shd w:val="clear" w:color="auto" w:fill="auto"/>
            <w:tcMar>
              <w:top w:w="0" w:type="dxa"/>
              <w:left w:w="0" w:type="dxa"/>
              <w:bottom w:w="0" w:type="dxa"/>
              <w:right w:w="0" w:type="dxa"/>
            </w:tcMar>
          </w:tcPr>
          <w:p w14:paraId="14EF05C3" w14:textId="77777777" w:rsidR="006236D7" w:rsidRDefault="006236D7" w:rsidP="006236D7">
            <w:pPr>
              <w:spacing w:before="40" w:after="40" w:line="240" w:lineRule="auto"/>
              <w:ind w:left="40" w:right="40" w:firstLine="0"/>
            </w:pPr>
            <w:r>
              <w:t xml:space="preserve"> </w:t>
            </w:r>
          </w:p>
        </w:tc>
        <w:tc>
          <w:tcPr>
            <w:tcW w:w="1140" w:type="dxa"/>
            <w:tcBorders>
              <w:top w:val="nil"/>
              <w:left w:val="nil"/>
              <w:bottom w:val="single" w:sz="12" w:space="0" w:color="000000"/>
              <w:right w:val="nil"/>
            </w:tcBorders>
            <w:shd w:val="clear" w:color="auto" w:fill="auto"/>
            <w:tcMar>
              <w:top w:w="0" w:type="dxa"/>
              <w:left w:w="0" w:type="dxa"/>
              <w:bottom w:w="0" w:type="dxa"/>
              <w:right w:w="0" w:type="dxa"/>
            </w:tcMar>
          </w:tcPr>
          <w:p w14:paraId="30BCBF6A" w14:textId="77777777" w:rsidR="006236D7" w:rsidRDefault="006236D7" w:rsidP="006236D7">
            <w:pPr>
              <w:spacing w:before="40" w:after="40" w:line="240" w:lineRule="auto"/>
              <w:ind w:left="40" w:right="40" w:firstLine="0"/>
              <w:jc w:val="center"/>
            </w:pPr>
            <w:r>
              <w:t>sepsis</w:t>
            </w:r>
          </w:p>
        </w:tc>
        <w:tc>
          <w:tcPr>
            <w:tcW w:w="975" w:type="dxa"/>
            <w:tcBorders>
              <w:top w:val="nil"/>
              <w:left w:val="nil"/>
              <w:bottom w:val="single" w:sz="12" w:space="0" w:color="000000"/>
              <w:right w:val="nil"/>
            </w:tcBorders>
            <w:shd w:val="clear" w:color="auto" w:fill="auto"/>
            <w:tcMar>
              <w:top w:w="0" w:type="dxa"/>
              <w:left w:w="0" w:type="dxa"/>
              <w:bottom w:w="0" w:type="dxa"/>
              <w:right w:w="0" w:type="dxa"/>
            </w:tcMar>
          </w:tcPr>
          <w:p w14:paraId="540825FA" w14:textId="1F6288F5" w:rsidR="006236D7" w:rsidRPr="00B31DA2" w:rsidRDefault="006236D7" w:rsidP="006236D7">
            <w:pPr>
              <w:spacing w:before="40" w:after="40" w:line="240" w:lineRule="auto"/>
              <w:ind w:left="40" w:right="40" w:firstLine="0"/>
              <w:jc w:val="center"/>
            </w:pPr>
            <w:r w:rsidRPr="00B31DA2">
              <w:t>81</w:t>
            </w:r>
          </w:p>
        </w:tc>
        <w:tc>
          <w:tcPr>
            <w:tcW w:w="930" w:type="dxa"/>
            <w:tcBorders>
              <w:top w:val="nil"/>
              <w:left w:val="nil"/>
              <w:bottom w:val="single" w:sz="12" w:space="0" w:color="000000"/>
              <w:right w:val="nil"/>
            </w:tcBorders>
            <w:shd w:val="clear" w:color="auto" w:fill="auto"/>
            <w:tcMar>
              <w:top w:w="0" w:type="dxa"/>
              <w:left w:w="0" w:type="dxa"/>
              <w:bottom w:w="0" w:type="dxa"/>
              <w:right w:w="0" w:type="dxa"/>
            </w:tcMar>
          </w:tcPr>
          <w:p w14:paraId="57A5CF8F" w14:textId="1BEB4E9E" w:rsidR="006236D7" w:rsidRPr="00B31DA2" w:rsidRDefault="006236D7" w:rsidP="006236D7">
            <w:pPr>
              <w:spacing w:before="40" w:after="40" w:line="240" w:lineRule="auto"/>
              <w:ind w:left="40" w:right="40" w:firstLine="0"/>
            </w:pPr>
            <w:r w:rsidRPr="00B31DA2">
              <w:t>7.67</w:t>
            </w:r>
          </w:p>
        </w:tc>
        <w:tc>
          <w:tcPr>
            <w:tcW w:w="915" w:type="dxa"/>
            <w:tcBorders>
              <w:top w:val="nil"/>
              <w:left w:val="nil"/>
              <w:bottom w:val="single" w:sz="12" w:space="0" w:color="000000"/>
              <w:right w:val="nil"/>
            </w:tcBorders>
            <w:shd w:val="clear" w:color="auto" w:fill="auto"/>
            <w:tcMar>
              <w:top w:w="0" w:type="dxa"/>
              <w:left w:w="0" w:type="dxa"/>
              <w:bottom w:w="0" w:type="dxa"/>
              <w:right w:w="0" w:type="dxa"/>
            </w:tcMar>
          </w:tcPr>
          <w:p w14:paraId="0F187A1E" w14:textId="33F00191" w:rsidR="006236D7" w:rsidRPr="00B31DA2" w:rsidRDefault="006236D7" w:rsidP="006236D7">
            <w:pPr>
              <w:spacing w:before="40" w:after="40" w:line="240" w:lineRule="auto"/>
              <w:ind w:left="40" w:right="40" w:firstLine="0"/>
            </w:pPr>
            <w:r w:rsidRPr="00B31DA2">
              <w:t>0.02</w:t>
            </w:r>
          </w:p>
        </w:tc>
        <w:tc>
          <w:tcPr>
            <w:tcW w:w="1035" w:type="dxa"/>
            <w:tcBorders>
              <w:top w:val="nil"/>
              <w:left w:val="nil"/>
              <w:bottom w:val="single" w:sz="12" w:space="0" w:color="000000"/>
              <w:right w:val="nil"/>
            </w:tcBorders>
            <w:shd w:val="clear" w:color="auto" w:fill="auto"/>
            <w:tcMar>
              <w:top w:w="0" w:type="dxa"/>
              <w:left w:w="0" w:type="dxa"/>
              <w:bottom w:w="0" w:type="dxa"/>
              <w:right w:w="0" w:type="dxa"/>
            </w:tcMar>
          </w:tcPr>
          <w:p w14:paraId="39118A38" w14:textId="4C7D8D2A" w:rsidR="006236D7" w:rsidRPr="00B31DA2" w:rsidRDefault="006236D7" w:rsidP="006236D7">
            <w:pPr>
              <w:spacing w:before="40" w:after="40" w:line="240" w:lineRule="auto"/>
              <w:ind w:left="40" w:right="40" w:firstLine="0"/>
            </w:pPr>
            <w:r w:rsidRPr="00B31DA2">
              <w:t>333</w:t>
            </w:r>
          </w:p>
        </w:tc>
      </w:tr>
    </w:tbl>
    <w:p w14:paraId="7F11B3B8" w14:textId="77777777" w:rsidR="009B7826" w:rsidRDefault="009B7826" w:rsidP="009B7826">
      <w:pPr>
        <w:spacing w:before="40" w:after="240"/>
        <w:ind w:firstLine="0"/>
      </w:pPr>
    </w:p>
    <w:p w14:paraId="46759BC1" w14:textId="77777777" w:rsidR="009B7826" w:rsidRDefault="009B7826" w:rsidP="009B7826">
      <w:r>
        <w:br w:type="page"/>
      </w:r>
    </w:p>
    <w:p w14:paraId="28E51C39" w14:textId="77777777" w:rsidR="009B7826" w:rsidRDefault="009B7826" w:rsidP="009B7826">
      <w:pPr>
        <w:spacing w:before="40" w:after="240" w:line="276" w:lineRule="auto"/>
        <w:ind w:firstLine="0"/>
        <w:jc w:val="both"/>
        <w:rPr>
          <w:b/>
        </w:rPr>
      </w:pPr>
    </w:p>
    <w:p w14:paraId="787879C4" w14:textId="55BF4006" w:rsidR="009B7826" w:rsidRDefault="009B7826" w:rsidP="009B7826">
      <w:pPr>
        <w:spacing w:before="240" w:after="60"/>
        <w:ind w:firstLine="0"/>
        <w:rPr>
          <w:b/>
          <w:u w:val="single"/>
        </w:rPr>
      </w:pPr>
      <w:r>
        <w:rPr>
          <w:b/>
        </w:rPr>
        <w:t xml:space="preserve">Supplementary Table </w:t>
      </w:r>
      <w:r w:rsidR="00E30E39">
        <w:rPr>
          <w:b/>
        </w:rPr>
        <w:t>3</w:t>
      </w:r>
      <w:r w:rsidR="00E30E39">
        <w:t xml:space="preserve"> </w:t>
      </w:r>
      <w:r>
        <w:t>Characterization of COVID-19 patients</w:t>
      </w:r>
    </w:p>
    <w:tbl>
      <w:tblPr>
        <w:tblW w:w="7155" w:type="dxa"/>
        <w:tblBorders>
          <w:top w:val="nil"/>
          <w:left w:val="nil"/>
          <w:bottom w:val="nil"/>
          <w:right w:val="nil"/>
          <w:insideH w:val="nil"/>
          <w:insideV w:val="nil"/>
        </w:tblBorders>
        <w:tblLayout w:type="fixed"/>
        <w:tblLook w:val="0600" w:firstRow="0" w:lastRow="0" w:firstColumn="0" w:lastColumn="0" w:noHBand="1" w:noVBand="1"/>
      </w:tblPr>
      <w:tblGrid>
        <w:gridCol w:w="4695"/>
        <w:gridCol w:w="2460"/>
      </w:tblGrid>
      <w:tr w:rsidR="009B7826" w14:paraId="2A3FF070" w14:textId="77777777" w:rsidTr="00245519">
        <w:tc>
          <w:tcPr>
            <w:tcW w:w="4695" w:type="dxa"/>
            <w:tcBorders>
              <w:top w:val="single" w:sz="12" w:space="0" w:color="000000"/>
              <w:left w:val="nil"/>
              <w:bottom w:val="single" w:sz="12" w:space="0" w:color="000000"/>
              <w:right w:val="nil"/>
            </w:tcBorders>
            <w:tcMar>
              <w:top w:w="100" w:type="dxa"/>
              <w:left w:w="100" w:type="dxa"/>
              <w:bottom w:w="100" w:type="dxa"/>
              <w:right w:w="100" w:type="dxa"/>
            </w:tcMar>
          </w:tcPr>
          <w:p w14:paraId="40E443D9" w14:textId="77777777" w:rsidR="009B7826" w:rsidRDefault="009B7826" w:rsidP="000420FA">
            <w:pPr>
              <w:spacing w:line="276" w:lineRule="auto"/>
              <w:ind w:right="-360" w:firstLine="0"/>
              <w:jc w:val="center"/>
            </w:pPr>
            <w:r>
              <w:t>Parameter</w:t>
            </w:r>
          </w:p>
        </w:tc>
        <w:tc>
          <w:tcPr>
            <w:tcW w:w="2460" w:type="dxa"/>
            <w:tcBorders>
              <w:top w:val="single" w:sz="12" w:space="0" w:color="000000"/>
              <w:left w:val="nil"/>
              <w:bottom w:val="single" w:sz="12" w:space="0" w:color="000000"/>
              <w:right w:val="nil"/>
            </w:tcBorders>
            <w:tcMar>
              <w:top w:w="100" w:type="dxa"/>
              <w:left w:w="100" w:type="dxa"/>
              <w:bottom w:w="100" w:type="dxa"/>
              <w:right w:w="100" w:type="dxa"/>
            </w:tcMar>
          </w:tcPr>
          <w:p w14:paraId="100BA830" w14:textId="77777777" w:rsidR="009B7826" w:rsidRDefault="009B7826" w:rsidP="000420FA">
            <w:pPr>
              <w:spacing w:line="276" w:lineRule="auto"/>
              <w:ind w:right="-360" w:firstLine="0"/>
              <w:jc w:val="center"/>
            </w:pPr>
            <w:r>
              <w:t>Value</w:t>
            </w:r>
          </w:p>
        </w:tc>
      </w:tr>
      <w:tr w:rsidR="009B7826" w14:paraId="726465B3" w14:textId="77777777" w:rsidTr="00245519">
        <w:trPr>
          <w:cantSplit/>
          <w:trHeight w:val="377"/>
        </w:trPr>
        <w:tc>
          <w:tcPr>
            <w:tcW w:w="4695" w:type="dxa"/>
            <w:tcBorders>
              <w:top w:val="single" w:sz="12" w:space="0" w:color="000000"/>
              <w:left w:val="nil"/>
              <w:bottom w:val="nil"/>
              <w:right w:val="nil"/>
            </w:tcBorders>
            <w:tcMar>
              <w:top w:w="-44" w:type="dxa"/>
              <w:left w:w="-44" w:type="dxa"/>
              <w:bottom w:w="-44" w:type="dxa"/>
              <w:right w:w="-44" w:type="dxa"/>
            </w:tcMar>
          </w:tcPr>
          <w:p w14:paraId="71F7B899" w14:textId="77777777" w:rsidR="009B7826" w:rsidRDefault="009B7826" w:rsidP="006236D7">
            <w:pPr>
              <w:spacing w:line="276" w:lineRule="auto"/>
              <w:ind w:right="-357" w:firstLine="0"/>
            </w:pPr>
            <w:r>
              <w:t>Number</w:t>
            </w:r>
          </w:p>
        </w:tc>
        <w:tc>
          <w:tcPr>
            <w:tcW w:w="2460" w:type="dxa"/>
            <w:tcBorders>
              <w:top w:val="single" w:sz="12" w:space="0" w:color="000000"/>
              <w:left w:val="nil"/>
              <w:bottom w:val="nil"/>
              <w:right w:val="nil"/>
            </w:tcBorders>
            <w:tcMar>
              <w:top w:w="-44" w:type="dxa"/>
              <w:left w:w="-44" w:type="dxa"/>
              <w:bottom w:w="-44" w:type="dxa"/>
              <w:right w:w="-44" w:type="dxa"/>
            </w:tcMar>
          </w:tcPr>
          <w:p w14:paraId="4771C376" w14:textId="77777777" w:rsidR="009B7826" w:rsidRDefault="009B7826" w:rsidP="000420FA">
            <w:pPr>
              <w:spacing w:line="276" w:lineRule="auto"/>
              <w:ind w:right="-360" w:firstLine="0"/>
            </w:pPr>
            <w:r>
              <w:t>49</w:t>
            </w:r>
          </w:p>
        </w:tc>
      </w:tr>
      <w:tr w:rsidR="009B7826" w14:paraId="62F65219" w14:textId="77777777" w:rsidTr="000420FA">
        <w:trPr>
          <w:cantSplit/>
          <w:trHeight w:val="317"/>
        </w:trPr>
        <w:tc>
          <w:tcPr>
            <w:tcW w:w="4695" w:type="dxa"/>
            <w:tcBorders>
              <w:top w:val="nil"/>
              <w:left w:val="nil"/>
              <w:bottom w:val="nil"/>
              <w:right w:val="nil"/>
            </w:tcBorders>
            <w:tcMar>
              <w:top w:w="-44" w:type="dxa"/>
              <w:left w:w="-44" w:type="dxa"/>
              <w:bottom w:w="-44" w:type="dxa"/>
              <w:right w:w="-44" w:type="dxa"/>
            </w:tcMar>
          </w:tcPr>
          <w:p w14:paraId="109E6A15" w14:textId="77777777" w:rsidR="009B7826" w:rsidRDefault="009B7826" w:rsidP="000420FA">
            <w:pPr>
              <w:spacing w:line="276" w:lineRule="auto"/>
              <w:ind w:right="-360" w:firstLine="0"/>
            </w:pPr>
            <w:r>
              <w:t>Age [years]</w:t>
            </w:r>
          </w:p>
        </w:tc>
        <w:tc>
          <w:tcPr>
            <w:tcW w:w="2460" w:type="dxa"/>
            <w:tcBorders>
              <w:top w:val="nil"/>
              <w:left w:val="nil"/>
              <w:bottom w:val="nil"/>
              <w:right w:val="nil"/>
            </w:tcBorders>
            <w:tcMar>
              <w:top w:w="-44" w:type="dxa"/>
              <w:left w:w="-44" w:type="dxa"/>
              <w:bottom w:w="-44" w:type="dxa"/>
              <w:right w:w="-44" w:type="dxa"/>
            </w:tcMar>
          </w:tcPr>
          <w:p w14:paraId="28586A64" w14:textId="77777777" w:rsidR="009B7826" w:rsidRDefault="009B7826" w:rsidP="000420FA">
            <w:pPr>
              <w:spacing w:line="276" w:lineRule="auto"/>
              <w:ind w:right="-360" w:firstLine="0"/>
            </w:pPr>
            <w:r>
              <w:t>71 (65 – 75)</w:t>
            </w:r>
          </w:p>
        </w:tc>
      </w:tr>
      <w:tr w:rsidR="009B7826" w14:paraId="5E2A2C04"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1EB865C5" w14:textId="77777777" w:rsidR="009B7826" w:rsidRDefault="009B7826" w:rsidP="000420FA">
            <w:pPr>
              <w:spacing w:line="276" w:lineRule="auto"/>
              <w:ind w:right="-360" w:firstLine="0"/>
            </w:pPr>
            <w:r>
              <w:t xml:space="preserve">Female / male </w:t>
            </w:r>
            <w:proofErr w:type="gramStart"/>
            <w:r>
              <w:t>( %</w:t>
            </w:r>
            <w:proofErr w:type="gramEnd"/>
            <w:r>
              <w:t>)</w:t>
            </w:r>
          </w:p>
        </w:tc>
        <w:tc>
          <w:tcPr>
            <w:tcW w:w="2460" w:type="dxa"/>
            <w:tcBorders>
              <w:top w:val="nil"/>
              <w:left w:val="nil"/>
              <w:bottom w:val="nil"/>
              <w:right w:val="nil"/>
            </w:tcBorders>
            <w:tcMar>
              <w:top w:w="-44" w:type="dxa"/>
              <w:left w:w="-44" w:type="dxa"/>
              <w:bottom w:w="-44" w:type="dxa"/>
              <w:right w:w="-44" w:type="dxa"/>
            </w:tcMar>
          </w:tcPr>
          <w:p w14:paraId="2325047E" w14:textId="77777777" w:rsidR="009B7826" w:rsidRDefault="009B7826" w:rsidP="000420FA">
            <w:pPr>
              <w:spacing w:line="276" w:lineRule="auto"/>
              <w:ind w:right="-360" w:firstLine="0"/>
            </w:pPr>
            <w:proofErr w:type="gramStart"/>
            <w:r>
              <w:t>14  /</w:t>
            </w:r>
            <w:proofErr w:type="gramEnd"/>
            <w:r>
              <w:t xml:space="preserve"> 35 (29 / 71)</w:t>
            </w:r>
          </w:p>
        </w:tc>
      </w:tr>
      <w:tr w:rsidR="009B7826" w14:paraId="1E4AC7F0"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12E771EB" w14:textId="77777777" w:rsidR="009B7826" w:rsidRDefault="009B7826" w:rsidP="000420FA">
            <w:pPr>
              <w:spacing w:line="276" w:lineRule="auto"/>
              <w:ind w:right="-360" w:firstLine="0"/>
            </w:pPr>
            <w:r>
              <w:t>Length of stay [days]</w:t>
            </w:r>
          </w:p>
        </w:tc>
        <w:tc>
          <w:tcPr>
            <w:tcW w:w="2460" w:type="dxa"/>
            <w:tcBorders>
              <w:top w:val="nil"/>
              <w:left w:val="nil"/>
              <w:bottom w:val="nil"/>
              <w:right w:val="nil"/>
            </w:tcBorders>
            <w:tcMar>
              <w:top w:w="-44" w:type="dxa"/>
              <w:left w:w="-44" w:type="dxa"/>
              <w:bottom w:w="-44" w:type="dxa"/>
              <w:right w:w="-44" w:type="dxa"/>
            </w:tcMar>
          </w:tcPr>
          <w:p w14:paraId="5409FD64" w14:textId="77777777" w:rsidR="009B7826" w:rsidRDefault="009B7826" w:rsidP="000420FA">
            <w:pPr>
              <w:spacing w:line="276" w:lineRule="auto"/>
              <w:ind w:right="-360" w:firstLine="0"/>
            </w:pPr>
            <w:r>
              <w:t>14 (6 – 23)</w:t>
            </w:r>
          </w:p>
        </w:tc>
      </w:tr>
      <w:tr w:rsidR="009B7826" w14:paraId="694E3729"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35E4F72A" w14:textId="77777777" w:rsidR="009B7826" w:rsidRDefault="009B7826" w:rsidP="000420FA">
            <w:pPr>
              <w:spacing w:line="276" w:lineRule="auto"/>
              <w:ind w:right="-360" w:firstLine="0"/>
            </w:pPr>
            <w:r>
              <w:t>Ventilated (%)</w:t>
            </w:r>
          </w:p>
        </w:tc>
        <w:tc>
          <w:tcPr>
            <w:tcW w:w="2460" w:type="dxa"/>
            <w:tcBorders>
              <w:top w:val="nil"/>
              <w:left w:val="nil"/>
              <w:bottom w:val="nil"/>
              <w:right w:val="nil"/>
            </w:tcBorders>
            <w:tcMar>
              <w:top w:w="-44" w:type="dxa"/>
              <w:left w:w="-44" w:type="dxa"/>
              <w:bottom w:w="-44" w:type="dxa"/>
              <w:right w:w="-44" w:type="dxa"/>
            </w:tcMar>
          </w:tcPr>
          <w:p w14:paraId="2BEAC9D8" w14:textId="77777777" w:rsidR="009B7826" w:rsidRDefault="009B7826" w:rsidP="000420FA">
            <w:pPr>
              <w:spacing w:line="276" w:lineRule="auto"/>
              <w:ind w:right="-360" w:firstLine="0"/>
            </w:pPr>
            <w:r>
              <w:t>41 (84)</w:t>
            </w:r>
          </w:p>
        </w:tc>
      </w:tr>
      <w:tr w:rsidR="009B7826" w14:paraId="32457598"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78A71BF9" w14:textId="77777777" w:rsidR="009B7826" w:rsidRDefault="009B7826" w:rsidP="000420FA">
            <w:pPr>
              <w:spacing w:line="276" w:lineRule="auto"/>
              <w:ind w:right="-360" w:firstLine="0"/>
            </w:pPr>
            <w:r>
              <w:t>Extracorporeal Membrane Oxygenation (%)</w:t>
            </w:r>
          </w:p>
        </w:tc>
        <w:tc>
          <w:tcPr>
            <w:tcW w:w="2460" w:type="dxa"/>
            <w:tcBorders>
              <w:top w:val="nil"/>
              <w:left w:val="nil"/>
              <w:bottom w:val="nil"/>
              <w:right w:val="nil"/>
            </w:tcBorders>
            <w:tcMar>
              <w:top w:w="-44" w:type="dxa"/>
              <w:left w:w="-44" w:type="dxa"/>
              <w:bottom w:w="-44" w:type="dxa"/>
              <w:right w:w="-44" w:type="dxa"/>
            </w:tcMar>
          </w:tcPr>
          <w:p w14:paraId="3DE917DE" w14:textId="77777777" w:rsidR="009B7826" w:rsidRDefault="009B7826" w:rsidP="000420FA">
            <w:pPr>
              <w:spacing w:line="276" w:lineRule="auto"/>
              <w:ind w:right="-360" w:firstLine="0"/>
            </w:pPr>
            <w:r>
              <w:t>8 (16)</w:t>
            </w:r>
          </w:p>
        </w:tc>
      </w:tr>
      <w:tr w:rsidR="009B7826" w14:paraId="6AF8F87F"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2DBD08CF" w14:textId="77777777" w:rsidR="009B7826" w:rsidRDefault="009B7826" w:rsidP="000420FA">
            <w:pPr>
              <w:spacing w:line="276" w:lineRule="auto"/>
              <w:ind w:right="-360" w:firstLine="0"/>
            </w:pPr>
            <w:r>
              <w:t>Dialysis (%)</w:t>
            </w:r>
          </w:p>
        </w:tc>
        <w:tc>
          <w:tcPr>
            <w:tcW w:w="2460" w:type="dxa"/>
            <w:tcBorders>
              <w:top w:val="nil"/>
              <w:left w:val="nil"/>
              <w:bottom w:val="nil"/>
              <w:right w:val="nil"/>
            </w:tcBorders>
            <w:tcMar>
              <w:top w:w="-44" w:type="dxa"/>
              <w:left w:w="-44" w:type="dxa"/>
              <w:bottom w:w="-44" w:type="dxa"/>
              <w:right w:w="-44" w:type="dxa"/>
            </w:tcMar>
          </w:tcPr>
          <w:p w14:paraId="4807B6B4" w14:textId="77777777" w:rsidR="009B7826" w:rsidRDefault="009B7826" w:rsidP="000420FA">
            <w:pPr>
              <w:spacing w:line="276" w:lineRule="auto"/>
              <w:ind w:right="-360" w:firstLine="0"/>
            </w:pPr>
            <w:r>
              <w:t>11 (22)</w:t>
            </w:r>
          </w:p>
        </w:tc>
      </w:tr>
      <w:tr w:rsidR="009B7826" w14:paraId="410E4D5E"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6C62098F" w14:textId="77777777" w:rsidR="009B7826" w:rsidRDefault="009B7826" w:rsidP="000420FA">
            <w:pPr>
              <w:spacing w:line="276" w:lineRule="auto"/>
              <w:ind w:right="-360" w:firstLine="0"/>
            </w:pPr>
            <w:r>
              <w:t>First COVID-19 wave (%)</w:t>
            </w:r>
          </w:p>
        </w:tc>
        <w:tc>
          <w:tcPr>
            <w:tcW w:w="2460" w:type="dxa"/>
            <w:tcBorders>
              <w:top w:val="nil"/>
              <w:left w:val="nil"/>
              <w:bottom w:val="nil"/>
              <w:right w:val="nil"/>
            </w:tcBorders>
            <w:tcMar>
              <w:top w:w="-44" w:type="dxa"/>
              <w:left w:w="-44" w:type="dxa"/>
              <w:bottom w:w="-44" w:type="dxa"/>
              <w:right w:w="-44" w:type="dxa"/>
            </w:tcMar>
          </w:tcPr>
          <w:p w14:paraId="0815A2AC" w14:textId="77777777" w:rsidR="009B7826" w:rsidRDefault="009B7826" w:rsidP="000420FA">
            <w:pPr>
              <w:spacing w:line="276" w:lineRule="auto"/>
              <w:ind w:right="-360" w:firstLine="0"/>
            </w:pPr>
            <w:r>
              <w:t>19 (39)</w:t>
            </w:r>
          </w:p>
        </w:tc>
      </w:tr>
      <w:tr w:rsidR="009B7826" w14:paraId="66937D8F"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5CBAE16B" w14:textId="77777777" w:rsidR="009B7826" w:rsidRDefault="009B7826" w:rsidP="000420FA">
            <w:pPr>
              <w:spacing w:line="276" w:lineRule="auto"/>
              <w:ind w:right="-360" w:firstLine="0"/>
            </w:pPr>
            <w:r>
              <w:t>Body Mass Index [kg/m</w:t>
            </w:r>
            <w:r>
              <w:rPr>
                <w:vertAlign w:val="superscript"/>
              </w:rPr>
              <w:t>2</w:t>
            </w:r>
            <w:r>
              <w:t>]</w:t>
            </w:r>
          </w:p>
        </w:tc>
        <w:tc>
          <w:tcPr>
            <w:tcW w:w="2460" w:type="dxa"/>
            <w:tcBorders>
              <w:top w:val="nil"/>
              <w:left w:val="nil"/>
              <w:bottom w:val="nil"/>
              <w:right w:val="nil"/>
            </w:tcBorders>
            <w:tcMar>
              <w:top w:w="-44" w:type="dxa"/>
              <w:left w:w="-44" w:type="dxa"/>
              <w:bottom w:w="-44" w:type="dxa"/>
              <w:right w:w="-44" w:type="dxa"/>
            </w:tcMar>
          </w:tcPr>
          <w:p w14:paraId="0866B0A6" w14:textId="77777777" w:rsidR="009B7826" w:rsidRDefault="009B7826" w:rsidP="000420FA">
            <w:pPr>
              <w:spacing w:line="276" w:lineRule="auto"/>
              <w:ind w:right="-360" w:firstLine="0"/>
            </w:pPr>
            <w:r>
              <w:t>25 (25 – 32)</w:t>
            </w:r>
          </w:p>
        </w:tc>
      </w:tr>
      <w:tr w:rsidR="009B7826" w14:paraId="021D0DAE"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4344CC10" w14:textId="77777777" w:rsidR="009B7826" w:rsidRDefault="009B7826" w:rsidP="000420FA">
            <w:pPr>
              <w:spacing w:line="276" w:lineRule="auto"/>
              <w:ind w:right="-360" w:firstLine="0"/>
            </w:pPr>
            <w:r>
              <w:t>Died</w:t>
            </w:r>
          </w:p>
        </w:tc>
        <w:tc>
          <w:tcPr>
            <w:tcW w:w="2460" w:type="dxa"/>
            <w:tcBorders>
              <w:top w:val="nil"/>
              <w:left w:val="nil"/>
              <w:bottom w:val="nil"/>
              <w:right w:val="nil"/>
            </w:tcBorders>
            <w:tcMar>
              <w:top w:w="-44" w:type="dxa"/>
              <w:left w:w="-44" w:type="dxa"/>
              <w:bottom w:w="-44" w:type="dxa"/>
              <w:right w:w="-44" w:type="dxa"/>
            </w:tcMar>
          </w:tcPr>
          <w:p w14:paraId="415557FB" w14:textId="77777777" w:rsidR="009B7826" w:rsidRDefault="009B7826" w:rsidP="000420FA">
            <w:pPr>
              <w:spacing w:line="276" w:lineRule="auto"/>
              <w:ind w:right="-360" w:firstLine="0"/>
            </w:pPr>
            <w:r>
              <w:t>13 (27)</w:t>
            </w:r>
          </w:p>
        </w:tc>
      </w:tr>
      <w:tr w:rsidR="009B7826" w14:paraId="7A7B30F5"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2FA2895B" w14:textId="77777777" w:rsidR="009B7826" w:rsidRDefault="009B7826" w:rsidP="000420FA">
            <w:pPr>
              <w:spacing w:line="276" w:lineRule="auto"/>
              <w:ind w:right="-360" w:firstLine="0"/>
            </w:pPr>
            <w:r>
              <w:t>Leukocytes [10</w:t>
            </w:r>
            <w:r>
              <w:rPr>
                <w:vertAlign w:val="superscript"/>
              </w:rPr>
              <w:t>3</w:t>
            </w:r>
            <w:r>
              <w:t>/µL]</w:t>
            </w:r>
          </w:p>
        </w:tc>
        <w:tc>
          <w:tcPr>
            <w:tcW w:w="2460" w:type="dxa"/>
            <w:tcBorders>
              <w:top w:val="nil"/>
              <w:left w:val="nil"/>
              <w:bottom w:val="nil"/>
              <w:right w:val="nil"/>
            </w:tcBorders>
            <w:tcMar>
              <w:top w:w="-44" w:type="dxa"/>
              <w:left w:w="-44" w:type="dxa"/>
              <w:bottom w:w="-44" w:type="dxa"/>
              <w:right w:w="-44" w:type="dxa"/>
            </w:tcMar>
          </w:tcPr>
          <w:p w14:paraId="097C23EF" w14:textId="77777777" w:rsidR="009B7826" w:rsidRDefault="009B7826" w:rsidP="000420FA">
            <w:pPr>
              <w:spacing w:line="276" w:lineRule="auto"/>
              <w:ind w:right="-360" w:firstLine="0"/>
            </w:pPr>
            <w:r>
              <w:t>10.2 (7.7 – 12.45)</w:t>
            </w:r>
          </w:p>
        </w:tc>
      </w:tr>
      <w:tr w:rsidR="009B7826" w14:paraId="363D5020"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63121C7D" w14:textId="77777777" w:rsidR="009B7826" w:rsidRDefault="009B7826" w:rsidP="000420FA">
            <w:pPr>
              <w:spacing w:line="276" w:lineRule="auto"/>
              <w:ind w:right="-360" w:firstLine="0"/>
            </w:pPr>
            <w:r>
              <w:t>Lymphocytes [10</w:t>
            </w:r>
            <w:r>
              <w:rPr>
                <w:vertAlign w:val="superscript"/>
              </w:rPr>
              <w:t>3</w:t>
            </w:r>
            <w:r>
              <w:t>/µL]</w:t>
            </w:r>
          </w:p>
        </w:tc>
        <w:tc>
          <w:tcPr>
            <w:tcW w:w="2460" w:type="dxa"/>
            <w:tcBorders>
              <w:top w:val="nil"/>
              <w:left w:val="nil"/>
              <w:bottom w:val="nil"/>
              <w:right w:val="nil"/>
            </w:tcBorders>
            <w:tcMar>
              <w:top w:w="-44" w:type="dxa"/>
              <w:left w:w="-44" w:type="dxa"/>
              <w:bottom w:w="-44" w:type="dxa"/>
              <w:right w:w="-44" w:type="dxa"/>
            </w:tcMar>
          </w:tcPr>
          <w:p w14:paraId="48DBE06B" w14:textId="77777777" w:rsidR="009B7826" w:rsidRDefault="009B7826" w:rsidP="000420FA">
            <w:pPr>
              <w:spacing w:line="276" w:lineRule="auto"/>
              <w:ind w:right="-360" w:firstLine="0"/>
            </w:pPr>
            <w:r>
              <w:t>8.175 (5.488 – 13.32)</w:t>
            </w:r>
          </w:p>
        </w:tc>
      </w:tr>
      <w:tr w:rsidR="009B7826" w14:paraId="13DBCD74"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69379AA3" w14:textId="77777777" w:rsidR="009B7826" w:rsidRDefault="009B7826" w:rsidP="000420FA">
            <w:pPr>
              <w:spacing w:line="276" w:lineRule="auto"/>
              <w:ind w:right="-360" w:firstLine="0"/>
            </w:pPr>
            <w:r>
              <w:t>Platelets [10</w:t>
            </w:r>
            <w:r>
              <w:rPr>
                <w:vertAlign w:val="superscript"/>
              </w:rPr>
              <w:t>3</w:t>
            </w:r>
            <w:r>
              <w:t>/µL]</w:t>
            </w:r>
          </w:p>
        </w:tc>
        <w:tc>
          <w:tcPr>
            <w:tcW w:w="2460" w:type="dxa"/>
            <w:tcBorders>
              <w:top w:val="nil"/>
              <w:left w:val="nil"/>
              <w:bottom w:val="nil"/>
              <w:right w:val="nil"/>
            </w:tcBorders>
            <w:tcMar>
              <w:top w:w="-44" w:type="dxa"/>
              <w:left w:w="-44" w:type="dxa"/>
              <w:bottom w:w="-44" w:type="dxa"/>
              <w:right w:w="-44" w:type="dxa"/>
            </w:tcMar>
          </w:tcPr>
          <w:p w14:paraId="15345634" w14:textId="77777777" w:rsidR="009B7826" w:rsidRDefault="009B7826" w:rsidP="000420FA">
            <w:pPr>
              <w:spacing w:line="276" w:lineRule="auto"/>
              <w:ind w:right="-360" w:firstLine="0"/>
            </w:pPr>
            <w:r>
              <w:t>226 (154.5 – 365.3)</w:t>
            </w:r>
          </w:p>
        </w:tc>
      </w:tr>
      <w:tr w:rsidR="009B7826" w14:paraId="7E12C7BD"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72659655" w14:textId="77777777" w:rsidR="009B7826" w:rsidRDefault="009B7826" w:rsidP="000420FA">
            <w:pPr>
              <w:spacing w:line="276" w:lineRule="auto"/>
              <w:ind w:right="-360" w:firstLine="0"/>
            </w:pPr>
            <w:r>
              <w:t>Bilirubin [mg/dL]</w:t>
            </w:r>
          </w:p>
        </w:tc>
        <w:tc>
          <w:tcPr>
            <w:tcW w:w="2460" w:type="dxa"/>
            <w:tcBorders>
              <w:top w:val="nil"/>
              <w:left w:val="nil"/>
              <w:bottom w:val="nil"/>
              <w:right w:val="nil"/>
            </w:tcBorders>
            <w:tcMar>
              <w:top w:w="-44" w:type="dxa"/>
              <w:left w:w="-44" w:type="dxa"/>
              <w:bottom w:w="-44" w:type="dxa"/>
              <w:right w:w="-44" w:type="dxa"/>
            </w:tcMar>
          </w:tcPr>
          <w:p w14:paraId="3E4527C0" w14:textId="77777777" w:rsidR="009B7826" w:rsidRDefault="009B7826" w:rsidP="000420FA">
            <w:pPr>
              <w:spacing w:line="276" w:lineRule="auto"/>
              <w:ind w:right="-360" w:firstLine="0"/>
            </w:pPr>
            <w:r>
              <w:t>0.5 (0.3 – 0.7)</w:t>
            </w:r>
          </w:p>
        </w:tc>
      </w:tr>
      <w:tr w:rsidR="009B7826" w14:paraId="0BF240D9"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31859971" w14:textId="77777777" w:rsidR="009B7826" w:rsidRDefault="009B7826" w:rsidP="000420FA">
            <w:pPr>
              <w:spacing w:line="276" w:lineRule="auto"/>
              <w:ind w:right="-360" w:firstLine="0"/>
            </w:pPr>
            <w:r>
              <w:t>C-reactive Protein [mg/dL]</w:t>
            </w:r>
          </w:p>
        </w:tc>
        <w:tc>
          <w:tcPr>
            <w:tcW w:w="2460" w:type="dxa"/>
            <w:tcBorders>
              <w:top w:val="nil"/>
              <w:left w:val="nil"/>
              <w:bottom w:val="nil"/>
              <w:right w:val="nil"/>
            </w:tcBorders>
            <w:tcMar>
              <w:top w:w="-44" w:type="dxa"/>
              <w:left w:w="-44" w:type="dxa"/>
              <w:bottom w:w="-44" w:type="dxa"/>
              <w:right w:w="-44" w:type="dxa"/>
            </w:tcMar>
          </w:tcPr>
          <w:p w14:paraId="6D5C6096" w14:textId="77777777" w:rsidR="009B7826" w:rsidRDefault="009B7826" w:rsidP="000420FA">
            <w:pPr>
              <w:spacing w:line="276" w:lineRule="auto"/>
              <w:ind w:right="-360" w:firstLine="0"/>
            </w:pPr>
            <w:r>
              <w:t>115.1 (61.8 – 173.9)</w:t>
            </w:r>
          </w:p>
        </w:tc>
      </w:tr>
      <w:tr w:rsidR="009B7826" w14:paraId="6C2ECEE7" w14:textId="77777777" w:rsidTr="000420FA">
        <w:trPr>
          <w:cantSplit/>
        </w:trPr>
        <w:tc>
          <w:tcPr>
            <w:tcW w:w="4695" w:type="dxa"/>
            <w:tcBorders>
              <w:top w:val="nil"/>
              <w:left w:val="nil"/>
              <w:bottom w:val="nil"/>
              <w:right w:val="nil"/>
            </w:tcBorders>
            <w:tcMar>
              <w:top w:w="-44" w:type="dxa"/>
              <w:left w:w="-44" w:type="dxa"/>
              <w:bottom w:w="-44" w:type="dxa"/>
              <w:right w:w="-44" w:type="dxa"/>
            </w:tcMar>
          </w:tcPr>
          <w:p w14:paraId="67AE7D1A" w14:textId="77777777" w:rsidR="009B7826" w:rsidRDefault="009B7826" w:rsidP="000420FA">
            <w:pPr>
              <w:spacing w:line="276" w:lineRule="auto"/>
              <w:ind w:right="-360" w:firstLine="0"/>
            </w:pPr>
            <w:r>
              <w:t>Interleukin-6 [</w:t>
            </w:r>
            <w:proofErr w:type="spellStart"/>
            <w:r>
              <w:t>pg</w:t>
            </w:r>
            <w:proofErr w:type="spellEnd"/>
            <w:r>
              <w:t>/mL]</w:t>
            </w:r>
          </w:p>
        </w:tc>
        <w:tc>
          <w:tcPr>
            <w:tcW w:w="2460" w:type="dxa"/>
            <w:tcBorders>
              <w:top w:val="nil"/>
              <w:left w:val="nil"/>
              <w:bottom w:val="nil"/>
              <w:right w:val="nil"/>
            </w:tcBorders>
            <w:tcMar>
              <w:top w:w="-44" w:type="dxa"/>
              <w:left w:w="-44" w:type="dxa"/>
              <w:bottom w:w="-44" w:type="dxa"/>
              <w:right w:w="-44" w:type="dxa"/>
            </w:tcMar>
          </w:tcPr>
          <w:p w14:paraId="2C023819" w14:textId="77777777" w:rsidR="009B7826" w:rsidRDefault="009B7826" w:rsidP="000420FA">
            <w:pPr>
              <w:spacing w:line="276" w:lineRule="auto"/>
              <w:ind w:right="-360" w:firstLine="0"/>
            </w:pPr>
            <w:r>
              <w:t>75.4 (26.55 – 126.6)</w:t>
            </w:r>
          </w:p>
        </w:tc>
      </w:tr>
      <w:tr w:rsidR="009B7826" w14:paraId="687E1427" w14:textId="77777777" w:rsidTr="00245519">
        <w:trPr>
          <w:cantSplit/>
        </w:trPr>
        <w:tc>
          <w:tcPr>
            <w:tcW w:w="4695" w:type="dxa"/>
            <w:tcBorders>
              <w:top w:val="nil"/>
              <w:left w:val="nil"/>
              <w:bottom w:val="nil"/>
              <w:right w:val="nil"/>
            </w:tcBorders>
            <w:tcMar>
              <w:top w:w="-44" w:type="dxa"/>
              <w:left w:w="-44" w:type="dxa"/>
              <w:bottom w:w="-44" w:type="dxa"/>
              <w:right w:w="-44" w:type="dxa"/>
            </w:tcMar>
          </w:tcPr>
          <w:p w14:paraId="5AC45A1E" w14:textId="77777777" w:rsidR="009B7826" w:rsidRDefault="009B7826" w:rsidP="000420FA">
            <w:pPr>
              <w:spacing w:line="276" w:lineRule="auto"/>
              <w:ind w:right="-360" w:firstLine="0"/>
            </w:pPr>
            <w:r>
              <w:t>Creatinine [mg/dL]</w:t>
            </w:r>
          </w:p>
        </w:tc>
        <w:tc>
          <w:tcPr>
            <w:tcW w:w="2460" w:type="dxa"/>
            <w:tcBorders>
              <w:top w:val="nil"/>
              <w:left w:val="nil"/>
              <w:bottom w:val="nil"/>
              <w:right w:val="nil"/>
            </w:tcBorders>
            <w:tcMar>
              <w:top w:w="-44" w:type="dxa"/>
              <w:left w:w="-44" w:type="dxa"/>
              <w:bottom w:w="-44" w:type="dxa"/>
              <w:right w:w="-44" w:type="dxa"/>
            </w:tcMar>
          </w:tcPr>
          <w:p w14:paraId="39C227CF" w14:textId="77777777" w:rsidR="009B7826" w:rsidRDefault="009B7826" w:rsidP="000420FA">
            <w:pPr>
              <w:spacing w:line="276" w:lineRule="auto"/>
              <w:ind w:right="-360" w:firstLine="0"/>
            </w:pPr>
            <w:r>
              <w:t>0.995 (0.7175 – 1.94)</w:t>
            </w:r>
          </w:p>
        </w:tc>
      </w:tr>
      <w:tr w:rsidR="009B7826" w14:paraId="53F7892B" w14:textId="77777777" w:rsidTr="00245519">
        <w:trPr>
          <w:cantSplit/>
        </w:trPr>
        <w:tc>
          <w:tcPr>
            <w:tcW w:w="4695" w:type="dxa"/>
            <w:tcBorders>
              <w:top w:val="nil"/>
              <w:left w:val="nil"/>
              <w:bottom w:val="single" w:sz="12" w:space="0" w:color="000000"/>
              <w:right w:val="nil"/>
            </w:tcBorders>
            <w:tcMar>
              <w:top w:w="-44" w:type="dxa"/>
              <w:left w:w="-44" w:type="dxa"/>
              <w:bottom w:w="-44" w:type="dxa"/>
              <w:right w:w="-44" w:type="dxa"/>
            </w:tcMar>
          </w:tcPr>
          <w:p w14:paraId="47D801D8" w14:textId="77777777" w:rsidR="009B7826" w:rsidRDefault="009B7826" w:rsidP="000420FA">
            <w:pPr>
              <w:spacing w:line="276" w:lineRule="auto"/>
              <w:ind w:right="-360" w:firstLine="0"/>
            </w:pPr>
            <w:r>
              <w:t>PCT [ng/mL]</w:t>
            </w:r>
          </w:p>
        </w:tc>
        <w:tc>
          <w:tcPr>
            <w:tcW w:w="2460" w:type="dxa"/>
            <w:tcBorders>
              <w:top w:val="nil"/>
              <w:left w:val="nil"/>
              <w:bottom w:val="single" w:sz="12" w:space="0" w:color="000000"/>
              <w:right w:val="nil"/>
            </w:tcBorders>
            <w:tcMar>
              <w:top w:w="-44" w:type="dxa"/>
              <w:left w:w="-44" w:type="dxa"/>
              <w:bottom w:w="-44" w:type="dxa"/>
              <w:right w:w="-44" w:type="dxa"/>
            </w:tcMar>
          </w:tcPr>
          <w:p w14:paraId="44CBA7F7" w14:textId="77777777" w:rsidR="009B7826" w:rsidRDefault="009B7826" w:rsidP="000420FA">
            <w:pPr>
              <w:spacing w:line="276" w:lineRule="auto"/>
              <w:ind w:right="-360" w:firstLine="0"/>
            </w:pPr>
            <w:r>
              <w:t>0.345 (0.1 – 1.413)</w:t>
            </w:r>
          </w:p>
        </w:tc>
      </w:tr>
    </w:tbl>
    <w:p w14:paraId="5A5619AD" w14:textId="77777777" w:rsidR="009B7826" w:rsidRDefault="009B7826" w:rsidP="00D9781C">
      <w:pPr>
        <w:spacing w:before="40" w:after="240"/>
        <w:ind w:firstLine="0"/>
      </w:pPr>
      <w:r>
        <w:t>Unless otherwise specified, the numbers are median (IQR).</w:t>
      </w:r>
    </w:p>
    <w:p w14:paraId="3423E0A2" w14:textId="77777777" w:rsidR="009B7826" w:rsidRDefault="009B7826" w:rsidP="009B7826">
      <w:pPr>
        <w:spacing w:before="40" w:after="240"/>
      </w:pPr>
      <w:r>
        <w:br w:type="page"/>
      </w:r>
    </w:p>
    <w:p w14:paraId="5F6D7812" w14:textId="77777777" w:rsidR="009B7826" w:rsidRDefault="009B7826" w:rsidP="009B7826">
      <w:pPr>
        <w:spacing w:before="40" w:after="240"/>
        <w:rPr>
          <w:b/>
        </w:rPr>
      </w:pPr>
      <w:r>
        <w:rPr>
          <w:noProof/>
          <w:lang w:val="en-US"/>
        </w:rPr>
        <w:lastRenderedPageBreak/>
        <w:drawing>
          <wp:anchor distT="114300" distB="114300" distL="114300" distR="114300" simplePos="0" relativeHeight="251659264" behindDoc="0" locked="0" layoutInCell="1" hidden="0" allowOverlap="1" wp14:anchorId="7D39988B" wp14:editId="259DF938">
            <wp:simplePos x="0" y="0"/>
            <wp:positionH relativeFrom="column">
              <wp:posOffset>257175</wp:posOffset>
            </wp:positionH>
            <wp:positionV relativeFrom="paragraph">
              <wp:posOffset>114300</wp:posOffset>
            </wp:positionV>
            <wp:extent cx="5035512" cy="6453188"/>
            <wp:effectExtent l="0" t="0" r="0" b="0"/>
            <wp:wrapSquare wrapText="bothSides" distT="114300" distB="114300" distL="114300" distR="11430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5035512" cy="6453188"/>
                    </a:xfrm>
                    <a:prstGeom prst="rect">
                      <a:avLst/>
                    </a:prstGeom>
                    <a:ln/>
                  </pic:spPr>
                </pic:pic>
              </a:graphicData>
            </a:graphic>
          </wp:anchor>
        </w:drawing>
      </w:r>
    </w:p>
    <w:p w14:paraId="05A446D9" w14:textId="77777777" w:rsidR="009B7826" w:rsidRDefault="009B7826" w:rsidP="009B7826">
      <w:pPr>
        <w:spacing w:before="40" w:after="240"/>
        <w:rPr>
          <w:b/>
        </w:rPr>
      </w:pPr>
    </w:p>
    <w:p w14:paraId="0A3EB36D" w14:textId="2507F7EE" w:rsidR="009B7826" w:rsidRDefault="009B7826" w:rsidP="009B7826">
      <w:pPr>
        <w:spacing w:before="40" w:after="240" w:line="276" w:lineRule="auto"/>
        <w:ind w:firstLine="0"/>
        <w:jc w:val="both"/>
      </w:pPr>
      <w:r>
        <w:rPr>
          <w:b/>
        </w:rPr>
        <w:t xml:space="preserve">Supplementary Figure 1. </w:t>
      </w:r>
      <w:r>
        <w:t>Diagnostic performance of t</w:t>
      </w:r>
      <w:r>
        <w:rPr>
          <w:vertAlign w:val="superscript"/>
        </w:rPr>
        <w:t>6</w:t>
      </w:r>
      <w:r>
        <w:t xml:space="preserve">A and PCT for detecting sepsis at ICU admission in the exploratory patient </w:t>
      </w:r>
      <w:proofErr w:type="gramStart"/>
      <w:r>
        <w:t>cohort</w:t>
      </w:r>
      <w:proofErr w:type="gramEnd"/>
      <w:r>
        <w:t>. Distribution of patients for t</w:t>
      </w:r>
      <w:r>
        <w:rPr>
          <w:vertAlign w:val="superscript"/>
        </w:rPr>
        <w:t>6</w:t>
      </w:r>
      <w:r>
        <w:t>A (</w:t>
      </w:r>
      <w:r>
        <w:rPr>
          <w:b/>
        </w:rPr>
        <w:t>A</w:t>
      </w:r>
      <w:r>
        <w:t>) and PCT (</w:t>
      </w:r>
      <w:r>
        <w:rPr>
          <w:b/>
        </w:rPr>
        <w:t>B</w:t>
      </w:r>
      <w:r>
        <w:t xml:space="preserve">) is presented as box plots (left; median, upper/lower quartile, whiskers at ±1.5× of the interquartile range) and jitter plots (right). ROC curves are shown in </w:t>
      </w:r>
      <w:r>
        <w:rPr>
          <w:b/>
        </w:rPr>
        <w:t>C</w:t>
      </w:r>
      <w:r>
        <w:t>. Colored dots on the ROC curves represent optimal thresholds.</w:t>
      </w:r>
      <w:r w:rsidR="00D9781C">
        <w:t xml:space="preserve"> The statistical methodology is described in </w:t>
      </w:r>
      <w:proofErr w:type="gramStart"/>
      <w:r w:rsidR="00D9781C">
        <w:t>Statistical</w:t>
      </w:r>
      <w:proofErr w:type="gramEnd"/>
      <w:r w:rsidR="00D9781C">
        <w:t xml:space="preserve"> Analyses section in the main paper.</w:t>
      </w:r>
    </w:p>
    <w:p w14:paraId="2275FFBE" w14:textId="77777777" w:rsidR="009B7826" w:rsidRDefault="009B7826" w:rsidP="009B7826">
      <w:pPr>
        <w:spacing w:before="40" w:after="240"/>
        <w:rPr>
          <w:b/>
        </w:rPr>
      </w:pPr>
      <w:r>
        <w:br w:type="page"/>
      </w:r>
    </w:p>
    <w:p w14:paraId="23E0D6C5" w14:textId="77777777" w:rsidR="009B7826" w:rsidRDefault="009B7826" w:rsidP="009B7826">
      <w:pPr>
        <w:spacing w:before="40" w:after="240"/>
        <w:rPr>
          <w:b/>
        </w:rPr>
      </w:pPr>
      <w:r>
        <w:rPr>
          <w:noProof/>
          <w:lang w:val="en-US"/>
        </w:rPr>
        <w:lastRenderedPageBreak/>
        <w:drawing>
          <wp:anchor distT="114300" distB="114300" distL="114300" distR="114300" simplePos="0" relativeHeight="251660288" behindDoc="0" locked="0" layoutInCell="1" hidden="0" allowOverlap="1" wp14:anchorId="386EA266" wp14:editId="075900B8">
            <wp:simplePos x="0" y="0"/>
            <wp:positionH relativeFrom="column">
              <wp:posOffset>114300</wp:posOffset>
            </wp:positionH>
            <wp:positionV relativeFrom="paragraph">
              <wp:posOffset>114300</wp:posOffset>
            </wp:positionV>
            <wp:extent cx="4919663" cy="6285120"/>
            <wp:effectExtent l="0" t="0" r="0" b="0"/>
            <wp:wrapSquare wrapText="bothSides" distT="114300" distB="114300" distL="114300" distR="11430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4919663" cy="6285120"/>
                    </a:xfrm>
                    <a:prstGeom prst="rect">
                      <a:avLst/>
                    </a:prstGeom>
                    <a:ln/>
                  </pic:spPr>
                </pic:pic>
              </a:graphicData>
            </a:graphic>
          </wp:anchor>
        </w:drawing>
      </w:r>
    </w:p>
    <w:p w14:paraId="039C06A2" w14:textId="77777777" w:rsidR="009B7826" w:rsidRDefault="009B7826" w:rsidP="009B7826">
      <w:pPr>
        <w:spacing w:before="40" w:after="240"/>
        <w:rPr>
          <w:b/>
        </w:rPr>
      </w:pPr>
    </w:p>
    <w:p w14:paraId="13B717C5" w14:textId="77777777" w:rsidR="009B7826" w:rsidRDefault="009B7826" w:rsidP="009B7826">
      <w:pPr>
        <w:spacing w:before="40" w:after="240"/>
        <w:rPr>
          <w:b/>
        </w:rPr>
      </w:pPr>
    </w:p>
    <w:p w14:paraId="7217ACC4" w14:textId="77777777" w:rsidR="009B7826" w:rsidRDefault="009B7826" w:rsidP="009B7826">
      <w:pPr>
        <w:spacing w:before="40" w:after="240"/>
        <w:rPr>
          <w:b/>
        </w:rPr>
      </w:pPr>
    </w:p>
    <w:p w14:paraId="114BD0FE" w14:textId="77777777" w:rsidR="009B7826" w:rsidRDefault="009B7826" w:rsidP="009B7826">
      <w:pPr>
        <w:spacing w:before="40" w:after="240"/>
        <w:rPr>
          <w:b/>
        </w:rPr>
      </w:pPr>
    </w:p>
    <w:p w14:paraId="249D686E" w14:textId="77777777" w:rsidR="009B7826" w:rsidRDefault="009B7826" w:rsidP="009B7826">
      <w:pPr>
        <w:spacing w:before="40" w:after="240"/>
        <w:rPr>
          <w:b/>
        </w:rPr>
      </w:pPr>
    </w:p>
    <w:p w14:paraId="45BC1ABA" w14:textId="77777777" w:rsidR="009B7826" w:rsidRDefault="009B7826" w:rsidP="009B7826">
      <w:pPr>
        <w:spacing w:before="40" w:after="240"/>
        <w:rPr>
          <w:b/>
        </w:rPr>
      </w:pPr>
    </w:p>
    <w:p w14:paraId="5C5A3872" w14:textId="77777777" w:rsidR="009B7826" w:rsidRDefault="009B7826" w:rsidP="009B7826">
      <w:pPr>
        <w:spacing w:before="40" w:after="240"/>
        <w:rPr>
          <w:b/>
        </w:rPr>
      </w:pPr>
    </w:p>
    <w:p w14:paraId="0C345651" w14:textId="77777777" w:rsidR="009B7826" w:rsidRDefault="009B7826" w:rsidP="009B7826">
      <w:pPr>
        <w:spacing w:before="40" w:after="240"/>
        <w:rPr>
          <w:b/>
        </w:rPr>
      </w:pPr>
    </w:p>
    <w:p w14:paraId="4EE0204A" w14:textId="77777777" w:rsidR="009B7826" w:rsidRDefault="009B7826" w:rsidP="009B7826">
      <w:pPr>
        <w:spacing w:before="40" w:after="240"/>
        <w:rPr>
          <w:b/>
        </w:rPr>
      </w:pPr>
    </w:p>
    <w:p w14:paraId="07439FF0" w14:textId="77777777" w:rsidR="009B7826" w:rsidRDefault="009B7826" w:rsidP="009B7826">
      <w:pPr>
        <w:spacing w:before="40" w:after="240"/>
        <w:rPr>
          <w:b/>
        </w:rPr>
      </w:pPr>
    </w:p>
    <w:p w14:paraId="485B60A0" w14:textId="77777777" w:rsidR="009B7826" w:rsidRDefault="009B7826" w:rsidP="009B7826">
      <w:pPr>
        <w:spacing w:before="40" w:after="240"/>
        <w:rPr>
          <w:b/>
        </w:rPr>
      </w:pPr>
    </w:p>
    <w:p w14:paraId="7496BAEE" w14:textId="77777777" w:rsidR="009B7826" w:rsidRDefault="009B7826" w:rsidP="009B7826">
      <w:pPr>
        <w:spacing w:before="40" w:after="240"/>
        <w:rPr>
          <w:b/>
        </w:rPr>
      </w:pPr>
    </w:p>
    <w:p w14:paraId="558E3060" w14:textId="3DBF1F75" w:rsidR="00D9781C" w:rsidRDefault="009B7826" w:rsidP="00D9781C">
      <w:pPr>
        <w:spacing w:before="40" w:after="240" w:line="276" w:lineRule="auto"/>
        <w:ind w:firstLine="0"/>
        <w:jc w:val="both"/>
      </w:pPr>
      <w:r>
        <w:rPr>
          <w:b/>
        </w:rPr>
        <w:t xml:space="preserve">Supplementary Figure 2: </w:t>
      </w:r>
      <w:r>
        <w:t>Diagnostic performance of t</w:t>
      </w:r>
      <w:r>
        <w:rPr>
          <w:vertAlign w:val="superscript"/>
        </w:rPr>
        <w:t>6</w:t>
      </w:r>
      <w:r>
        <w:t>A and PCT for detecting sepsis at ICU admission in validation patient cohorts. Distribution of patients for t</w:t>
      </w:r>
      <w:r>
        <w:rPr>
          <w:vertAlign w:val="superscript"/>
        </w:rPr>
        <w:t>6</w:t>
      </w:r>
      <w:r>
        <w:t>A (</w:t>
      </w:r>
      <w:r>
        <w:rPr>
          <w:b/>
        </w:rPr>
        <w:t>A</w:t>
      </w:r>
      <w:r>
        <w:t>) and PCT (</w:t>
      </w:r>
      <w:r>
        <w:rPr>
          <w:b/>
        </w:rPr>
        <w:t>B</w:t>
      </w:r>
      <w:r>
        <w:t xml:space="preserve">) is presented as box plots (left; median, upper/lower quartile, whiskers at ±1.5× of the interquartile range) and jitter plots (right). ROC curves are shown in </w:t>
      </w:r>
      <w:r>
        <w:rPr>
          <w:b/>
        </w:rPr>
        <w:t>C</w:t>
      </w:r>
      <w:r>
        <w:t>. Colored dots on the ROC curves represent optimal thresholds.</w:t>
      </w:r>
      <w:r w:rsidR="00D9781C">
        <w:t xml:space="preserve"> The statistical methodology is described in </w:t>
      </w:r>
      <w:proofErr w:type="gramStart"/>
      <w:r w:rsidR="00D9781C">
        <w:t>Statistical</w:t>
      </w:r>
      <w:proofErr w:type="gramEnd"/>
      <w:r w:rsidR="00D9781C">
        <w:t xml:space="preserve"> Analyses section in the main paper.</w:t>
      </w:r>
    </w:p>
    <w:p w14:paraId="4AE2ACB7" w14:textId="77777777" w:rsidR="009B7826" w:rsidRDefault="009B7826" w:rsidP="009B7826">
      <w:pPr>
        <w:spacing w:before="40" w:after="240"/>
        <w:jc w:val="both"/>
        <w:rPr>
          <w:b/>
        </w:rPr>
      </w:pPr>
      <w:r>
        <w:br w:type="page"/>
      </w:r>
    </w:p>
    <w:p w14:paraId="7508BA26" w14:textId="77777777" w:rsidR="009B7826" w:rsidRDefault="009B7826" w:rsidP="009B7826">
      <w:pPr>
        <w:spacing w:before="40" w:after="240"/>
      </w:pPr>
      <w:r>
        <w:rPr>
          <w:noProof/>
          <w:lang w:val="en-US"/>
        </w:rPr>
        <w:lastRenderedPageBreak/>
        <w:drawing>
          <wp:anchor distT="114300" distB="114300" distL="114300" distR="114300" simplePos="0" relativeHeight="251661312" behindDoc="0" locked="0" layoutInCell="1" hidden="0" allowOverlap="1" wp14:anchorId="7C7D4844" wp14:editId="6D4A4619">
            <wp:simplePos x="0" y="0"/>
            <wp:positionH relativeFrom="column">
              <wp:posOffset>47626</wp:posOffset>
            </wp:positionH>
            <wp:positionV relativeFrom="paragraph">
              <wp:posOffset>161925</wp:posOffset>
            </wp:positionV>
            <wp:extent cx="5943600" cy="2971800"/>
            <wp:effectExtent l="0" t="0" r="0" b="0"/>
            <wp:wrapSquare wrapText="bothSides" distT="114300" distB="114300" distL="114300" distR="114300"/>
            <wp:docPr id="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8"/>
                    <a:srcRect/>
                    <a:stretch>
                      <a:fillRect/>
                    </a:stretch>
                  </pic:blipFill>
                  <pic:spPr>
                    <a:xfrm>
                      <a:off x="0" y="0"/>
                      <a:ext cx="5943600" cy="2971800"/>
                    </a:xfrm>
                    <a:prstGeom prst="rect">
                      <a:avLst/>
                    </a:prstGeom>
                    <a:ln/>
                  </pic:spPr>
                </pic:pic>
              </a:graphicData>
            </a:graphic>
          </wp:anchor>
        </w:drawing>
      </w:r>
    </w:p>
    <w:p w14:paraId="6ADA438E" w14:textId="77777777" w:rsidR="00D9781C" w:rsidRDefault="009B7826" w:rsidP="00D9781C">
      <w:pPr>
        <w:spacing w:before="40" w:after="240" w:line="276" w:lineRule="auto"/>
        <w:ind w:firstLine="0"/>
        <w:jc w:val="both"/>
      </w:pPr>
      <w:r>
        <w:rPr>
          <w:b/>
        </w:rPr>
        <w:t xml:space="preserve">Supplementary Figure 3. </w:t>
      </w:r>
      <w:r>
        <w:t>Concentration of t</w:t>
      </w:r>
      <w:r>
        <w:rPr>
          <w:vertAlign w:val="superscript"/>
        </w:rPr>
        <w:t>6</w:t>
      </w:r>
      <w:r>
        <w:t>A (</w:t>
      </w:r>
      <w:r>
        <w:rPr>
          <w:b/>
        </w:rPr>
        <w:t>A</w:t>
      </w:r>
      <w:r>
        <w:t>) and PCT (</w:t>
      </w:r>
      <w:r>
        <w:rPr>
          <w:b/>
        </w:rPr>
        <w:t>B</w:t>
      </w:r>
      <w:r>
        <w:t>) was measured over 48 h in the CABG control patients to visualize a protracted dynamic of each marker. t</w:t>
      </w:r>
      <w:r>
        <w:rPr>
          <w:vertAlign w:val="superscript"/>
        </w:rPr>
        <w:t>6</w:t>
      </w:r>
      <w:r>
        <w:t xml:space="preserve">A was measured at 0, 6, 12, 24 and 48 hours (number of values </w:t>
      </w:r>
      <w:r>
        <w:rPr>
          <w:i/>
        </w:rPr>
        <w:t>n</w:t>
      </w:r>
      <w:r>
        <w:t>: 77, 81, 40, 81, 26), while PCT at 0, 6, 24, and 48 hours (</w:t>
      </w:r>
      <w:r>
        <w:rPr>
          <w:i/>
        </w:rPr>
        <w:t>n</w:t>
      </w:r>
      <w:r>
        <w:t>: 49, 50, 45, 9). Both markers are presented at each time point as box plots (median, upper/lower quartile, whiskers at ±1.5× of the interquartile range).</w:t>
      </w:r>
      <w:r w:rsidR="00D9781C">
        <w:t xml:space="preserve"> The statistical methodology is described in </w:t>
      </w:r>
      <w:proofErr w:type="gramStart"/>
      <w:r w:rsidR="00D9781C">
        <w:t>Statistical</w:t>
      </w:r>
      <w:proofErr w:type="gramEnd"/>
      <w:r w:rsidR="00D9781C">
        <w:t xml:space="preserve"> Analyses section in the main paper.</w:t>
      </w:r>
    </w:p>
    <w:p w14:paraId="525E9340" w14:textId="77777777" w:rsidR="009B7826" w:rsidRDefault="009B7826" w:rsidP="009B7826">
      <w:pPr>
        <w:spacing w:before="40" w:after="240" w:line="276" w:lineRule="auto"/>
        <w:ind w:firstLine="0"/>
        <w:jc w:val="both"/>
        <w:rPr>
          <w:color w:val="0D0D0D"/>
          <w:highlight w:val="white"/>
        </w:rPr>
      </w:pPr>
      <w:r>
        <w:br w:type="page"/>
      </w:r>
    </w:p>
    <w:p w14:paraId="1143D10D" w14:textId="77777777" w:rsidR="009B7826" w:rsidRDefault="009B7826" w:rsidP="009B7826">
      <w:pPr>
        <w:spacing w:before="40" w:after="240" w:line="276" w:lineRule="auto"/>
        <w:ind w:firstLine="0"/>
        <w:jc w:val="both"/>
      </w:pPr>
      <w:r>
        <w:rPr>
          <w:noProof/>
          <w:lang w:val="en-US"/>
        </w:rPr>
        <w:lastRenderedPageBreak/>
        <w:drawing>
          <wp:inline distT="114300" distB="114300" distL="114300" distR="114300" wp14:anchorId="55700E6A" wp14:editId="46E5D08C">
            <wp:extent cx="5943600" cy="2971800"/>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5943600" cy="2971800"/>
                    </a:xfrm>
                    <a:prstGeom prst="rect">
                      <a:avLst/>
                    </a:prstGeom>
                    <a:ln/>
                  </pic:spPr>
                </pic:pic>
              </a:graphicData>
            </a:graphic>
          </wp:inline>
        </w:drawing>
      </w:r>
    </w:p>
    <w:p w14:paraId="71B7882E" w14:textId="77777777" w:rsidR="009B7826" w:rsidRDefault="009B7826" w:rsidP="009B7826">
      <w:pPr>
        <w:spacing w:before="40" w:after="240" w:line="276" w:lineRule="auto"/>
        <w:ind w:firstLine="0"/>
        <w:jc w:val="both"/>
      </w:pPr>
    </w:p>
    <w:p w14:paraId="28F05036" w14:textId="6826959B" w:rsidR="00D9781C" w:rsidRDefault="009B7826" w:rsidP="00D9781C">
      <w:pPr>
        <w:spacing w:before="40" w:after="240" w:line="276" w:lineRule="auto"/>
        <w:ind w:firstLine="0"/>
        <w:jc w:val="both"/>
      </w:pPr>
      <w:r>
        <w:rPr>
          <w:b/>
        </w:rPr>
        <w:t xml:space="preserve">Supplementary Figure 4. </w:t>
      </w:r>
      <w:r>
        <w:t>Diagnostic performance of t</w:t>
      </w:r>
      <w:r>
        <w:rPr>
          <w:vertAlign w:val="superscript"/>
        </w:rPr>
        <w:t>6</w:t>
      </w:r>
      <w:r>
        <w:t>A for detecting COVID-19 in patients admitted to the ICU. Distribution of patients for t</w:t>
      </w:r>
      <w:r>
        <w:rPr>
          <w:vertAlign w:val="superscript"/>
        </w:rPr>
        <w:t>6</w:t>
      </w:r>
      <w:r>
        <w:t>A (</w:t>
      </w:r>
      <w:r>
        <w:rPr>
          <w:b/>
        </w:rPr>
        <w:t>A</w:t>
      </w:r>
      <w:r>
        <w:t xml:space="preserve">) is presented as box plots (left; median, upper/lower quartile, whiskers at ±1.5× of the interquartile range) and jitter plots (right). ROC curve with graphically depicted 95% confidence interval is shown in </w:t>
      </w:r>
      <w:r>
        <w:rPr>
          <w:b/>
        </w:rPr>
        <w:t>B</w:t>
      </w:r>
      <w:r>
        <w:t xml:space="preserve">.  </w:t>
      </w:r>
      <w:proofErr w:type="gramStart"/>
      <w:r>
        <w:t>Colored</w:t>
      </w:r>
      <w:proofErr w:type="gramEnd"/>
      <w:r>
        <w:t xml:space="preserve"> dot on the ROC curve represents the optimal threshold.</w:t>
      </w:r>
      <w:r w:rsidR="00D9781C">
        <w:t xml:space="preserve"> The statistical methodology is described in </w:t>
      </w:r>
      <w:proofErr w:type="gramStart"/>
      <w:r w:rsidR="00D9781C">
        <w:t>Statistical</w:t>
      </w:r>
      <w:proofErr w:type="gramEnd"/>
      <w:r w:rsidR="00D9781C">
        <w:t xml:space="preserve"> Analyses section in the main paper.</w:t>
      </w:r>
    </w:p>
    <w:p w14:paraId="2641F911" w14:textId="77777777" w:rsidR="009B7826" w:rsidRDefault="009B7826" w:rsidP="009B7826">
      <w:pPr>
        <w:spacing w:before="40" w:after="240" w:line="276" w:lineRule="auto"/>
        <w:ind w:firstLine="0"/>
        <w:jc w:val="both"/>
        <w:rPr>
          <w:b/>
        </w:rPr>
      </w:pPr>
    </w:p>
    <w:p w14:paraId="4BFCC5A9" w14:textId="77777777" w:rsidR="009B7826" w:rsidRDefault="009B7826" w:rsidP="009B7826">
      <w:pPr>
        <w:spacing w:before="40" w:after="240" w:line="276" w:lineRule="auto"/>
        <w:ind w:firstLine="0"/>
        <w:jc w:val="both"/>
      </w:pPr>
    </w:p>
    <w:p w14:paraId="3B37BEFC" w14:textId="77777777" w:rsidR="009B7826" w:rsidRDefault="009B7826" w:rsidP="009B7826">
      <w:pPr>
        <w:spacing w:before="40" w:after="240"/>
      </w:pPr>
    </w:p>
    <w:p w14:paraId="64A6942C" w14:textId="77777777" w:rsidR="009B7826" w:rsidRDefault="009B7826" w:rsidP="009B7826">
      <w:pPr>
        <w:spacing w:before="40" w:after="240"/>
      </w:pPr>
    </w:p>
    <w:p w14:paraId="658F58E3" w14:textId="77777777" w:rsidR="009B7826" w:rsidRDefault="009B7826" w:rsidP="009B7826">
      <w:pPr>
        <w:spacing w:before="240" w:after="60"/>
        <w:rPr>
          <w:b/>
        </w:rPr>
      </w:pPr>
    </w:p>
    <w:p w14:paraId="4751F4CD" w14:textId="77777777" w:rsidR="009B7826" w:rsidRDefault="009B7826" w:rsidP="009B7826">
      <w:pPr>
        <w:spacing w:before="240" w:after="60" w:line="276" w:lineRule="auto"/>
        <w:ind w:firstLine="0"/>
        <w:jc w:val="both"/>
        <w:rPr>
          <w:b/>
        </w:rPr>
      </w:pPr>
      <w:r>
        <w:br w:type="page"/>
      </w:r>
    </w:p>
    <w:p w14:paraId="2E292B60" w14:textId="77777777" w:rsidR="009B7826" w:rsidRDefault="009B7826" w:rsidP="009B7826">
      <w:pPr>
        <w:spacing w:before="240" w:after="60"/>
        <w:rPr>
          <w:b/>
        </w:rPr>
      </w:pPr>
      <w:r>
        <w:rPr>
          <w:noProof/>
          <w:lang w:val="en-US"/>
        </w:rPr>
        <w:lastRenderedPageBreak/>
        <w:drawing>
          <wp:anchor distT="114300" distB="114300" distL="114300" distR="114300" simplePos="0" relativeHeight="251662336" behindDoc="0" locked="0" layoutInCell="1" hidden="0" allowOverlap="1" wp14:anchorId="797E751B" wp14:editId="035F7C61">
            <wp:simplePos x="0" y="0"/>
            <wp:positionH relativeFrom="column">
              <wp:posOffset>79376</wp:posOffset>
            </wp:positionH>
            <wp:positionV relativeFrom="paragraph">
              <wp:posOffset>127000</wp:posOffset>
            </wp:positionV>
            <wp:extent cx="5943600" cy="3670300"/>
            <wp:effectExtent l="0" t="0" r="0" b="0"/>
            <wp:wrapSquare wrapText="bothSides" distT="114300" distB="114300" distL="114300" distR="114300"/>
            <wp:docPr id="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5943600" cy="3670300"/>
                    </a:xfrm>
                    <a:prstGeom prst="rect">
                      <a:avLst/>
                    </a:prstGeom>
                    <a:ln/>
                  </pic:spPr>
                </pic:pic>
              </a:graphicData>
            </a:graphic>
          </wp:anchor>
        </w:drawing>
      </w:r>
    </w:p>
    <w:p w14:paraId="7C71BF9D" w14:textId="77777777" w:rsidR="00D9781C" w:rsidRDefault="009B7826" w:rsidP="00D9781C">
      <w:pPr>
        <w:spacing w:before="40" w:after="240" w:line="276" w:lineRule="auto"/>
        <w:ind w:firstLine="0"/>
        <w:jc w:val="both"/>
      </w:pPr>
      <w:r>
        <w:rPr>
          <w:b/>
        </w:rPr>
        <w:t xml:space="preserve">Supplementary Figure 5. </w:t>
      </w:r>
      <w:r>
        <w:t>Concentration of t</w:t>
      </w:r>
      <w:r>
        <w:rPr>
          <w:vertAlign w:val="superscript"/>
        </w:rPr>
        <w:t>6</w:t>
      </w:r>
      <w:r>
        <w:t>A was retrospectively measured over 48 hours in adult 20 (15 female, 5 male) CD-1 mice subjected to cecal ligation and puncture (CLP) with non-lethal outcome. Red = females, blue = males.</w:t>
      </w:r>
      <w:r>
        <w:rPr>
          <w:color w:val="212121"/>
          <w:highlight w:val="white"/>
        </w:rPr>
        <w:t xml:space="preserve"> </w:t>
      </w:r>
      <w:r>
        <w:t>Individual t</w:t>
      </w:r>
      <w:r>
        <w:rPr>
          <w:vertAlign w:val="superscript"/>
        </w:rPr>
        <w:t>6</w:t>
      </w:r>
      <w:r>
        <w:t>A profiles (</w:t>
      </w:r>
      <w:r>
        <w:rPr>
          <w:b/>
        </w:rPr>
        <w:t>A</w:t>
      </w:r>
      <w:r>
        <w:t>) and grouped by sex (</w:t>
      </w:r>
      <w:r>
        <w:rPr>
          <w:b/>
        </w:rPr>
        <w:t>B</w:t>
      </w:r>
      <w:r>
        <w:t>) are shown.</w:t>
      </w:r>
      <w:r>
        <w:rPr>
          <w:color w:val="212121"/>
          <w:highlight w:val="white"/>
        </w:rPr>
        <w:t xml:space="preserve"> </w:t>
      </w:r>
      <w:r>
        <w:t>In (</w:t>
      </w:r>
      <w:r>
        <w:rPr>
          <w:b/>
        </w:rPr>
        <w:t>B</w:t>
      </w:r>
      <w:r>
        <w:t>) geometric means ±1 SD are displayed.</w:t>
      </w:r>
      <w:r w:rsidR="00D9781C">
        <w:t xml:space="preserve"> </w:t>
      </w:r>
      <w:r w:rsidR="003E09DC">
        <w:t xml:space="preserve">the </w:t>
      </w:r>
      <w:proofErr w:type="spellStart"/>
      <w:r w:rsidR="003E09DC">
        <w:t>C</w:t>
      </w:r>
      <w:r w:rsidR="003E09DC">
        <w:rPr>
          <w:vertAlign w:val="subscript"/>
        </w:rPr>
        <w:t>max</w:t>
      </w:r>
      <w:proofErr w:type="spellEnd"/>
      <w:r w:rsidR="003E09DC">
        <w:t xml:space="preserve"> for t6A was higher in males (PE 193%, 95% CI: 133% – 282%) compared to the females, as was their AUEC (PE 175%, 95% CI: 125 – 244%) </w:t>
      </w:r>
      <w:r w:rsidR="00D9781C">
        <w:t xml:space="preserve">The statistical methodology is described in Statistical Analyses </w:t>
      </w:r>
      <w:r w:rsidR="00A738F4">
        <w:t>on page 4 of this supplement</w:t>
      </w:r>
      <w:r w:rsidR="00D9781C">
        <w:t>.</w:t>
      </w:r>
    </w:p>
    <w:p w14:paraId="32D0DDA7" w14:textId="77777777" w:rsidR="009B7826" w:rsidRDefault="009B7826" w:rsidP="009B7826">
      <w:pPr>
        <w:spacing w:before="240" w:after="60" w:line="276" w:lineRule="auto"/>
        <w:ind w:firstLine="0"/>
        <w:jc w:val="both"/>
      </w:pPr>
    </w:p>
    <w:p w14:paraId="11D40DA3" w14:textId="77777777" w:rsidR="009B7826" w:rsidRDefault="009B7826" w:rsidP="009B7826">
      <w:pPr>
        <w:spacing w:after="60"/>
        <w:jc w:val="both"/>
      </w:pPr>
    </w:p>
    <w:p w14:paraId="0F1BE203" w14:textId="77777777" w:rsidR="009B7826" w:rsidRDefault="009B7826" w:rsidP="009B7826">
      <w:pPr>
        <w:spacing w:before="240" w:after="60"/>
        <w:rPr>
          <w:b/>
        </w:rPr>
      </w:pPr>
      <w:r>
        <w:rPr>
          <w:noProof/>
          <w:lang w:val="en-US"/>
        </w:rPr>
        <w:lastRenderedPageBreak/>
        <w:drawing>
          <wp:anchor distT="114300" distB="114300" distL="114300" distR="114300" simplePos="0" relativeHeight="251663360" behindDoc="0" locked="0" layoutInCell="1" hidden="0" allowOverlap="1" wp14:anchorId="01335A8D" wp14:editId="2A258760">
            <wp:simplePos x="0" y="0"/>
            <wp:positionH relativeFrom="column">
              <wp:posOffset>44451</wp:posOffset>
            </wp:positionH>
            <wp:positionV relativeFrom="paragraph">
              <wp:posOffset>114300</wp:posOffset>
            </wp:positionV>
            <wp:extent cx="5943600" cy="3670300"/>
            <wp:effectExtent l="0" t="0" r="0" b="0"/>
            <wp:wrapSquare wrapText="bothSides" distT="114300" distB="114300" distL="114300" distR="1143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5943600" cy="3670300"/>
                    </a:xfrm>
                    <a:prstGeom prst="rect">
                      <a:avLst/>
                    </a:prstGeom>
                    <a:ln/>
                  </pic:spPr>
                </pic:pic>
              </a:graphicData>
            </a:graphic>
          </wp:anchor>
        </w:drawing>
      </w:r>
    </w:p>
    <w:p w14:paraId="3BBA3E9E" w14:textId="77777777" w:rsidR="009B7826" w:rsidRDefault="009B7826" w:rsidP="009B7826">
      <w:pPr>
        <w:spacing w:before="240" w:after="60"/>
        <w:rPr>
          <w:b/>
        </w:rPr>
      </w:pPr>
    </w:p>
    <w:p w14:paraId="73010FB5" w14:textId="7E789124" w:rsidR="009122D8" w:rsidRPr="005F3215" w:rsidRDefault="009B7826" w:rsidP="009122D8">
      <w:pPr>
        <w:spacing w:after="240" w:line="276" w:lineRule="auto"/>
        <w:ind w:firstLine="0"/>
        <w:jc w:val="both"/>
        <w:rPr>
          <w:b/>
        </w:rPr>
      </w:pPr>
      <w:r>
        <w:rPr>
          <w:b/>
        </w:rPr>
        <w:t xml:space="preserve">Supplementary Figure 6. </w:t>
      </w:r>
      <w:r w:rsidRPr="001C458C">
        <w:t>Panel A:</w:t>
      </w:r>
      <w:r>
        <w:t xml:space="preserve"> Concentration of circulating t</w:t>
      </w:r>
      <w:r>
        <w:rPr>
          <w:vertAlign w:val="superscript"/>
        </w:rPr>
        <w:t>6</w:t>
      </w:r>
      <w:r>
        <w:t xml:space="preserve">A was retrospectively measured prior (control; white) and approximately 8 hours after the surgery (trauma; gray) in eight male adult pigs subjected to a liver abrasion and hemorrhage model. </w:t>
      </w:r>
      <w:r w:rsidRPr="001C458C">
        <w:t>Panel B:</w:t>
      </w:r>
      <w:r>
        <w:t xml:space="preserve"> </w:t>
      </w:r>
      <w:proofErr w:type="gramStart"/>
      <w:r>
        <w:t>normative</w:t>
      </w:r>
      <w:proofErr w:type="gramEnd"/>
      <w:r>
        <w:t xml:space="preserve"> t</w:t>
      </w:r>
      <w:r>
        <w:rPr>
          <w:vertAlign w:val="superscript"/>
        </w:rPr>
        <w:t>6</w:t>
      </w:r>
      <w:r>
        <w:t xml:space="preserve">A circulating concentration in seven healthy species. Normative values of mouse (n=20), pig (n=8) and baboon (n=22) are a repetition of 0h values shown in preceding figures. Samples from the remaining species were either donated free-of-charge (dog; (n=11) or were left-overs from different studies (rat, n=10; rabbit, n=6) performed by LBI </w:t>
      </w:r>
      <w:r w:rsidRPr="005F3215">
        <w:t>and approved by the municipal government of Vienna. t</w:t>
      </w:r>
      <w:r w:rsidRPr="005F3215">
        <w:rPr>
          <w:vertAlign w:val="superscript"/>
        </w:rPr>
        <w:t>6</w:t>
      </w:r>
      <w:r w:rsidRPr="005F3215">
        <w:t>A is presented at each time point as box plots (median, upper/lower quartile, whiskers at ±1.5× of the interquartile range).</w:t>
      </w:r>
      <w:r w:rsidR="009122D8" w:rsidRPr="005F3215">
        <w:t xml:space="preserve"> Median (and range): </w:t>
      </w:r>
      <w:r w:rsidR="009122D8" w:rsidRPr="005F3215">
        <w:rPr>
          <w:rFonts w:eastAsia="Gungsuh"/>
        </w:rPr>
        <w:t xml:space="preserve">mouse 13.0ng/mL (9.9 – 20.3ng/mL), </w:t>
      </w:r>
      <w:r w:rsidR="009122D8" w:rsidRPr="005F3215">
        <w:t xml:space="preserve">rat 34.5ng/mL (20.2 – 68.3ng/mL), rabbit 23ng/mL (17.90 – 30.5ng/mL), pig 30.9ng/mL (23.9 – 39.5ng/mL), dog 22.9ng/mL (12.9 –43.6ng/mL), </w:t>
      </w:r>
      <w:r w:rsidR="009122D8" w:rsidRPr="005F3215">
        <w:rPr>
          <w:rFonts w:eastAsia="Gungsuh"/>
        </w:rPr>
        <w:t>baboon 14.0ng/mL (8.7 – 19.0ng/mL)</w:t>
      </w:r>
      <w:r w:rsidR="005F3215">
        <w:rPr>
          <w:rFonts w:eastAsia="Gungsuh"/>
        </w:rPr>
        <w:t xml:space="preserve"> </w:t>
      </w:r>
      <w:r w:rsidR="009122D8" w:rsidRPr="005F3215">
        <w:rPr>
          <w:rFonts w:eastAsia="Gungsuh"/>
        </w:rPr>
        <w:t xml:space="preserve">and human 16.5ng/mL (12.9 – 21.3ng/mL). </w:t>
      </w:r>
    </w:p>
    <w:p w14:paraId="0AC48A91" w14:textId="77777777" w:rsidR="001C458C" w:rsidRDefault="001C458C" w:rsidP="009B7826">
      <w:pPr>
        <w:spacing w:before="240" w:after="60" w:line="276" w:lineRule="auto"/>
        <w:ind w:firstLine="0"/>
        <w:jc w:val="both"/>
      </w:pPr>
    </w:p>
    <w:p w14:paraId="3104A13D" w14:textId="77777777" w:rsidR="001C458C" w:rsidRDefault="001C458C">
      <w:pPr>
        <w:spacing w:after="160" w:line="259" w:lineRule="auto"/>
        <w:ind w:firstLine="0"/>
      </w:pPr>
      <w:r>
        <w:br w:type="page"/>
      </w:r>
    </w:p>
    <w:p w14:paraId="19AA5C5B" w14:textId="77777777" w:rsidR="009B7826" w:rsidRPr="001C458C" w:rsidRDefault="001C458C" w:rsidP="009B7826">
      <w:pPr>
        <w:spacing w:before="240" w:after="60" w:line="276" w:lineRule="auto"/>
        <w:ind w:firstLine="0"/>
        <w:jc w:val="both"/>
        <w:rPr>
          <w:b/>
        </w:rPr>
      </w:pPr>
      <w:r w:rsidRPr="001C458C">
        <w:rPr>
          <w:b/>
        </w:rPr>
        <w:lastRenderedPageBreak/>
        <w:t>References</w:t>
      </w:r>
    </w:p>
    <w:sdt>
      <w:sdtPr>
        <w:rPr>
          <w:b/>
        </w:rPr>
        <w:tag w:val="MENDELEY_BIBLIOGRAPHY"/>
        <w:id w:val="-615437165"/>
        <w:placeholder>
          <w:docPart w:val="DefaultPlaceholder_-1854013440"/>
        </w:placeholder>
      </w:sdtPr>
      <w:sdtEndPr/>
      <w:sdtContent>
        <w:p w14:paraId="25EAC664" w14:textId="6258ACB9" w:rsidR="002C3FA1" w:rsidRDefault="002C3FA1" w:rsidP="002C3FA1">
          <w:pPr>
            <w:autoSpaceDE w:val="0"/>
            <w:autoSpaceDN w:val="0"/>
            <w:ind w:hanging="640"/>
            <w:divId w:val="745998478"/>
          </w:pPr>
          <w:r>
            <w:t>1.</w:t>
          </w:r>
          <w:r>
            <w:tab/>
            <w:t xml:space="preserve">Bayer J, Vaghela R, Drechsler S, Osuchowski MF, Erben RG, </w:t>
          </w:r>
          <w:proofErr w:type="spellStart"/>
          <w:r>
            <w:t>Andrukhova</w:t>
          </w:r>
          <w:proofErr w:type="spellEnd"/>
          <w:r>
            <w:t xml:space="preserve"> O. The bone is the major source of high circulating intact fibroblast growth factor-23 in acute murine polymicrobial sepsis induced by cecum ligation puncture. </w:t>
          </w:r>
          <w:proofErr w:type="spellStart"/>
          <w:r>
            <w:t>PLoS</w:t>
          </w:r>
          <w:proofErr w:type="spellEnd"/>
          <w:r>
            <w:t xml:space="preserve"> One. 2021;16(5</w:t>
          </w:r>
          <w:proofErr w:type="gramStart"/>
          <w:r>
            <w:t>):e</w:t>
          </w:r>
          <w:proofErr w:type="gramEnd"/>
          <w:r>
            <w:t xml:space="preserve">0251317. </w:t>
          </w:r>
          <w:proofErr w:type="gramStart"/>
          <w:r>
            <w:t>doi:10.1371/journal.pone</w:t>
          </w:r>
          <w:proofErr w:type="gramEnd"/>
          <w:r>
            <w:t>.0251317</w:t>
          </w:r>
        </w:p>
        <w:p w14:paraId="3AC9A5E6" w14:textId="5F1F755A" w:rsidR="002C3FA1" w:rsidRDefault="002C3FA1" w:rsidP="002C3FA1">
          <w:pPr>
            <w:autoSpaceDE w:val="0"/>
            <w:autoSpaceDN w:val="0"/>
            <w:ind w:hanging="640"/>
            <w:divId w:val="745998478"/>
          </w:pPr>
          <w:r>
            <w:t>2.</w:t>
          </w:r>
          <w:r>
            <w:tab/>
            <w:t xml:space="preserve">Drechsler S, Osuchowski M. Cecal Ligation and Puncture. Methods Mol Biol. </w:t>
          </w:r>
          <w:proofErr w:type="gramStart"/>
          <w:r>
            <w:t>2021;2321:1</w:t>
          </w:r>
          <w:proofErr w:type="gramEnd"/>
          <w:r>
            <w:t>–8. doi:10.1007/978-1-0716-1488-4_1</w:t>
          </w:r>
        </w:p>
        <w:p w14:paraId="64EE2B8A" w14:textId="4F0D87FC" w:rsidR="002C3FA1" w:rsidRDefault="002C3FA1" w:rsidP="002C3FA1">
          <w:pPr>
            <w:autoSpaceDE w:val="0"/>
            <w:autoSpaceDN w:val="0"/>
            <w:ind w:hanging="640"/>
            <w:divId w:val="745998478"/>
          </w:pPr>
          <w:r>
            <w:t>3.</w:t>
          </w:r>
          <w:r>
            <w:tab/>
          </w:r>
          <w:proofErr w:type="spellStart"/>
          <w:r>
            <w:t>Rademann</w:t>
          </w:r>
          <w:proofErr w:type="spellEnd"/>
          <w:r>
            <w:t xml:space="preserve"> P, Weidinger A, Drechsler S, Meszaros A, </w:t>
          </w:r>
          <w:proofErr w:type="spellStart"/>
          <w:r>
            <w:t>Zipperle</w:t>
          </w:r>
          <w:proofErr w:type="spellEnd"/>
          <w:r>
            <w:t xml:space="preserve"> J, </w:t>
          </w:r>
          <w:proofErr w:type="spellStart"/>
          <w:r>
            <w:t>Jafarmadar</w:t>
          </w:r>
          <w:proofErr w:type="spellEnd"/>
          <w:r>
            <w:t xml:space="preserve"> M, et al. Mitochondria-Targeted Antioxidants SkQ1 and </w:t>
          </w:r>
          <w:proofErr w:type="spellStart"/>
          <w:r>
            <w:t>MitoTEMPO</w:t>
          </w:r>
          <w:proofErr w:type="spellEnd"/>
          <w:r>
            <w:t xml:space="preserve"> Failed to Exert a Long-Term Beneficial Effect in Murine Polymicrobial Sepsis. Oxid Med Cell </w:t>
          </w:r>
          <w:proofErr w:type="spellStart"/>
          <w:r>
            <w:t>Longev</w:t>
          </w:r>
          <w:proofErr w:type="spellEnd"/>
          <w:r>
            <w:t xml:space="preserve">. </w:t>
          </w:r>
          <w:proofErr w:type="gramStart"/>
          <w:r>
            <w:t>2017;2017:6412682</w:t>
          </w:r>
          <w:proofErr w:type="gramEnd"/>
          <w:r>
            <w:t>. doi:10.1155/2017/6412682</w:t>
          </w:r>
        </w:p>
        <w:p w14:paraId="200935CF" w14:textId="5B6FB6D7" w:rsidR="002C3FA1" w:rsidRDefault="002C3FA1" w:rsidP="002C3FA1">
          <w:pPr>
            <w:autoSpaceDE w:val="0"/>
            <w:autoSpaceDN w:val="0"/>
            <w:ind w:hanging="640"/>
            <w:divId w:val="745998478"/>
          </w:pPr>
          <w:r>
            <w:t>4.</w:t>
          </w:r>
          <w:r>
            <w:tab/>
          </w:r>
          <w:proofErr w:type="spellStart"/>
          <w:r>
            <w:t>Weixelbaumer</w:t>
          </w:r>
          <w:proofErr w:type="spellEnd"/>
          <w:r>
            <w:t xml:space="preserve"> KM, Raeven P, Redl H, van </w:t>
          </w:r>
          <w:proofErr w:type="spellStart"/>
          <w:r>
            <w:t>Griensven</w:t>
          </w:r>
          <w:proofErr w:type="spellEnd"/>
          <w:r>
            <w:t xml:space="preserve"> M, Bahrami S, Osuchowski MF. Repetitive low-volume blood sampling method as a feasible monitoring tool in a mouse model of sepsis. Shock. 2010 Oct;34(4):420–6. doi:10.1097/SHK.0b013e3181dc0918</w:t>
          </w:r>
        </w:p>
        <w:p w14:paraId="1C621686" w14:textId="347C7A33" w:rsidR="002C3FA1" w:rsidRDefault="002C3FA1" w:rsidP="002C3FA1">
          <w:pPr>
            <w:autoSpaceDE w:val="0"/>
            <w:autoSpaceDN w:val="0"/>
            <w:ind w:hanging="640"/>
            <w:divId w:val="745998478"/>
          </w:pPr>
          <w:r>
            <w:t>5.</w:t>
          </w:r>
          <w:r>
            <w:tab/>
            <w:t xml:space="preserve">Slezak P, </w:t>
          </w:r>
          <w:proofErr w:type="spellStart"/>
          <w:r>
            <w:t>Keibl</w:t>
          </w:r>
          <w:proofErr w:type="spellEnd"/>
          <w:r>
            <w:t xml:space="preserve"> C, Labahn D, Schmidbauer A, </w:t>
          </w:r>
          <w:proofErr w:type="spellStart"/>
          <w:r>
            <w:t>Genyk</w:t>
          </w:r>
          <w:proofErr w:type="spellEnd"/>
          <w:r>
            <w:t xml:space="preserve"> Y, Gulle H. A Comparative Efficacy Evaluation of Recombinant Topical Thrombin (RECOTHROM®) With A Gelatin Sponge Carrier Versus Topical Oxidized Regenerated Cellulose (TABOTAMP®/SURGICEL®) In A Porcine Liver Bleeding Model. J Invest Surg. 2021 Aug;34(8):862–8. </w:t>
          </w:r>
          <w:r w:rsidRPr="001C458C">
            <w:rPr>
              <w:lang w:val="de-AT"/>
            </w:rPr>
            <w:t>doi:10.1080/08941939.2019.1705444</w:t>
          </w:r>
        </w:p>
        <w:p w14:paraId="7A06E1BA" w14:textId="31561FD6" w:rsidR="002C3FA1" w:rsidRDefault="002C3FA1" w:rsidP="002C3FA1">
          <w:pPr>
            <w:autoSpaceDE w:val="0"/>
            <w:autoSpaceDN w:val="0"/>
            <w:ind w:hanging="640"/>
            <w:divId w:val="745998478"/>
          </w:pPr>
          <w:r>
            <w:t>6.</w:t>
          </w:r>
          <w:r>
            <w:tab/>
          </w:r>
          <w:proofErr w:type="spellStart"/>
          <w:r>
            <w:t>Schöchl</w:t>
          </w:r>
          <w:proofErr w:type="spellEnd"/>
          <w:r>
            <w:t xml:space="preserve"> H, van </w:t>
          </w:r>
          <w:proofErr w:type="spellStart"/>
          <w:r>
            <w:t>Griensven</w:t>
          </w:r>
          <w:proofErr w:type="spellEnd"/>
          <w:r>
            <w:t xml:space="preserve"> M, Heitmeier S, Laux V, </w:t>
          </w:r>
          <w:proofErr w:type="spellStart"/>
          <w:r>
            <w:t>Kipman</w:t>
          </w:r>
          <w:proofErr w:type="spellEnd"/>
          <w:r>
            <w:t xml:space="preserve"> U, Roodt J, et al. Dual inhibition of thrombin and activated factor X attenuates disseminated intravascular coagulation and protects organ function in a baboon model of severe Gram-negative sepsis. Crit Care. 2017 Mar 13;21(1):51. doi:10.1186/s13054-017-1636-y</w:t>
          </w:r>
        </w:p>
        <w:p w14:paraId="23CCA744" w14:textId="30DEC8F9" w:rsidR="00504121" w:rsidRPr="009C0CCC" w:rsidRDefault="001C458C" w:rsidP="009C0CCC">
          <w:pPr>
            <w:autoSpaceDE w:val="0"/>
            <w:autoSpaceDN w:val="0"/>
            <w:spacing w:line="360" w:lineRule="auto"/>
            <w:ind w:left="1280" w:hanging="640"/>
            <w:divId w:val="745998478"/>
            <w:rPr>
              <w:b/>
            </w:rPr>
          </w:pPr>
          <w:r>
            <w:t> </w:t>
          </w:r>
        </w:p>
      </w:sdtContent>
    </w:sdt>
    <w:sectPr w:rsidR="00504121" w:rsidRPr="009C0CCC">
      <w:footerReference w:type="default" r:id="rId12"/>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78D18A" w14:textId="77777777" w:rsidR="001A5B12" w:rsidRDefault="001A5B12" w:rsidP="00D9781C">
      <w:pPr>
        <w:spacing w:line="240" w:lineRule="auto"/>
      </w:pPr>
      <w:r>
        <w:separator/>
      </w:r>
    </w:p>
  </w:endnote>
  <w:endnote w:type="continuationSeparator" w:id="0">
    <w:p w14:paraId="19E61FED" w14:textId="77777777" w:rsidR="001A5B12" w:rsidRDefault="001A5B12" w:rsidP="00D978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ungsuh">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4318795"/>
      <w:docPartObj>
        <w:docPartGallery w:val="Page Numbers (Bottom of Page)"/>
        <w:docPartUnique/>
      </w:docPartObj>
    </w:sdtPr>
    <w:sdtEndPr/>
    <w:sdtContent>
      <w:p w14:paraId="01873261" w14:textId="77777777" w:rsidR="00D9781C" w:rsidRDefault="00D9781C">
        <w:pPr>
          <w:pStyle w:val="Fuzeile"/>
          <w:jc w:val="right"/>
        </w:pPr>
        <w:r>
          <w:fldChar w:fldCharType="begin"/>
        </w:r>
        <w:r>
          <w:instrText>PAGE   \* MERGEFORMAT</w:instrText>
        </w:r>
        <w:r>
          <w:fldChar w:fldCharType="separate"/>
        </w:r>
        <w:r w:rsidR="003E09DC" w:rsidRPr="003E09DC">
          <w:rPr>
            <w:noProof/>
            <w:lang w:val="de-DE"/>
          </w:rPr>
          <w:t>12</w:t>
        </w:r>
        <w:r>
          <w:fldChar w:fldCharType="end"/>
        </w:r>
      </w:p>
    </w:sdtContent>
  </w:sdt>
  <w:p w14:paraId="3AA45269" w14:textId="77777777" w:rsidR="00D9781C" w:rsidRDefault="00D9781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C43AF0" w14:textId="77777777" w:rsidR="001A5B12" w:rsidRDefault="001A5B12" w:rsidP="00D9781C">
      <w:pPr>
        <w:spacing w:line="240" w:lineRule="auto"/>
      </w:pPr>
      <w:r>
        <w:separator/>
      </w:r>
    </w:p>
  </w:footnote>
  <w:footnote w:type="continuationSeparator" w:id="0">
    <w:p w14:paraId="74EACC4E" w14:textId="77777777" w:rsidR="001A5B12" w:rsidRDefault="001A5B12" w:rsidP="00D9781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activeWritingStyle w:appName="MSWord" w:lang="de-AT" w:vendorID="64" w:dllVersion="6" w:nlCheck="1" w:checkStyle="0"/>
  <w:activeWritingStyle w:appName="MSWord" w:lang="en-US" w:vendorID="64" w:dllVersion="6" w:nlCheck="1" w:checkStyle="1"/>
  <w:activeWritingStyle w:appName="MSWord" w:lang="de-DE" w:vendorID="64" w:dllVersion="6" w:nlCheck="1" w:checkStyle="0"/>
  <w:activeWritingStyle w:appName="MSWord" w:lang="en-US" w:vendorID="64" w:dllVersion="0" w:nlCheck="1" w:checkStyle="0"/>
  <w:activeWritingStyle w:appName="MSWord" w:lang="de-AT" w:vendorID="64" w:dllVersion="0" w:nlCheck="1" w:checkStyle="0"/>
  <w:activeWritingStyle w:appName="MSWord" w:lang="de-DE" w:vendorID="64" w:dllVersion="0" w:nlCheck="1" w:checkStyle="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7826"/>
    <w:rsid w:val="000316F8"/>
    <w:rsid w:val="000839AA"/>
    <w:rsid w:val="00127DB3"/>
    <w:rsid w:val="001A5B12"/>
    <w:rsid w:val="001C458C"/>
    <w:rsid w:val="002203D8"/>
    <w:rsid w:val="00245519"/>
    <w:rsid w:val="00274A34"/>
    <w:rsid w:val="002A061A"/>
    <w:rsid w:val="002C3FA1"/>
    <w:rsid w:val="002D2B69"/>
    <w:rsid w:val="002D36B9"/>
    <w:rsid w:val="003037E0"/>
    <w:rsid w:val="003273F5"/>
    <w:rsid w:val="00372574"/>
    <w:rsid w:val="003C1899"/>
    <w:rsid w:val="003E09DC"/>
    <w:rsid w:val="00504121"/>
    <w:rsid w:val="005D0D20"/>
    <w:rsid w:val="005D3664"/>
    <w:rsid w:val="005F3215"/>
    <w:rsid w:val="006236D7"/>
    <w:rsid w:val="00663051"/>
    <w:rsid w:val="00736A5C"/>
    <w:rsid w:val="00814431"/>
    <w:rsid w:val="00831FDA"/>
    <w:rsid w:val="00833EFC"/>
    <w:rsid w:val="00877037"/>
    <w:rsid w:val="008D3848"/>
    <w:rsid w:val="008D51FE"/>
    <w:rsid w:val="009122D8"/>
    <w:rsid w:val="00936CC2"/>
    <w:rsid w:val="00997361"/>
    <w:rsid w:val="009B7826"/>
    <w:rsid w:val="009C0CCC"/>
    <w:rsid w:val="009D07BC"/>
    <w:rsid w:val="00A04DCC"/>
    <w:rsid w:val="00A05BD7"/>
    <w:rsid w:val="00A17E34"/>
    <w:rsid w:val="00A738F4"/>
    <w:rsid w:val="00AB19B5"/>
    <w:rsid w:val="00B31DA2"/>
    <w:rsid w:val="00BE382D"/>
    <w:rsid w:val="00C65AB2"/>
    <w:rsid w:val="00D10327"/>
    <w:rsid w:val="00D9781C"/>
    <w:rsid w:val="00E30E39"/>
    <w:rsid w:val="00E6338A"/>
    <w:rsid w:val="00E879A6"/>
    <w:rsid w:val="00E92A09"/>
    <w:rsid w:val="00F8133C"/>
    <w:rsid w:val="00FE7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1175F"/>
  <w15:chartTrackingRefBased/>
  <w15:docId w15:val="{C1842DC0-1518-4D29-B62F-CF34EC0DD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9B7826"/>
    <w:pPr>
      <w:spacing w:after="0" w:line="480" w:lineRule="auto"/>
      <w:ind w:firstLine="720"/>
    </w:pPr>
    <w:rPr>
      <w:rFonts w:ascii="Times New Roman" w:eastAsia="Times New Roman" w:hAnsi="Times New Roman" w:cs="Times New Roman"/>
      <w:sz w:val="24"/>
      <w:szCs w:val="24"/>
      <w:lang w:val="en"/>
    </w:rPr>
  </w:style>
  <w:style w:type="paragraph" w:styleId="berschrift1">
    <w:name w:val="heading 1"/>
    <w:basedOn w:val="Standard"/>
    <w:next w:val="Standard"/>
    <w:link w:val="berschrift1Zchn"/>
    <w:uiPriority w:val="9"/>
    <w:qFormat/>
    <w:rsid w:val="00D9781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E92A0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1C458C"/>
    <w:rPr>
      <w:color w:val="808080"/>
    </w:rPr>
  </w:style>
  <w:style w:type="paragraph" w:styleId="Kopfzeile">
    <w:name w:val="header"/>
    <w:basedOn w:val="Standard"/>
    <w:link w:val="KopfzeileZchn"/>
    <w:uiPriority w:val="99"/>
    <w:unhideWhenUsed/>
    <w:rsid w:val="00D9781C"/>
    <w:pPr>
      <w:tabs>
        <w:tab w:val="center" w:pos="4703"/>
        <w:tab w:val="right" w:pos="9406"/>
      </w:tabs>
      <w:spacing w:line="240" w:lineRule="auto"/>
    </w:pPr>
  </w:style>
  <w:style w:type="character" w:customStyle="1" w:styleId="KopfzeileZchn">
    <w:name w:val="Kopfzeile Zchn"/>
    <w:basedOn w:val="Absatz-Standardschriftart"/>
    <w:link w:val="Kopfzeile"/>
    <w:uiPriority w:val="99"/>
    <w:rsid w:val="00D9781C"/>
    <w:rPr>
      <w:rFonts w:ascii="Times New Roman" w:eastAsia="Times New Roman" w:hAnsi="Times New Roman" w:cs="Times New Roman"/>
      <w:sz w:val="24"/>
      <w:szCs w:val="24"/>
      <w:lang w:val="en"/>
    </w:rPr>
  </w:style>
  <w:style w:type="paragraph" w:styleId="Fuzeile">
    <w:name w:val="footer"/>
    <w:basedOn w:val="Standard"/>
    <w:link w:val="FuzeileZchn"/>
    <w:uiPriority w:val="99"/>
    <w:unhideWhenUsed/>
    <w:rsid w:val="00D9781C"/>
    <w:pPr>
      <w:tabs>
        <w:tab w:val="center" w:pos="4703"/>
        <w:tab w:val="right" w:pos="9406"/>
      </w:tabs>
      <w:spacing w:line="240" w:lineRule="auto"/>
    </w:pPr>
  </w:style>
  <w:style w:type="character" w:customStyle="1" w:styleId="FuzeileZchn">
    <w:name w:val="Fußzeile Zchn"/>
    <w:basedOn w:val="Absatz-Standardschriftart"/>
    <w:link w:val="Fuzeile"/>
    <w:uiPriority w:val="99"/>
    <w:rsid w:val="00D9781C"/>
    <w:rPr>
      <w:rFonts w:ascii="Times New Roman" w:eastAsia="Times New Roman" w:hAnsi="Times New Roman" w:cs="Times New Roman"/>
      <w:sz w:val="24"/>
      <w:szCs w:val="24"/>
      <w:lang w:val="en"/>
    </w:rPr>
  </w:style>
  <w:style w:type="character" w:customStyle="1" w:styleId="berschrift1Zchn">
    <w:name w:val="Überschrift 1 Zchn"/>
    <w:basedOn w:val="Absatz-Standardschriftart"/>
    <w:link w:val="berschrift1"/>
    <w:uiPriority w:val="9"/>
    <w:rsid w:val="00D9781C"/>
    <w:rPr>
      <w:rFonts w:asciiTheme="majorHAnsi" w:eastAsiaTheme="majorEastAsia" w:hAnsiTheme="majorHAnsi" w:cstheme="majorBidi"/>
      <w:color w:val="2E74B5" w:themeColor="accent1" w:themeShade="BF"/>
      <w:sz w:val="32"/>
      <w:szCs w:val="32"/>
      <w:lang w:val="en"/>
    </w:rPr>
  </w:style>
  <w:style w:type="paragraph" w:styleId="Inhaltsverzeichnisberschrift">
    <w:name w:val="TOC Heading"/>
    <w:basedOn w:val="berschrift1"/>
    <w:next w:val="Standard"/>
    <w:uiPriority w:val="39"/>
    <w:unhideWhenUsed/>
    <w:qFormat/>
    <w:rsid w:val="00D9781C"/>
    <w:pPr>
      <w:spacing w:line="259" w:lineRule="auto"/>
      <w:ind w:firstLine="0"/>
      <w:outlineLvl w:val="9"/>
    </w:pPr>
    <w:rPr>
      <w:lang w:val="en-US"/>
    </w:rPr>
  </w:style>
  <w:style w:type="character" w:customStyle="1" w:styleId="berschrift2Zchn">
    <w:name w:val="Überschrift 2 Zchn"/>
    <w:basedOn w:val="Absatz-Standardschriftart"/>
    <w:link w:val="berschrift2"/>
    <w:uiPriority w:val="9"/>
    <w:rsid w:val="00E92A09"/>
    <w:rPr>
      <w:rFonts w:asciiTheme="majorHAnsi" w:eastAsiaTheme="majorEastAsia" w:hAnsiTheme="majorHAnsi" w:cstheme="majorBidi"/>
      <w:color w:val="2E74B5" w:themeColor="accent1" w:themeShade="BF"/>
      <w:sz w:val="26"/>
      <w:szCs w:val="26"/>
      <w:lang w:val="en"/>
    </w:rPr>
  </w:style>
  <w:style w:type="paragraph" w:styleId="berarbeitung">
    <w:name w:val="Revision"/>
    <w:hidden/>
    <w:uiPriority w:val="99"/>
    <w:semiHidden/>
    <w:rsid w:val="00E30E39"/>
    <w:pPr>
      <w:spacing w:after="0" w:line="240" w:lineRule="auto"/>
    </w:pPr>
    <w:rPr>
      <w:rFonts w:ascii="Times New Roman" w:eastAsia="Times New Roman" w:hAnsi="Times New Roman" w:cs="Times New Roman"/>
      <w:sz w:val="24"/>
      <w:szCs w:val="24"/>
      <w:lang w:val="en"/>
    </w:rPr>
  </w:style>
  <w:style w:type="character" w:styleId="Kommentarzeichen">
    <w:name w:val="annotation reference"/>
    <w:basedOn w:val="Absatz-Standardschriftart"/>
    <w:uiPriority w:val="99"/>
    <w:semiHidden/>
    <w:unhideWhenUsed/>
    <w:rsid w:val="00936CC2"/>
    <w:rPr>
      <w:sz w:val="16"/>
      <w:szCs w:val="16"/>
    </w:rPr>
  </w:style>
  <w:style w:type="paragraph" w:styleId="Kommentartext">
    <w:name w:val="annotation text"/>
    <w:basedOn w:val="Standard"/>
    <w:link w:val="KommentartextZchn"/>
    <w:uiPriority w:val="99"/>
    <w:unhideWhenUsed/>
    <w:rsid w:val="00936CC2"/>
    <w:pPr>
      <w:spacing w:line="240" w:lineRule="auto"/>
    </w:pPr>
    <w:rPr>
      <w:sz w:val="20"/>
      <w:szCs w:val="20"/>
    </w:rPr>
  </w:style>
  <w:style w:type="character" w:customStyle="1" w:styleId="KommentartextZchn">
    <w:name w:val="Kommentartext Zchn"/>
    <w:basedOn w:val="Absatz-Standardschriftart"/>
    <w:link w:val="Kommentartext"/>
    <w:uiPriority w:val="99"/>
    <w:rsid w:val="00936CC2"/>
    <w:rPr>
      <w:rFonts w:ascii="Times New Roman" w:eastAsia="Times New Roman" w:hAnsi="Times New Roman" w:cs="Times New Roman"/>
      <w:sz w:val="20"/>
      <w:szCs w:val="20"/>
      <w:lang w:val="en"/>
    </w:rPr>
  </w:style>
  <w:style w:type="paragraph" w:styleId="Kommentarthema">
    <w:name w:val="annotation subject"/>
    <w:basedOn w:val="Kommentartext"/>
    <w:next w:val="Kommentartext"/>
    <w:link w:val="KommentarthemaZchn"/>
    <w:uiPriority w:val="99"/>
    <w:semiHidden/>
    <w:unhideWhenUsed/>
    <w:rsid w:val="00936CC2"/>
    <w:rPr>
      <w:b/>
      <w:bCs/>
    </w:rPr>
  </w:style>
  <w:style w:type="character" w:customStyle="1" w:styleId="KommentarthemaZchn">
    <w:name w:val="Kommentarthema Zchn"/>
    <w:basedOn w:val="KommentartextZchn"/>
    <w:link w:val="Kommentarthema"/>
    <w:uiPriority w:val="99"/>
    <w:semiHidden/>
    <w:rsid w:val="00936CC2"/>
    <w:rPr>
      <w:rFonts w:ascii="Times New Roman" w:eastAsia="Times New Roman" w:hAnsi="Times New Roman" w:cs="Times New Roman"/>
      <w:b/>
      <w:bCs/>
      <w:sz w:val="20"/>
      <w:szCs w:val="2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4661996">
      <w:bodyDiv w:val="1"/>
      <w:marLeft w:val="0"/>
      <w:marRight w:val="0"/>
      <w:marTop w:val="0"/>
      <w:marBottom w:val="0"/>
      <w:divBdr>
        <w:top w:val="none" w:sz="0" w:space="0" w:color="auto"/>
        <w:left w:val="none" w:sz="0" w:space="0" w:color="auto"/>
        <w:bottom w:val="none" w:sz="0" w:space="0" w:color="auto"/>
        <w:right w:val="none" w:sz="0" w:space="0" w:color="auto"/>
      </w:divBdr>
      <w:divsChild>
        <w:div w:id="745998478">
          <w:marLeft w:val="640"/>
          <w:marRight w:val="0"/>
          <w:marTop w:val="0"/>
          <w:marBottom w:val="0"/>
          <w:divBdr>
            <w:top w:val="none" w:sz="0" w:space="0" w:color="auto"/>
            <w:left w:val="none" w:sz="0" w:space="0" w:color="auto"/>
            <w:bottom w:val="none" w:sz="0" w:space="0" w:color="auto"/>
            <w:right w:val="none" w:sz="0" w:space="0" w:color="auto"/>
          </w:divBdr>
        </w:div>
        <w:div w:id="785392235">
          <w:marLeft w:val="640"/>
          <w:marRight w:val="0"/>
          <w:marTop w:val="0"/>
          <w:marBottom w:val="0"/>
          <w:divBdr>
            <w:top w:val="none" w:sz="0" w:space="0" w:color="auto"/>
            <w:left w:val="none" w:sz="0" w:space="0" w:color="auto"/>
            <w:bottom w:val="none" w:sz="0" w:space="0" w:color="auto"/>
            <w:right w:val="none" w:sz="0" w:space="0" w:color="auto"/>
          </w:divBdr>
        </w:div>
        <w:div w:id="78796928">
          <w:marLeft w:val="640"/>
          <w:marRight w:val="0"/>
          <w:marTop w:val="0"/>
          <w:marBottom w:val="0"/>
          <w:divBdr>
            <w:top w:val="none" w:sz="0" w:space="0" w:color="auto"/>
            <w:left w:val="none" w:sz="0" w:space="0" w:color="auto"/>
            <w:bottom w:val="none" w:sz="0" w:space="0" w:color="auto"/>
            <w:right w:val="none" w:sz="0" w:space="0" w:color="auto"/>
          </w:divBdr>
        </w:div>
        <w:div w:id="1223248967">
          <w:marLeft w:val="640"/>
          <w:marRight w:val="0"/>
          <w:marTop w:val="0"/>
          <w:marBottom w:val="0"/>
          <w:divBdr>
            <w:top w:val="none" w:sz="0" w:space="0" w:color="auto"/>
            <w:left w:val="none" w:sz="0" w:space="0" w:color="auto"/>
            <w:bottom w:val="none" w:sz="0" w:space="0" w:color="auto"/>
            <w:right w:val="none" w:sz="0" w:space="0" w:color="auto"/>
          </w:divBdr>
        </w:div>
        <w:div w:id="1499494597">
          <w:marLeft w:val="640"/>
          <w:marRight w:val="0"/>
          <w:marTop w:val="0"/>
          <w:marBottom w:val="0"/>
          <w:divBdr>
            <w:top w:val="none" w:sz="0" w:space="0" w:color="auto"/>
            <w:left w:val="none" w:sz="0" w:space="0" w:color="auto"/>
            <w:bottom w:val="none" w:sz="0" w:space="0" w:color="auto"/>
            <w:right w:val="none" w:sz="0" w:space="0" w:color="auto"/>
          </w:divBdr>
        </w:div>
        <w:div w:id="1036390189">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Allgemein"/>
          <w:gallery w:val="placeholder"/>
        </w:category>
        <w:types>
          <w:type w:val="bbPlcHdr"/>
        </w:types>
        <w:behaviors>
          <w:behavior w:val="content"/>
        </w:behaviors>
        <w:guid w:val="{910002DD-5198-4BB4-8454-C184BB9276EB}"/>
      </w:docPartPr>
      <w:docPartBody>
        <w:p w:rsidR="00E5214F" w:rsidRDefault="00BD4AB3">
          <w:r w:rsidRPr="0078634F">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ungsuh">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4AB3"/>
    <w:rsid w:val="00155B3C"/>
    <w:rsid w:val="002D36B9"/>
    <w:rsid w:val="003273F5"/>
    <w:rsid w:val="00372574"/>
    <w:rsid w:val="007E7920"/>
    <w:rsid w:val="008D3848"/>
    <w:rsid w:val="009D07BC"/>
    <w:rsid w:val="00BD4AB3"/>
    <w:rsid w:val="00E5214F"/>
    <w:rsid w:val="00EA3E8D"/>
    <w:rsid w:val="00FE7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E5214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B890F91-57EA-4BE1-8D9C-B503B06A72B6}">
  <we:reference id="wa104382081" version="1.55.1.0" store="de-DE" storeType="OMEX"/>
  <we:alternateReferences>
    <we:reference id="wa104382081" version="1.55.1.0" store="wa104382081" storeType="OMEX"/>
  </we:alternateReferences>
  <we:properties>
    <we:property name="MENDELEY_CITATIONS" value="[{&quot;citationID&quot;:&quot;MENDELEY_CITATION_7eb12a18-a105-4e12-a1b1-ee8c2e5d85c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&quot;,&quot;citationItems&quot;:[{&quot;id&quot;:&quot;fb1eede8-e1f9-3c2e-b38a-85690293c082&quot;,&quot;itemData&quot;:{&quot;type&quot;:&quot;article-journal&quot;,&quot;id&quot;:&quot;fb1eede8-e1f9-3c2e-b38a-85690293c082&quot;,&quot;title&quot;:&quot;The bone is the major source of high circulating intact fibroblast growth factor-23 in acute murine polymicrobial sepsis induced by cecum ligation puncture.&quot;,&quot;author&quot;:[{&quot;family&quot;:&quot;Bayer&quot;,&quot;given&quot;:&quot;Jessica&quot;,&quot;parse-names&quot;:false,&quot;dropping-particle&quot;:&quot;&quot;,&quot;non-dropping-particle&quot;:&quot;&quot;},{&quot;family&quot;:&quot;Vaghela&quot;,&quot;given&quot;:&quot;Ravikumar&quot;,&quot;parse-names&quot;:false,&quot;dropping-particle&quot;:&quot;&quot;,&quot;non-dropping-particle&quot;:&quot;&quot;},{&quot;family&quot;:&quot;Drechsler&quot;,&quot;given&quot;:&quot;Susanne&quot;,&quot;parse-names&quot;:false,&quot;dropping-particle&quot;:&quot;&quot;,&quot;non-dropping-particle&quot;:&quot;&quot;},{&quot;family&quot;:&quot;Osuchowski&quot;,&quot;given&quot;:&quot;Marcin F&quot;,&quot;parse-names&quot;:false,&quot;dropping-particle&quot;:&quot;&quot;,&quot;non-dropping-particle&quot;:&quot;&quot;},{&quot;family&quot;:&quot;Erben&quot;,&quot;given&quot;:&quot;Reinhold G&quot;,&quot;parse-names&quot;:false,&quot;dropping-particle&quot;:&quot;&quot;,&quot;non-dropping-particle&quot;:&quot;&quot;},{&quot;family&quot;:&quot;Andrukhova&quot;,&quot;given&quot;:&quot;Olena&quot;,&quot;parse-names&quot;:false,&quot;dropping-particle&quot;:&quot;&quot;,&quot;non-dropping-particle&quot;:&quot;&quot;}],&quot;container-title&quot;:&quot;PloS one&quot;,&quot;container-title-short&quot;:&quot;PLoS One&quot;,&quot;DOI&quot;:&quot;10.1371/journal.pone.0251317&quot;,&quot;ISSN&quot;:&quot;1932-6203&quot;,&quot;PMID&quot;:&quot;33989306&quot;,&quot;issued&quot;:{&quot;date-parts&quot;:[[2021]]},&quot;page&quot;:&quot;e0251317&quot;,&quot;abstract&quot;:&quot;Fibroblast growth factor-23 (FGF23), a bone-produced hormone, plays a critical role in mineral homeostasis. Human diseases associated with excessive intact circulating FGF23 (iFGF23) result in hypophosphatemia and low vitamin D hormone in patients with normal kidney function. In addition, there is accumulating evidence linking FGF23 with inflammation. Based on these studies and the frequent observation of hypophosphatemia among septic patients, we sought to elucidate further the relationship between FGF23 and mineral homeostasis in a clinically relevant murine polymicrobial sepsis model. Medium-severity sepsis was induced by cecum ligation puncture (CLP) in adult CD-1 mice of both sexes. Healthy CD-1 mice (without CLP) were used as controls. Forty-eight hours post-CLP, spontaneous urine was collected, and serum, organs and bones were sampled at necropsy. Serum iFGF23 increased ~20-fold in CLP compared to control mice. FGF23 protein concentration was increased in the bones, but not in spleen or liver of CLP mice. Despite the ~20-fold iFGF23 increase, we did not observe any significant changes in mineral homeostasis or parathyroid hormone levels in the blood of CLP animals. Urinary excretion of phosphate, calcium, and sodium remained unchanged in male CLP mice, whereas female CLP mice exhibited lower urinary calcium excretion, relative to healthy controls. In line with renal FGF23 resistance, expression of phosphate-, calcium- and sodium-transporting proteins did not show consistent changes in the kidneys of male and female CLP mice. Renal expression of the co-receptor αKlotho was downregulated in female, but not in male CLP mice. In conclusion, our data demonstrate that the dramatic, sex-independent rise in serum iFGF23 post-CLP was mainly caused by an upregulation of FGF23 secretion in the bone. Surprisingly, the upsurge in circulating iFGF23 did not alter humoral mineral homeostasis in the acutely septic mice. Hence, the biological function of elevated FGF23 in sepsis remains unclear and warrants further studies.&quot;,&quot;issue&quot;:&quot;5&quot;,&quot;volume&quot;:&quot;16&quot;},&quot;isTemporary&quot;:false}]},{&quot;citationID&quot;:&quot;MENDELEY_CITATION_42783ea7-f5ed-4498-b761-a3a43e0e80ee&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&quot;,&quot;citationItems&quot;:[{&quot;id&quot;:&quot;70722c8c-5fff-3a2c-8e51-29b02ec5fdc2&quot;,&quot;itemData&quot;:{&quot;type&quot;:&quot;article-journal&quot;,&quot;id&quot;:&quot;70722c8c-5fff-3a2c-8e51-29b02ec5fdc2&quot;,&quot;title&quot;:&quot;Cecal Ligation and Puncture.&quot;,&quot;author&quot;:[{&quot;family&quot;:&quot;Drechsler&quot;,&quot;given&quot;:&quot;Susanne&quot;,&quot;parse-names&quot;:false,&quot;dropping-particle&quot;:&quot;&quot;,&quot;non-dropping-particle&quot;:&quot;&quot;},{&quot;family&quot;:&quot;Osuchowski&quot;,&quot;given&quot;:&quot;Marcin&quot;,&quot;parse-names&quot;:false,&quot;dropping-particle&quot;:&quot;&quot;,&quot;non-dropping-particle&quot;:&quot;&quot;}],&quot;container-title&quot;:&quot;Methods in molecular biology (Clifton, N.J.)&quot;,&quot;container-title-short&quot;:&quot;Methods Mol Biol&quot;,&quot;DOI&quot;:&quot;10.1007/978-1-0716-1488-4_1&quot;,&quot;ISSN&quot;:&quot;1940-6029&quot;,&quot;PMID&quot;:&quot;34048002&quot;,&quot;issued&quot;:{&quot;date-parts&quot;:[[2021]]},&quot;page&quot;:&quot;1-8&quot;,&quot;abstract&quot;:&quot;Cecal ligation and puncture (CLP) is referred to as the \&quot;gold standard\&quot; rodent model for abdominal sepsis. CLP creates a continuously leaking, polymicrobial infectious focus in the abdomen. The abdominal cavity is opened under general anesthesia and analgesia and the cecum is exposed, ligated underneath the ileocecal valve, and punctured with a needle. A small amount of feces is pressed out through the puncture and the cecum is repositioned into the abdomen, which is then closed with single button sutures and tissue glue. CLP severity can be influenced via the length of the ligated cecum as well as the needle size. Within 24 h, animals develop clinical signs of a systemic bacterial infection. Analgesia, wide range antibiotic treatment, and fluid resuscitation should be administered during the acute phase of sepsis to increase the clinical relevance of the CLP model.&quot;,&quot;volume&quot;:&quot;2321&quot;},&quot;isTemporary&quot;:false}]},{&quot;citationID&quot;:&quot;MENDELEY_CITATION_89aa715a-1497-4e92-805b-22d4bd2ad05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&quot;,&quot;citationItems&quot;:[{&quot;id&quot;:&quot;3116cbd9-a1fd-3df6-adbf-0b0e51779aa6&quot;,&quot;itemData&quot;:{&quot;type&quot;:&quot;article-journal&quot;,&quot;id&quot;:&quot;3116cbd9-a1fd-3df6-adbf-0b0e51779aa6&quot;,&quot;title&quot;:&quot;Mitochondria-Targeted Antioxidants SkQ1 and MitoTEMPO Failed to Exert a Long-Term Beneficial Effect in Murine Polymicrobial Sepsis.&quot;,&quot;author&quot;:[{&quot;family&quot;:&quot;Rademann&quot;,&quot;given&quot;:&quot;Pia&quot;,&quot;parse-names&quot;:false,&quot;dropping-particle&quot;:&quot;&quot;,&quot;non-dropping-particle&quot;:&quot;&quot;},{&quot;family&quot;:&quot;Weidinger&quot;,&quot;given&quot;:&quot;Adelheid&quot;,&quot;parse-names&quot;:false,&quot;dropping-particle&quot;:&quot;&quot;,&quot;non-dropping-particle&quot;:&quot;&quot;},{&quot;family&quot;:&quot;Drechsler&quot;,&quot;given&quot;:&quot;Susanne&quot;,&quot;parse-names&quot;:false,&quot;dropping-particle&quot;:&quot;&quot;,&quot;non-dropping-particle&quot;:&quot;&quot;},{&quot;family&quot;:&quot;Meszaros&quot;,&quot;given&quot;:&quot;Andras&quot;,&quot;parse-names&quot;:false,&quot;dropping-particle&quot;:&quot;&quot;,&quot;non-dropping-particle&quot;:&quot;&quot;},{&quot;family&quot;:&quot;Zipperle&quot;,&quot;given&quot;:&quot;Johannes&quot;,&quot;parse-names&quot;:false,&quot;dropping-particle&quot;:&quot;&quot;,&quot;non-dropping-particle&quot;:&quot;&quot;},{&quot;family&quot;:&quot;Jafarmadar&quot;,&quot;given&quot;:&quot;Mohammad&quot;,&quot;parse-names&quot;:false,&quot;dropping-particle&quot;:&quot;&quot;,&quot;non-dropping-particle&quot;:&quot;&quot;},{&quot;family&quot;:&quot;Dumitrescu&quot;,&quot;given&quot;:&quot;Sergiu&quot;,&quot;parse-names&quot;:false,&quot;dropping-particle&quot;:&quot;&quot;,&quot;non-dropping-particle&quot;:&quot;&quot;},{&quot;family&quot;:&quot;Hacobian&quot;,&quot;given&quot;:&quot;Ara&quot;,&quot;parse-names&quot;:false,&quot;dropping-particle&quot;:&quot;&quot;,&quot;non-dropping-particle&quot;:&quot;&quot;},{&quot;family&quot;:&quot;Ungelenk&quot;,&quot;given&quot;:&quot;Luisa&quot;,&quot;parse-names&quot;:false,&quot;dropping-particle&quot;:&quot;&quot;,&quot;non-dropping-particle&quot;:&quot;&quot;},{&quot;family&quot;:&quot;Röstel&quot;,&quot;given&quot;:&quot;Franziska&quot;,&quot;parse-names&quot;:false,&quot;dropping-particle&quot;:&quot;&quot;,&quot;non-dropping-particle&quot;:&quot;&quot;},{&quot;family&quot;:&quot;Kaszaki&quot;,&quot;given&quot;:&quot;Jozsef&quot;,&quot;parse-names&quot;:false,&quot;dropping-particle&quot;:&quot;&quot;,&quot;non-dropping-particle&quot;:&quot;&quot;},{&quot;family&quot;:&quot;Szabo&quot;,&quot;given&quot;:&quot;Andrea&quot;,&quot;parse-names&quot;:false,&quot;dropping-particle&quot;:&quot;&quot;,&quot;non-dropping-particle&quot;:&quot;&quot;},{&quot;family&quot;:&quot;Skulachev&quot;,&quot;given&quot;:&quot;Vladimir P&quot;,&quot;parse-names&quot;:false,&quot;dropping-particle&quot;:&quot;&quot;,&quot;non-dropping-particle&quot;:&quot;&quot;},{&quot;family&quot;:&quot;Bauer&quot;,&quot;given&quot;:&quot;Michael&quot;,&quot;parse-names&quot;:false,&quot;dropping-particle&quot;:&quot;&quot;,&quot;non-dropping-particle&quot;:&quot;&quot;},{&quot;family&quot;:&quot;Bahrami&quot;,&quot;given&quot;:&quot;Soheyl&quot;,&quot;parse-names&quot;:false,&quot;dropping-particle&quot;:&quot;&quot;,&quot;non-dropping-particle&quot;:&quot;&quot;},{&quot;family&quot;:&quot;Weis&quot;,&quot;given&quot;:&quot;Sebastian&quot;,&quot;parse-names&quot;:false,&quot;dropping-particle&quot;:&quot;&quot;,&quot;non-dropping-particle&quot;:&quot;&quot;},{&quot;family&quot;:&quot;Kozlov&quot;,&quot;given&quot;:&quot;Andrey&quot;,&quot;parse-names&quot;:false,&quot;dropping-particle&quot;:&quot;V&quot;,&quot;non-dropping-particle&quot;:&quot;&quot;},{&quot;family&quot;:&quot;Osuchowski&quot;,&quot;given&quot;:&quot;Marcin F&quot;,&quot;parse-names&quot;:false,&quot;dropping-particle&quot;:&quot;&quot;,&quot;non-dropping-particle&quot;:&quot;&quot;}],&quot;container-title&quot;:&quot;Oxidative medicine and cellular longevity&quot;,&quot;container-title-short&quot;:&quot;Oxid Med Cell Longev&quot;,&quot;DOI&quot;:&quot;10.1155/2017/6412682&quot;,&quot;ISSN&quot;:&quot;1942-0994&quot;,&quot;PMID&quot;:&quot;29104729&quot;,&quot;issued&quot;:{&quot;date-parts&quot;:[[2017]]},&quot;page&quot;:&quot;6412682&quot;,&quot;abstract&quot;:&quot;Mitochondrial-derived reactive oxygen species have been deemed an important contributor in sepsis pathogenesis. We investigated whether two mitochondria-targeted antioxidants (mtAOX; SkQ1 and MitoTEMPO) improved long-term outcome, lessened inflammation, and improved organ homeostasis in polymicrobial murine sepsis. 3-month-old female CD-1 mice (n = 90) underwent cecal ligation and puncture (CLP) and received SkQ1 (5 nmol/kg), MitoTEMPO (50 nmol/kg), or vehicle 5 times post-CLP. Separately, 52 SkQ1-treated CLP mice were sacrificed at 24 h and 48 h for additional endpoints. Neither MitoTEMPO nor SkQ1 exerted any protracted survival benefit. Conversely, SkQ1 exacerbated 28-day mortality by 29%. CLP induced release of 10 circulating cytokines, increased urea, ALT, and LDH, and decreased glucose but irrespectively of treatment. Similar occurred for CLP-induced lymphopenia/neutrophilia and the NO blood release. At 48 h post-CLP, dying mice had approximately 100-fold more CFUs in the spleen than survivors, but this was not SkQ1 related. At 48 h, macrophage and granulocyte counts increased in the peritoneal lavage but irrespectively of SkQ1. Similarly, hepatic mitophagy was not altered by SkQ1 at 24 h. The absence of survival benefit of mtAOX may be due to the extended treatment and/or a relatively moderate-risk-of-death CLP cohort. Long-term effect of mtAOX in abdominal sepsis appears different to sepsis/inflammation models arising from other body compartments.&quot;,&quot;volume&quot;:&quot;2017&quot;},&quot;isTemporary&quot;:false}]},{&quot;citationID&quot;:&quot;MENDELEY_CITATION_b789e9a4-b64f-463a-846a-2a8eab254339&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&quot;,&quot;citationItems&quot;:[{&quot;id&quot;:&quot;65158140-9b06-389b-b910-9bfda60412e7&quot;,&quot;itemData&quot;:{&quot;type&quot;:&quot;article-journal&quot;,&quot;id&quot;:&quot;65158140-9b06-389b-b910-9bfda60412e7&quot;,&quot;title&quot;:&quot;Repetitive low-volume blood sampling method as a feasible monitoring tool in a mouse model of sepsis.&quot;,&quot;author&quot;:[{&quot;family&quot;:&quot;Weixelbaumer&quot;,&quot;given&quot;:&quot;Katrin M&quot;,&quot;parse-names&quot;:false,&quot;dropping-particle&quot;:&quot;&quot;,&quot;non-dropping-particle&quot;:&quot;&quot;},{&quot;family&quot;:&quot;Raeven&quot;,&quot;given&quot;:&quot;Pierre&quot;,&quot;parse-names&quot;:false,&quot;dropping-particle&quot;:&quot;&quot;,&quot;non-dropping-particle&quot;:&quot;&quot;},{&quot;family&quot;:&quot;Redl&quot;,&quot;given&quot;:&quot;Heinz&quot;,&quot;parse-names&quot;:false,&quot;dropping-particle&quot;:&quot;&quot;,&quot;non-dropping-particle&quot;:&quot;&quot;},{&quot;family&quot;:&quot;Griensven&quot;,&quot;given&quot;:&quot;Martijn&quot;,&quot;parse-names&quot;:false,&quot;dropping-particle&quot;:&quot;&quot;,&quot;non-dropping-particle&quot;:&quot;van&quot;},{&quot;family&quot;:&quot;Bahrami&quot;,&quot;given&quot;:&quot;Soheyl&quot;,&quot;parse-names&quot;:false,&quot;dropping-particle&quot;:&quot;&quot;,&quot;non-dropping-particle&quot;:&quot;&quot;},{&quot;family&quot;:&quot;Osuchowski&quot;,&quot;given&quot;:&quot;Marcin F&quot;,&quot;parse-names&quot;:false,&quot;dropping-particle&quot;:&quot;&quot;,&quot;non-dropping-particle&quot;:&quot;&quot;}],&quot;container-title&quot;:&quot;Shock (Augusta, Ga.)&quot;,&quot;container-title-short&quot;:&quot;Shock&quot;,&quot;DOI&quot;:&quot;10.1097/SHK.0b013e3181dc0918&quot;,&quot;ISSN&quot;:&quot;1540-0514&quot;,&quot;PMID&quot;:&quot;20610942&quot;,&quot;issued&quot;:{&quot;date-parts&quot;:[[2010,10]]},&quot;page&quot;:&quot;420-6&quot;,&quot;abstract&quot;:&quot;Blood-based monitoring of immunoinflammatory and organ function fluctuations is essential in models of critical illness. This is challenging in diseased mice as repetitive blood collection may be harmful and/or affect end points. We studied the influence of daily sampling in acutely septic (days 1-5) mice upon survival and selected hematologic and organ function parameters. In addition, we tested the reliabilty of complete blood cell (CBC) count using resuspended blood cells. Female OF-1 and CD-1 mice underwent cecal ligation and puncture (CLP) and were subdivided into Daily and Day 5 groups. Blood was collected daily for 5 days in the Daily group and only on day 5 post-CLP in the Day 5 group. We tested 20 μL (both strains) and 35 μL (OF-1 mice) sampling volumes. The 35-μL volume simultaneously served to test the CBC reliabilty in resuspended versus unprocessed blood. Daily sampling did not affect the 14-day CLP mortality. Compared with the Day 5 group, daily 35-μL sampling in OF-1 mice decreased the red blood cell count and hemoglobin concentration by 22% and 23% (P &lt; 0.05). In neither strain did daily 20-μL sampling affect the red blood cell count, whereas there was a 9% hemoglobin decrease (P &lt; 0.05) in OF-1 mice. Although alanine aminotransferase, lactate dehydrogenase, and glucose levels were comparable, urea significantly increased by 24% in the Daily group (20-μL volume, OF-1 mice). Interleukin 6, platelets, and white blood cell counts remained unaffected. There was an excellent correlation between regular and resuspended CBC for all cell types (r ≥ 0.9; slope, ≥0.9), except lymphocytes (r &gt; 0.5; slope, &gt;0.5). This method provides a feasible and safe translation of clinically relevant daily immunomonitoring to the mouse sepsis model.&quot;,&quot;issue&quot;:&quot;4&quot;,&quot;volume&quot;:&quot;34&quot;},&quot;isTemporary&quot;:false}]},{&quot;citationID&quot;:&quot;MENDELEY_CITATION_8b32ab25-446a-484c-b91f-308d6400b31b&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&quot;,&quot;citationItems&quot;:[{&quot;id&quot;:&quot;5a4a6bc2-1812-351e-94cd-f2a1e94c4b87&quot;,&quot;itemData&quot;:{&quot;type&quot;:&quot;article-journal&quot;,&quot;id&quot;:&quot;5a4a6bc2-1812-351e-94cd-f2a1e94c4b87&quot;,&quot;title&quot;:&quot;A Comparative Efficacy Evaluation of Recombinant Topical Thrombin (RECOTHROM®) With A Gelatin Sponge Carrier Versus Topical Oxidized Regenerated Cellulose (TABOTAMP®/SURGICEL®) In A Porcine Liver Bleeding Model.&quot;,&quot;author&quot;:[{&quot;family&quot;:&quot;Slezak&quot;,&quot;given&quot;:&quot;Paul&quot;,&quot;parse-names&quot;:false,&quot;dropping-particle&quot;:&quot;&quot;,&quot;non-dropping-particle&quot;:&quot;&quot;},{&quot;family&quot;:&quot;Keibl&quot;,&quot;given&quot;:&quot;Claudia&quot;,&quot;parse-names&quot;:false,&quot;dropping-particle&quot;:&quot;&quot;,&quot;non-dropping-particle&quot;:&quot;&quot;},{&quot;family&quot;:&quot;Labahn&quot;,&quot;given&quot;:&quot;Dirk&quot;,&quot;parse-names&quot;:false,&quot;dropping-particle&quot;:&quot;&quot;,&quot;non-dropping-particle&quot;:&quot;&quot;},{&quot;family&quot;:&quot;Schmidbauer&quot;,&quot;given&quot;:&quot;Anna&quot;,&quot;parse-names&quot;:false,&quot;dropping-particle&quot;:&quot;&quot;,&quot;non-dropping-particle&quot;:&quot;&quot;},{&quot;family&quot;:&quot;Genyk&quot;,&quot;given&quot;:&quot;Yuri&quot;,&quot;parse-names&quot;:false,&quot;dropping-particle&quot;:&quot;&quot;,&quot;non-dropping-particle&quot;:&quot;&quot;},{&quot;family&quot;:&quot;Gulle&quot;,&quot;given&quot;:&quot;Heinz&quot;,&quot;parse-names&quot;:false,&quot;dropping-particle&quot;:&quot;&quot;,&quot;non-dropping-particle&quot;:&quot;&quot;}],&quot;container-title&quot;:&quot;Journal of investigative surgery : the official journal of the Academy of Surgical Research&quot;,&quot;container-title-short&quot;:&quot;J Invest Surg&quot;,&quot;DOI&quot;:&quot;10.1080/08941939.2019.1705444&quot;,&quot;ISSN&quot;:&quot;1521-0553&quot;,&quot;PMID&quot;:&quot;31955627&quot;,&quot;issued&quot;:{&quot;date-parts&quot;:[[2021,8]]},&quot;page&quot;:&quot;862-868&quot;,&quot;abstract&quot;:&quot;PURPOSE Topical hemostatic agents can be classified as active or passive. This study compared the hemostatic efficacy of an active agent, recombinant thrombin (RECOTHROM® [rT]) plus gelatin sponge carrier versus a passive agent, oxidized regenerated cellulose (TABOTAMP®/SURGICEL® [ORC]), in a porcine liver abrasion model. MATERIALS AND METHODS Eight pigs were used, four of them were heparinized. A total of 80 liver lesions were created, 40 of them in heparinized pigs. Lesions were treated with rT plus gelatin sponge or ORC. Bleeding rate was quantified before treatment by applying pre-weighed gauze. Time to hemostasis was assessed visually for 10 minutes. RESULTS Seven of the 80 lesions were excluded for having initial bleeding rates exceeding the target of 10 g/min. Sixteen and 20 lesions were treated with rT plus gelatin sponge and 19 and 18 lesions were treated with ORC, in non-heparinized and heparinized animals, respectively. Time to hemostasis (median [IQR]) was significantly shorter with rT plus gelatin sponge (30 [30,30] seconds) in heparinized and non-heparinized animals versus ORC in non-heparinized (180 [120,210] seconds) and heparinized animals (215 [135,345] seconds); P &lt; 0.0001 for both comparisons. In heparinized animals, ORC took longer to achieve hemostasis, with treatment failure in 2/18 lesions. Time to hemostasis with ORC was longer for lesions in heparinized animals with initial bleeding rates of &gt;5-10 g/min (285 [225,394] seconds) versus ≤5 g/min (175 [108,290] seconds). CONCLUSIONS In this model, rT plus gelatin sponge carrier (active) was a more effective hemostat than ORC (passive) in both heparinized and non-heparinized animals.&quot;,&quot;issue&quot;:&quot;8&quot;,&quot;volume&quot;:&quot;34&quot;},&quot;isTemporary&quot;:false}]},{&quot;citationID&quot;:&quot;MENDELEY_CITATION_315e77e6-a449-4f65-8712-5ff6b9dd5820&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&quot;,&quot;citationItems&quot;:[{&quot;id&quot;:&quot;b6247eab-1fdc-3fb7-b9dc-986029ee26e4&quot;,&quot;itemData&quot;:{&quot;type&quot;:&quot;article-journal&quot;,&quot;id&quot;:&quot;b6247eab-1fdc-3fb7-b9dc-986029ee26e4&quot;,&quot;title&quot;:&quot;Dual inhibition of thrombin and activated factor X attenuates disseminated intravascular coagulation and protects organ function in a baboon model of severe Gram-negative sepsis.&quot;,&quot;author&quot;:[{&quot;family&quot;:&quot;Schöchl&quot;,&quot;given&quot;:&quot;Herbert&quot;,&quot;parse-names&quot;:false,&quot;dropping-particle&quot;:&quot;&quot;,&quot;non-dropping-particle&quot;:&quot;&quot;},{&quot;family&quot;:&quot;Griensven&quot;,&quot;given&quot;:&quot;Martijn&quot;,&quot;parse-names&quot;:false,&quot;dropping-particle&quot;:&quot;&quot;,&quot;non-dropping-particle&quot;:&quot;van&quot;},{&quot;family&quot;:&quot;Heitmeier&quot;,&quot;given&quot;:&quot;Stefan&quot;,&quot;parse-names&quot;:false,&quot;dropping-particle&quot;:&quot;&quot;,&quot;non-dropping-particle&quot;:&quot;&quot;},{&quot;family&quot;:&quot;Laux&quot;,&quot;given&quot;:&quot;Volker&quot;,&quot;parse-names&quot;:false,&quot;dropping-particle&quot;:&quot;&quot;,&quot;non-dropping-particle&quot;:&quot;&quot;},{&quot;family&quot;:&quot;Kipman&quot;,&quot;given&quot;:&quot;Ulrike&quot;,&quot;parse-names&quot;:false,&quot;dropping-particle&quot;:&quot;&quot;,&quot;non-dropping-particle&quot;:&quot;&quot;},{&quot;family&quot;:&quot;Roodt&quot;,&quot;given&quot;:&quot;Jan&quot;,&quot;parse-names&quot;:false,&quot;dropping-particle&quot;:&quot;&quot;,&quot;non-dropping-particle&quot;:&quot;&quot;},{&quot;family&quot;:&quot;Bahrami&quot;,&quot;given&quot;:&quot;Soheyl&quot;,&quot;parse-names&quot;:false,&quot;dropping-particle&quot;:&quot;&quot;,&quot;non-dropping-particle&quot;:&quot;&quot;},{&quot;family&quot;:&quot;Redl&quot;,&quot;given&quot;:&quot;Heinz&quot;,&quot;parse-names&quot;:false,&quot;dropping-particle&quot;:&quot;&quot;,&quot;non-dropping-particle&quot;:&quot;&quot;}],&quot;container-title&quot;:&quot;Critical care (London, England)&quot;,&quot;container-title-short&quot;:&quot;Crit Care&quot;,&quot;DOI&quot;:&quot;10.1186/s13054-017-1636-y&quot;,&quot;ISSN&quot;:&quot;1466-609X&quot;,&quot;PMID&quot;:&quot;28288667&quot;,&quot;issued&quot;:{&quot;date-parts&quot;:[[2017,3,13]]},&quot;page&quot;:&quot;51&quot;,&quot;abstract&quot;:&quot;BACKGROUND Inhibition of procoagulant pathways may improve outcome in sepsis. We examined whether a dual short-acting thrombin (factor II) and factor X (FX)a inhibitor (SATI) ameliorates sepsis-induced disseminated intravascular coagulation (DIC) and is organ-protective. METHODS Escherichia coli were infused for 2 h in 22 anesthetized baboons. The control (CO) group (n = 8) received sterile isotonic solution only. In the treatment groups, SATI was administered starting 15 minutes after the end of the bacterial exposure. In the low-dose group (LD-SATI, n = 8), SATI was infused with 75 μg/kg/h for the first hour, followed by 23 μg/kg/h until the end of the study. In the high-dose SATI group (HD-SATI, n = 6), 225 μg/kg/h was administered for the first hour followed by continuous infusion of 69 μg/kg/h until termination of the study. RESULTS Sepsis-induced DIC was attenuated, as reflected by lower peak thrombin-antithrombin complexes (threefold) and D-dimer levels (twofold) in both SATI groups compared to the CO. This coincided with strongly improved cell/organ protection assessed by decreased levels of lactate dehydrogenase (threefold), creatinine (twofold), aspartate aminotransferase (threefold), and amylase (twofold) compared to the CO group. Anuria, which started at 8 h in the CO group, was prevented in both SATI groups. Peak interleukin-6 release at 12 h was prevented in the treatment groups. In both SATI groups, fewer catecholamines were necessary and no bleeding complications were observed. CONCLUSIONS Dual inhibition of thrombin and FXa preserved activation of coagulation, protected organ function and ameliorated inflammation in severe Gram-negative sepsis in baboons. SATI could be a novel therapeutic agent against sepsis-induced DIC.&quot;,&quot;issue&quot;:&quot;1&quot;,&quot;volume&quot;:&quot;21&quot;},&quot;isTemporary&quot;:false}]}]"/>
    <we:property name="MENDELEY_CITATIONS_STYLE" value="{&quot;id&quot;:&quot;https://www.zotero.org/styles/american-medical-association&quot;,&quot;title&quot;:&quot;American Medical Association 11th edition&quot;,&quot;format&quot;:&quot;numeric&quot;,&quot;defaultLocale&quot;:&quot;en-US&quot;,&quot;isLocaleCodeValid&quot;:true}"/>
    <we:property name="MENDELEY_CITATIONS_LOCALE_CODE" value="&quot;en-US&quot;"/>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0</TotalTime>
  <Pages>16</Pages>
  <Words>2788</Words>
  <Characters>17565</Characters>
  <Application>Microsoft Office Word</Application>
  <DocSecurity>0</DocSecurity>
  <Lines>146</Lines>
  <Paragraphs>40</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20313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Osuchowski</dc:creator>
  <cp:keywords/>
  <dc:description/>
  <cp:lastModifiedBy>Marcin Osuchowski</cp:lastModifiedBy>
  <cp:revision>6</cp:revision>
  <dcterms:created xsi:type="dcterms:W3CDTF">2024-11-28T17:10:00Z</dcterms:created>
  <dcterms:modified xsi:type="dcterms:W3CDTF">2024-11-29T14:33:00Z</dcterms:modified>
</cp:coreProperties>
</file>