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15A6" w:rsidRPr="0066452B" w:rsidRDefault="0066452B" w:rsidP="0066452B">
      <w:pPr>
        <w:jc w:val="center"/>
        <w:rPr>
          <w:rFonts w:eastAsiaTheme="minorEastAsia"/>
          <w:sz w:val="28"/>
        </w:rPr>
      </w:pPr>
      <w:r w:rsidRPr="0066452B">
        <w:rPr>
          <w:rFonts w:eastAsiaTheme="minorEastAsia" w:hint="eastAsia"/>
          <w:sz w:val="28"/>
        </w:rPr>
        <w:t>Supplementary Figures for</w:t>
      </w: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Host phylogeny determines the gut microbial landscape of cephalopods</w:t>
      </w: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jc w:val="center"/>
        <w:rPr>
          <w:b/>
          <w:i/>
          <w:sz w:val="24"/>
          <w:szCs w:val="24"/>
        </w:rPr>
      </w:pP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  <w:vertAlign w:val="superscript"/>
        </w:rPr>
      </w:pPr>
      <w:proofErr w:type="spellStart"/>
      <w:r w:rsidRPr="005D3F64">
        <w:rPr>
          <w:sz w:val="24"/>
          <w:szCs w:val="24"/>
        </w:rPr>
        <w:t>Woorim</w:t>
      </w:r>
      <w:proofErr w:type="spellEnd"/>
      <w:r w:rsidRPr="005D3F64">
        <w:rPr>
          <w:sz w:val="24"/>
          <w:szCs w:val="24"/>
        </w:rPr>
        <w:t xml:space="preserve"> </w:t>
      </w:r>
      <w:proofErr w:type="gramStart"/>
      <w:r w:rsidRPr="005D3F64">
        <w:rPr>
          <w:sz w:val="24"/>
          <w:szCs w:val="24"/>
        </w:rPr>
        <w:t>Kang,</w:t>
      </w:r>
      <w:r w:rsidRPr="005D3F64">
        <w:rPr>
          <w:rFonts w:eastAsia="맑은 고딕"/>
          <w:sz w:val="24"/>
          <w:szCs w:val="24"/>
          <w:vertAlign w:val="superscript"/>
        </w:rPr>
        <w:t>†</w:t>
      </w:r>
      <w:proofErr w:type="gramEnd"/>
      <w:r w:rsidRPr="005D3F64">
        <w:rPr>
          <w:sz w:val="24"/>
          <w:szCs w:val="24"/>
        </w:rPr>
        <w:t xml:space="preserve"> </w:t>
      </w:r>
      <w:proofErr w:type="spellStart"/>
      <w:r w:rsidRPr="005D3F64">
        <w:rPr>
          <w:sz w:val="24"/>
          <w:szCs w:val="24"/>
        </w:rPr>
        <w:t>Pil</w:t>
      </w:r>
      <w:proofErr w:type="spellEnd"/>
      <w:r w:rsidRPr="005D3F64">
        <w:rPr>
          <w:sz w:val="24"/>
          <w:szCs w:val="24"/>
        </w:rPr>
        <w:t xml:space="preserve"> Soo Kim,</w:t>
      </w:r>
      <w:r w:rsidRPr="005D3F64">
        <w:rPr>
          <w:rFonts w:eastAsia="맑은 고딕"/>
          <w:sz w:val="24"/>
          <w:szCs w:val="24"/>
          <w:vertAlign w:val="superscript"/>
        </w:rPr>
        <w:t>†</w:t>
      </w:r>
      <w:r w:rsidRPr="005D3F64">
        <w:rPr>
          <w:sz w:val="24"/>
          <w:szCs w:val="24"/>
        </w:rPr>
        <w:t xml:space="preserve"> </w:t>
      </w:r>
      <w:proofErr w:type="spellStart"/>
      <w:r w:rsidRPr="005D3F64">
        <w:rPr>
          <w:sz w:val="24"/>
          <w:szCs w:val="24"/>
        </w:rPr>
        <w:t>Euon</w:t>
      </w:r>
      <w:proofErr w:type="spellEnd"/>
      <w:r w:rsidRPr="005D3F64">
        <w:rPr>
          <w:sz w:val="24"/>
          <w:szCs w:val="24"/>
        </w:rPr>
        <w:t xml:space="preserve"> Jung </w:t>
      </w:r>
      <w:proofErr w:type="spellStart"/>
      <w:r w:rsidRPr="005D3F64">
        <w:rPr>
          <w:sz w:val="24"/>
          <w:szCs w:val="24"/>
        </w:rPr>
        <w:t>Tak</w:t>
      </w:r>
      <w:proofErr w:type="spellEnd"/>
      <w:r w:rsidRPr="005D3F64">
        <w:rPr>
          <w:sz w:val="24"/>
          <w:szCs w:val="24"/>
        </w:rPr>
        <w:t xml:space="preserve">, </w:t>
      </w:r>
      <w:proofErr w:type="spellStart"/>
      <w:r w:rsidRPr="005D3F64">
        <w:rPr>
          <w:sz w:val="24"/>
          <w:szCs w:val="24"/>
        </w:rPr>
        <w:t>Hojun</w:t>
      </w:r>
      <w:proofErr w:type="spellEnd"/>
      <w:r w:rsidRPr="005D3F64">
        <w:rPr>
          <w:sz w:val="24"/>
          <w:szCs w:val="24"/>
        </w:rPr>
        <w:t xml:space="preserve"> Sung, Na-Ri Shin, Dong-</w:t>
      </w:r>
      <w:proofErr w:type="spellStart"/>
      <w:r w:rsidRPr="005D3F64">
        <w:rPr>
          <w:sz w:val="24"/>
          <w:szCs w:val="24"/>
        </w:rPr>
        <w:t>Wook</w:t>
      </w:r>
      <w:proofErr w:type="spellEnd"/>
      <w:r w:rsidRPr="005D3F64">
        <w:rPr>
          <w:sz w:val="24"/>
          <w:szCs w:val="24"/>
        </w:rPr>
        <w:t xml:space="preserve"> Hyun, Tae </w:t>
      </w:r>
      <w:proofErr w:type="spellStart"/>
      <w:r w:rsidRPr="005D3F64">
        <w:rPr>
          <w:sz w:val="24"/>
          <w:szCs w:val="24"/>
        </w:rPr>
        <w:t>Woong</w:t>
      </w:r>
      <w:proofErr w:type="spellEnd"/>
      <w:r w:rsidRPr="005D3F64">
        <w:rPr>
          <w:sz w:val="24"/>
          <w:szCs w:val="24"/>
        </w:rPr>
        <w:t xml:space="preserve"> </w:t>
      </w:r>
      <w:proofErr w:type="spellStart"/>
      <w:r w:rsidRPr="005D3F64">
        <w:rPr>
          <w:sz w:val="24"/>
          <w:szCs w:val="24"/>
        </w:rPr>
        <w:t>Whon</w:t>
      </w:r>
      <w:proofErr w:type="spellEnd"/>
      <w:r w:rsidRPr="005D3F64">
        <w:rPr>
          <w:sz w:val="24"/>
          <w:szCs w:val="24"/>
        </w:rPr>
        <w:t xml:space="preserve">, Hyun </w:t>
      </w:r>
      <w:proofErr w:type="spellStart"/>
      <w:r w:rsidRPr="005D3F64">
        <w:rPr>
          <w:sz w:val="24"/>
          <w:szCs w:val="24"/>
        </w:rPr>
        <w:t>Sik</w:t>
      </w:r>
      <w:proofErr w:type="spellEnd"/>
      <w:r w:rsidRPr="005D3F64">
        <w:rPr>
          <w:sz w:val="24"/>
          <w:szCs w:val="24"/>
        </w:rPr>
        <w:t xml:space="preserve"> Kim, June-Young Lee,</w:t>
      </w:r>
      <w:r>
        <w:rPr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>Ji-Hyun Yun, Mi-Ja Jung</w:t>
      </w:r>
      <w:r w:rsidRPr="005D3F64">
        <w:rPr>
          <w:sz w:val="24"/>
          <w:szCs w:val="24"/>
        </w:rPr>
        <w:t xml:space="preserve"> and </w:t>
      </w:r>
      <w:proofErr w:type="spellStart"/>
      <w:r w:rsidRPr="005D3F64">
        <w:rPr>
          <w:sz w:val="24"/>
          <w:szCs w:val="24"/>
        </w:rPr>
        <w:t>Jin</w:t>
      </w:r>
      <w:proofErr w:type="spellEnd"/>
      <w:r w:rsidRPr="005D3F64">
        <w:rPr>
          <w:sz w:val="24"/>
          <w:szCs w:val="24"/>
        </w:rPr>
        <w:t>-Woo Bae*</w:t>
      </w: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  <w:r w:rsidRPr="005D3F64">
        <w:rPr>
          <w:sz w:val="24"/>
          <w:szCs w:val="24"/>
        </w:rPr>
        <w:t xml:space="preserve">Department of Life and </w:t>
      </w:r>
      <w:proofErr w:type="spellStart"/>
      <w:r w:rsidRPr="005D3F64">
        <w:rPr>
          <w:sz w:val="24"/>
          <w:szCs w:val="24"/>
        </w:rPr>
        <w:t>Nanopharmaceutical</w:t>
      </w:r>
      <w:proofErr w:type="spellEnd"/>
      <w:r w:rsidRPr="005D3F64">
        <w:rPr>
          <w:sz w:val="24"/>
          <w:szCs w:val="24"/>
        </w:rPr>
        <w:t xml:space="preserve"> Sciences and Department of Biology, Kyung </w:t>
      </w:r>
      <w:proofErr w:type="spellStart"/>
      <w:r w:rsidRPr="005D3F64">
        <w:rPr>
          <w:sz w:val="24"/>
          <w:szCs w:val="24"/>
        </w:rPr>
        <w:t>Hee</w:t>
      </w:r>
      <w:proofErr w:type="spellEnd"/>
      <w:r w:rsidRPr="005D3F64">
        <w:rPr>
          <w:sz w:val="24"/>
          <w:szCs w:val="24"/>
        </w:rPr>
        <w:t xml:space="preserve"> University, Seoul 130-701, Korea</w:t>
      </w: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  <w:r w:rsidRPr="005D3F64">
        <w:rPr>
          <w:sz w:val="24"/>
          <w:szCs w:val="24"/>
          <w:vertAlign w:val="superscript"/>
        </w:rPr>
        <w:t>†</w:t>
      </w:r>
      <w:r w:rsidRPr="005D3F64">
        <w:rPr>
          <w:sz w:val="24"/>
          <w:szCs w:val="24"/>
        </w:rPr>
        <w:t>These authors contributed equally to this study.</w:t>
      </w:r>
    </w:p>
    <w:p w:rsidR="009E0F16" w:rsidRPr="005D3F64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  <w:r w:rsidRPr="005D3F64">
        <w:rPr>
          <w:sz w:val="24"/>
          <w:szCs w:val="24"/>
        </w:rPr>
        <w:t xml:space="preserve">*Author for correspondence: </w:t>
      </w:r>
      <w:proofErr w:type="spellStart"/>
      <w:r w:rsidRPr="005D3F64">
        <w:rPr>
          <w:sz w:val="24"/>
          <w:szCs w:val="24"/>
        </w:rPr>
        <w:t>Jin</w:t>
      </w:r>
      <w:proofErr w:type="spellEnd"/>
      <w:r w:rsidRPr="005D3F64">
        <w:rPr>
          <w:sz w:val="24"/>
          <w:szCs w:val="24"/>
        </w:rPr>
        <w:t>-Woo Bae. Tel</w:t>
      </w:r>
      <w:r>
        <w:rPr>
          <w:sz w:val="24"/>
          <w:szCs w:val="24"/>
        </w:rPr>
        <w:t>.</w:t>
      </w:r>
      <w:r w:rsidRPr="005D3F64">
        <w:rPr>
          <w:sz w:val="24"/>
          <w:szCs w:val="24"/>
        </w:rPr>
        <w:t>: +82 2 961 2312. Fax: +82 2 961 9155. E-mail: baejw@khu.ac.kr</w:t>
      </w:r>
    </w:p>
    <w:p w:rsidR="0066452B" w:rsidRDefault="0066452B" w:rsidP="00C4799E">
      <w:pPr>
        <w:widowControl/>
        <w:wordWrap/>
        <w:autoSpaceDE/>
        <w:autoSpaceDN/>
        <w:spacing w:after="0" w:line="48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  <w:r w:rsidR="009E0F16"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4C38AE46">
            <wp:extent cx="6191250" cy="5785776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5792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F16" w:rsidRPr="001D3F88" w:rsidRDefault="009E0F16" w:rsidP="009E0F16">
      <w:pPr>
        <w:widowControl/>
        <w:wordWrap/>
        <w:autoSpaceDE/>
        <w:autoSpaceDN/>
        <w:spacing w:after="0" w:line="480" w:lineRule="auto"/>
        <w:rPr>
          <w:rFonts w:eastAsia="맑은 고딕"/>
          <w:sz w:val="24"/>
          <w:szCs w:val="24"/>
        </w:rPr>
      </w:pPr>
      <w:r>
        <w:rPr>
          <w:b/>
          <w:sz w:val="24"/>
          <w:szCs w:val="24"/>
        </w:rPr>
        <w:t xml:space="preserve">Supplementary </w:t>
      </w:r>
      <w:r w:rsidRPr="00D71576">
        <w:rPr>
          <w:b/>
          <w:sz w:val="24"/>
          <w:szCs w:val="24"/>
        </w:rPr>
        <w:t>Fig. S1.</w:t>
      </w:r>
      <w:r w:rsidRPr="0089702F">
        <w:rPr>
          <w:sz w:val="24"/>
          <w:szCs w:val="24"/>
        </w:rPr>
        <w:t xml:space="preserve"> Alpha diversity</w:t>
      </w:r>
      <w:r>
        <w:rPr>
          <w:sz w:val="24"/>
          <w:szCs w:val="24"/>
        </w:rPr>
        <w:t xml:space="preserve"> indices</w:t>
      </w:r>
      <w:r w:rsidRPr="0089702F">
        <w:rPr>
          <w:sz w:val="24"/>
          <w:szCs w:val="24"/>
        </w:rPr>
        <w:t xml:space="preserve"> of </w:t>
      </w:r>
      <w:r>
        <w:rPr>
          <w:sz w:val="24"/>
          <w:szCs w:val="24"/>
        </w:rPr>
        <w:t xml:space="preserve">the </w:t>
      </w:r>
      <w:r w:rsidRPr="0089702F">
        <w:rPr>
          <w:sz w:val="24"/>
          <w:szCs w:val="24"/>
        </w:rPr>
        <w:t>cephalopod gut microbiota</w:t>
      </w:r>
      <w:r w:rsidRPr="001D3F88">
        <w:rPr>
          <w:rFonts w:eastAsia="맑은 고딕"/>
          <w:sz w:val="24"/>
          <w:szCs w:val="24"/>
        </w:rPr>
        <w:t xml:space="preserve">. (a) </w:t>
      </w:r>
      <w:r w:rsidRPr="00E818AA">
        <w:rPr>
          <w:rFonts w:eastAsia="맑은 고딕"/>
          <w:sz w:val="24"/>
          <w:szCs w:val="24"/>
        </w:rPr>
        <w:t>Number of observed species.</w:t>
      </w:r>
      <w:r>
        <w:rPr>
          <w:rFonts w:eastAsia="맑은 고딕"/>
          <w:sz w:val="24"/>
          <w:szCs w:val="24"/>
        </w:rPr>
        <w:t xml:space="preserve"> </w:t>
      </w:r>
      <w:r w:rsidRPr="001D3F88">
        <w:rPr>
          <w:rFonts w:eastAsia="맑은 고딕"/>
          <w:sz w:val="24"/>
          <w:szCs w:val="24"/>
        </w:rPr>
        <w:t>(b)</w:t>
      </w:r>
      <w:r>
        <w:rPr>
          <w:rFonts w:eastAsia="맑은 고딕"/>
          <w:sz w:val="24"/>
          <w:szCs w:val="24"/>
        </w:rPr>
        <w:t xml:space="preserve"> Chao1 index.</w:t>
      </w:r>
      <w:r w:rsidRPr="001D3F88">
        <w:rPr>
          <w:rFonts w:eastAsia="맑은 고딕"/>
          <w:sz w:val="24"/>
          <w:szCs w:val="24"/>
        </w:rPr>
        <w:t xml:space="preserve"> (c)</w:t>
      </w:r>
      <w:r>
        <w:rPr>
          <w:rFonts w:eastAsia="맑은 고딕"/>
          <w:sz w:val="24"/>
          <w:szCs w:val="24"/>
        </w:rPr>
        <w:t xml:space="preserve"> Shannon diversity.</w:t>
      </w:r>
      <w:r w:rsidRPr="001D3F88">
        <w:rPr>
          <w:rFonts w:eastAsia="맑은 고딕"/>
          <w:sz w:val="24"/>
          <w:szCs w:val="24"/>
        </w:rPr>
        <w:t xml:space="preserve"> (d) Faith’s phylogenetic diversity.</w:t>
      </w:r>
      <w:r>
        <w:rPr>
          <w:rFonts w:eastAsia="맑은 고딕"/>
          <w:sz w:val="24"/>
          <w:szCs w:val="24"/>
        </w:rPr>
        <w:t xml:space="preserve"> </w:t>
      </w:r>
    </w:p>
    <w:p w:rsidR="00035F64" w:rsidRDefault="009E0F16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07F8CD7F">
            <wp:extent cx="5937885" cy="6297930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6297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F16" w:rsidRPr="001D3F88" w:rsidRDefault="009E0F16" w:rsidP="009E0F16">
      <w:pPr>
        <w:widowControl/>
        <w:wordWrap/>
        <w:autoSpaceDE/>
        <w:autoSpaceDN/>
        <w:spacing w:after="0" w:line="480" w:lineRule="auto"/>
        <w:rPr>
          <w:rFonts w:eastAsia="맑은 고딕"/>
          <w:sz w:val="24"/>
          <w:szCs w:val="24"/>
        </w:rPr>
      </w:pPr>
      <w:r w:rsidRPr="00E818AA">
        <w:rPr>
          <w:b/>
          <w:sz w:val="24"/>
          <w:szCs w:val="24"/>
        </w:rPr>
        <w:t xml:space="preserve">Supplementary </w:t>
      </w:r>
      <w:r w:rsidRPr="00D71576">
        <w:rPr>
          <w:b/>
          <w:sz w:val="24"/>
          <w:szCs w:val="24"/>
        </w:rPr>
        <w:t>Fig. S2.</w:t>
      </w:r>
      <w:r w:rsidRPr="0089702F">
        <w:rPr>
          <w:sz w:val="24"/>
          <w:szCs w:val="24"/>
        </w:rPr>
        <w:t xml:space="preserve"> </w:t>
      </w:r>
      <w:r w:rsidRPr="001D3F88">
        <w:rPr>
          <w:rFonts w:eastAsia="맑은 고딕"/>
          <w:sz w:val="24"/>
          <w:szCs w:val="24"/>
        </w:rPr>
        <w:t>Rarefaction curves</w:t>
      </w:r>
      <w:r>
        <w:rPr>
          <w:rFonts w:eastAsia="맑은 고딕"/>
          <w:sz w:val="24"/>
          <w:szCs w:val="24"/>
        </w:rPr>
        <w:t xml:space="preserve"> </w:t>
      </w:r>
      <w:r w:rsidRPr="001D3F88">
        <w:rPr>
          <w:rFonts w:eastAsia="맑은 고딕"/>
          <w:sz w:val="24"/>
          <w:szCs w:val="24"/>
        </w:rPr>
        <w:t xml:space="preserve">of the abundance-based coverage estimation against the cumulative number of identified OTUs. Coverage plots are </w:t>
      </w:r>
      <w:r>
        <w:rPr>
          <w:rFonts w:eastAsia="맑은 고딕"/>
          <w:sz w:val="24"/>
          <w:szCs w:val="24"/>
        </w:rPr>
        <w:t xml:space="preserve">generated with the number of observed species (a) and </w:t>
      </w:r>
      <w:r w:rsidRPr="00E818AA">
        <w:rPr>
          <w:rFonts w:eastAsia="맑은 고딕"/>
          <w:sz w:val="24"/>
          <w:szCs w:val="24"/>
        </w:rPr>
        <w:t>Faith’s phylogenetic diversity</w:t>
      </w:r>
      <w:r>
        <w:rPr>
          <w:rFonts w:eastAsia="맑은 고딕"/>
          <w:sz w:val="24"/>
          <w:szCs w:val="24"/>
        </w:rPr>
        <w:t xml:space="preserve"> (b)</w:t>
      </w:r>
      <w:r w:rsidRPr="001D3F88">
        <w:rPr>
          <w:rFonts w:eastAsia="맑은 고딕"/>
          <w:sz w:val="24"/>
          <w:szCs w:val="24"/>
        </w:rPr>
        <w:t xml:space="preserve"> for individual samples (a) and species (b). </w:t>
      </w:r>
      <w:r>
        <w:rPr>
          <w:rFonts w:eastAsia="맑은 고딕"/>
          <w:sz w:val="24"/>
          <w:szCs w:val="24"/>
        </w:rPr>
        <w:t>Line c</w:t>
      </w:r>
      <w:r w:rsidRPr="00E818AA">
        <w:rPr>
          <w:rFonts w:eastAsia="맑은 고딕"/>
          <w:sz w:val="24"/>
          <w:szCs w:val="24"/>
        </w:rPr>
        <w:t xml:space="preserve">olors </w:t>
      </w:r>
      <w:r>
        <w:rPr>
          <w:rFonts w:eastAsia="맑은 고딕"/>
          <w:sz w:val="24"/>
          <w:szCs w:val="24"/>
        </w:rPr>
        <w:t>in rarefaction curves</w:t>
      </w:r>
      <w:r w:rsidRPr="00E818AA">
        <w:rPr>
          <w:rFonts w:eastAsia="맑은 고딕"/>
          <w:sz w:val="24"/>
          <w:szCs w:val="24"/>
        </w:rPr>
        <w:t xml:space="preserve"> represent the host species</w:t>
      </w:r>
      <w:r>
        <w:rPr>
          <w:rFonts w:eastAsia="맑은 고딕"/>
          <w:sz w:val="24"/>
          <w:szCs w:val="24"/>
        </w:rPr>
        <w:t>.</w:t>
      </w:r>
    </w:p>
    <w:p w:rsidR="009E0F16" w:rsidRDefault="009E0F16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</w:p>
    <w:p w:rsidR="00035F64" w:rsidRDefault="00035F64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:rsidR="00035F64" w:rsidRDefault="009E0F16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5989AA26">
            <wp:extent cx="6151094" cy="4231005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146" cy="42413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F16" w:rsidRPr="009B41C4" w:rsidRDefault="009E0F16" w:rsidP="009E0F16">
      <w:pPr>
        <w:wordWrap/>
        <w:adjustRightInd w:val="0"/>
        <w:snapToGrid w:val="0"/>
        <w:spacing w:line="480" w:lineRule="auto"/>
        <w:rPr>
          <w:sz w:val="24"/>
          <w:szCs w:val="24"/>
        </w:rPr>
      </w:pPr>
      <w:r w:rsidRPr="00D71576">
        <w:rPr>
          <w:b/>
          <w:sz w:val="24"/>
          <w:szCs w:val="24"/>
        </w:rPr>
        <w:t>Supplementary Fig. S3.</w:t>
      </w:r>
      <w:r w:rsidRPr="0089702F">
        <w:rPr>
          <w:sz w:val="24"/>
          <w:szCs w:val="24"/>
        </w:rPr>
        <w:t xml:space="preserve"> Gut microbial c</w:t>
      </w:r>
      <w:r>
        <w:rPr>
          <w:sz w:val="24"/>
          <w:szCs w:val="24"/>
        </w:rPr>
        <w:t>ompositions</w:t>
      </w:r>
      <w:r w:rsidRPr="0089702F">
        <w:rPr>
          <w:sz w:val="24"/>
          <w:szCs w:val="24"/>
        </w:rPr>
        <w:t xml:space="preserve"> of cephalopods. The bacterial community compositions are displayed at the genus level. </w:t>
      </w:r>
      <w:r w:rsidRPr="009B41C4">
        <w:rPr>
          <w:sz w:val="24"/>
          <w:szCs w:val="24"/>
        </w:rPr>
        <w:t xml:space="preserve">Only genera with relative abundance &gt; 0.5% </w:t>
      </w:r>
      <w:r>
        <w:rPr>
          <w:sz w:val="24"/>
          <w:szCs w:val="24"/>
        </w:rPr>
        <w:t>are</w:t>
      </w:r>
      <w:r w:rsidRPr="009B41C4">
        <w:rPr>
          <w:sz w:val="24"/>
          <w:szCs w:val="24"/>
        </w:rPr>
        <w:t xml:space="preserve"> shown, and others </w:t>
      </w:r>
      <w:r>
        <w:rPr>
          <w:sz w:val="24"/>
          <w:szCs w:val="24"/>
        </w:rPr>
        <w:t>are</w:t>
      </w:r>
      <w:r w:rsidRPr="009B41C4">
        <w:rPr>
          <w:sz w:val="24"/>
          <w:szCs w:val="24"/>
        </w:rPr>
        <w:t xml:space="preserve"> </w:t>
      </w:r>
      <w:r>
        <w:rPr>
          <w:sz w:val="24"/>
          <w:szCs w:val="24"/>
        </w:rPr>
        <w:t>classified as</w:t>
      </w:r>
      <w:r w:rsidRPr="009B41C4">
        <w:rPr>
          <w:sz w:val="24"/>
          <w:szCs w:val="24"/>
        </w:rPr>
        <w:t xml:space="preserve"> "Other</w:t>
      </w:r>
      <w:r>
        <w:rPr>
          <w:sz w:val="24"/>
          <w:szCs w:val="24"/>
        </w:rPr>
        <w:t>s.</w:t>
      </w:r>
      <w:r w:rsidRPr="009B41C4">
        <w:rPr>
          <w:sz w:val="24"/>
          <w:szCs w:val="24"/>
        </w:rPr>
        <w:t>"</w:t>
      </w:r>
    </w:p>
    <w:p w:rsidR="00035F64" w:rsidRPr="009E0F16" w:rsidRDefault="00035F64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</w:p>
    <w:p w:rsidR="00035F64" w:rsidRDefault="00035F64">
      <w:pPr>
        <w:widowControl/>
        <w:wordWrap/>
        <w:autoSpaceDE/>
        <w:autoSpaceDN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:rsidR="0066452B" w:rsidRDefault="009E0F16" w:rsidP="0066452B">
      <w:pPr>
        <w:widowControl/>
        <w:wordWrap/>
        <w:autoSpaceDE/>
        <w:autoSpaceDN/>
        <w:spacing w:after="0" w:line="480" w:lineRule="auto"/>
        <w:jc w:val="center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55D21064">
            <wp:extent cx="6158230" cy="4259428"/>
            <wp:effectExtent l="0" t="0" r="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37" cy="4267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F16" w:rsidRPr="002438B6" w:rsidRDefault="009E0F16" w:rsidP="009E0F16">
      <w:pPr>
        <w:wordWrap/>
        <w:adjustRightInd w:val="0"/>
        <w:snapToGrid w:val="0"/>
        <w:spacing w:line="480" w:lineRule="auto"/>
        <w:rPr>
          <w:sz w:val="24"/>
          <w:szCs w:val="24"/>
        </w:rPr>
      </w:pPr>
      <w:r w:rsidRPr="002438B6">
        <w:rPr>
          <w:b/>
          <w:sz w:val="24"/>
          <w:szCs w:val="24"/>
        </w:rPr>
        <w:t>Supplementary Fig. S</w:t>
      </w:r>
      <w:r>
        <w:rPr>
          <w:b/>
          <w:sz w:val="24"/>
          <w:szCs w:val="24"/>
        </w:rPr>
        <w:t>4</w:t>
      </w:r>
      <w:r w:rsidRPr="002438B6">
        <w:rPr>
          <w:b/>
          <w:sz w:val="24"/>
          <w:szCs w:val="24"/>
        </w:rPr>
        <w:t>.</w:t>
      </w:r>
      <w:r w:rsidRPr="002438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Distributions of </w:t>
      </w:r>
      <w:r w:rsidRPr="00D71576">
        <w:rPr>
          <w:i/>
          <w:sz w:val="24"/>
          <w:szCs w:val="24"/>
        </w:rPr>
        <w:t>Photobacterium</w:t>
      </w:r>
      <w:r>
        <w:rPr>
          <w:sz w:val="24"/>
          <w:szCs w:val="24"/>
        </w:rPr>
        <w:t xml:space="preserve"> and </w:t>
      </w:r>
      <w:r w:rsidRPr="00D71576">
        <w:rPr>
          <w:i/>
          <w:sz w:val="24"/>
          <w:szCs w:val="24"/>
        </w:rPr>
        <w:t>Mycoplasma</w:t>
      </w:r>
      <w:r>
        <w:rPr>
          <w:sz w:val="24"/>
          <w:szCs w:val="24"/>
        </w:rPr>
        <w:t xml:space="preserve"> OTUs and </w:t>
      </w:r>
      <w:proofErr w:type="spellStart"/>
      <w:r>
        <w:rPr>
          <w:sz w:val="24"/>
          <w:szCs w:val="24"/>
        </w:rPr>
        <w:t>oligotypes</w:t>
      </w:r>
      <w:proofErr w:type="spellEnd"/>
      <w:r>
        <w:rPr>
          <w:sz w:val="24"/>
          <w:szCs w:val="24"/>
        </w:rPr>
        <w:t xml:space="preserve"> in cephalopod gut microbiomes. The distributions of 97% clustered OTUs assigned to </w:t>
      </w:r>
      <w:r w:rsidRPr="00246371">
        <w:rPr>
          <w:i/>
          <w:sz w:val="24"/>
          <w:szCs w:val="24"/>
        </w:rPr>
        <w:t>Photobacterium</w:t>
      </w:r>
      <w:r w:rsidRPr="00246371">
        <w:rPr>
          <w:sz w:val="24"/>
          <w:szCs w:val="24"/>
        </w:rPr>
        <w:t xml:space="preserve"> and </w:t>
      </w:r>
      <w:r w:rsidRPr="00246371">
        <w:rPr>
          <w:i/>
          <w:sz w:val="24"/>
          <w:szCs w:val="24"/>
        </w:rPr>
        <w:t>Mycoplasma</w:t>
      </w:r>
      <w:r w:rsidRPr="00D7157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(a–b) are compared with re-clustered </w:t>
      </w:r>
      <w:proofErr w:type="spellStart"/>
      <w:r w:rsidRPr="00246371">
        <w:rPr>
          <w:sz w:val="24"/>
          <w:szCs w:val="24"/>
        </w:rPr>
        <w:t>oligotypes</w:t>
      </w:r>
      <w:proofErr w:type="spellEnd"/>
      <w:r w:rsidRPr="00246371">
        <w:rPr>
          <w:sz w:val="24"/>
          <w:szCs w:val="24"/>
        </w:rPr>
        <w:t xml:space="preserve">, generated </w:t>
      </w:r>
      <w:r>
        <w:rPr>
          <w:sz w:val="24"/>
          <w:szCs w:val="24"/>
        </w:rPr>
        <w:t>using</w:t>
      </w:r>
      <w:r w:rsidRPr="0024637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 w:rsidRPr="00246371">
        <w:rPr>
          <w:sz w:val="24"/>
          <w:szCs w:val="24"/>
        </w:rPr>
        <w:t>MED</w:t>
      </w:r>
      <w:r>
        <w:rPr>
          <w:sz w:val="24"/>
          <w:szCs w:val="24"/>
        </w:rPr>
        <w:t xml:space="preserve"> pipeline with aligned sequence reads that originally matched to </w:t>
      </w:r>
      <w:r w:rsidRPr="00246371">
        <w:rPr>
          <w:i/>
          <w:sz w:val="24"/>
          <w:szCs w:val="24"/>
        </w:rPr>
        <w:t>Photobacterium</w:t>
      </w:r>
      <w:r w:rsidRPr="00246371">
        <w:rPr>
          <w:sz w:val="24"/>
          <w:szCs w:val="24"/>
        </w:rPr>
        <w:t xml:space="preserve"> and </w:t>
      </w:r>
      <w:r w:rsidRPr="00246371">
        <w:rPr>
          <w:i/>
          <w:sz w:val="24"/>
          <w:szCs w:val="24"/>
        </w:rPr>
        <w:t>Mycoplasma</w:t>
      </w:r>
      <w:r>
        <w:rPr>
          <w:sz w:val="24"/>
          <w:szCs w:val="24"/>
        </w:rPr>
        <w:t xml:space="preserve"> by the QIIME 1.9.1 pipeline.  </w:t>
      </w:r>
    </w:p>
    <w:p w:rsidR="0066452B" w:rsidRDefault="0066452B" w:rsidP="00C4799E">
      <w:pPr>
        <w:widowControl/>
        <w:wordWrap/>
        <w:autoSpaceDE/>
        <w:autoSpaceDN/>
        <w:spacing w:after="0" w:line="48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Theme="minorEastAsia"/>
          <w:noProof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28C748DB">
            <wp:extent cx="6187044" cy="7723198"/>
            <wp:effectExtent l="0" t="0" r="0" b="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730"/>
                    <a:stretch/>
                  </pic:blipFill>
                  <pic:spPr bwMode="auto">
                    <a:xfrm>
                      <a:off x="0" y="0"/>
                      <a:ext cx="6202370" cy="774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="맑은 고딕"/>
          <w:b/>
          <w:sz w:val="24"/>
          <w:szCs w:val="24"/>
        </w:rPr>
      </w:pP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="맑은 고딕"/>
          <w:b/>
          <w:sz w:val="24"/>
          <w:szCs w:val="24"/>
        </w:rPr>
      </w:pP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="맑은 고딕"/>
          <w:b/>
          <w:sz w:val="24"/>
          <w:szCs w:val="24"/>
        </w:rPr>
      </w:pP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="맑은 고딕"/>
          <w:b/>
          <w:sz w:val="24"/>
          <w:szCs w:val="24"/>
        </w:rPr>
      </w:pPr>
      <w:r>
        <w:rPr>
          <w:rFonts w:eastAsia="맑은 고딕"/>
          <w:b/>
          <w:noProof/>
          <w:sz w:val="24"/>
          <w:szCs w:val="24"/>
        </w:rPr>
        <w:lastRenderedPageBreak/>
        <w:drawing>
          <wp:inline distT="0" distB="0" distL="0" distR="0" wp14:anchorId="081CFC1D">
            <wp:extent cx="5558560" cy="8241475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601"/>
                    <a:stretch/>
                  </pic:blipFill>
                  <pic:spPr bwMode="auto">
                    <a:xfrm>
                      <a:off x="0" y="0"/>
                      <a:ext cx="5580489" cy="827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0F16" w:rsidRDefault="009E0F16" w:rsidP="00035F64">
      <w:pPr>
        <w:widowControl/>
        <w:wordWrap/>
        <w:autoSpaceDE/>
        <w:autoSpaceDN/>
        <w:spacing w:after="0" w:line="480" w:lineRule="auto"/>
        <w:rPr>
          <w:rFonts w:eastAsia="맑은 고딕"/>
          <w:b/>
          <w:sz w:val="24"/>
          <w:szCs w:val="24"/>
        </w:rPr>
      </w:pPr>
    </w:p>
    <w:p w:rsidR="009E0F16" w:rsidRPr="003F046B" w:rsidRDefault="009E0F16" w:rsidP="009E0F16">
      <w:pPr>
        <w:wordWrap/>
        <w:adjustRightInd w:val="0"/>
        <w:snapToGrid w:val="0"/>
        <w:spacing w:line="480" w:lineRule="auto"/>
        <w:rPr>
          <w:sz w:val="24"/>
          <w:szCs w:val="24"/>
        </w:rPr>
      </w:pPr>
      <w:r w:rsidRPr="00D71576">
        <w:rPr>
          <w:b/>
          <w:sz w:val="24"/>
          <w:szCs w:val="24"/>
        </w:rPr>
        <w:lastRenderedPageBreak/>
        <w:t>Supplementary Fig. S5.</w:t>
      </w:r>
      <w:r w:rsidRPr="003F046B">
        <w:rPr>
          <w:sz w:val="24"/>
          <w:szCs w:val="24"/>
        </w:rPr>
        <w:t xml:space="preserve"> Phylogenetic tree of the gen</w:t>
      </w:r>
      <w:r>
        <w:rPr>
          <w:sz w:val="24"/>
          <w:szCs w:val="24"/>
        </w:rPr>
        <w:t>era</w:t>
      </w:r>
      <w:r w:rsidRPr="003F046B">
        <w:rPr>
          <w:sz w:val="24"/>
          <w:szCs w:val="24"/>
        </w:rPr>
        <w:t xml:space="preserve"> </w:t>
      </w:r>
      <w:r w:rsidRPr="003F046B">
        <w:rPr>
          <w:i/>
          <w:sz w:val="24"/>
          <w:szCs w:val="24"/>
        </w:rPr>
        <w:t>Photobacterium</w:t>
      </w:r>
      <w:r w:rsidRPr="003F046B">
        <w:rPr>
          <w:sz w:val="24"/>
          <w:szCs w:val="24"/>
        </w:rPr>
        <w:t xml:space="preserve"> and </w:t>
      </w:r>
      <w:r w:rsidRPr="003F046B">
        <w:rPr>
          <w:i/>
          <w:sz w:val="24"/>
          <w:szCs w:val="24"/>
        </w:rPr>
        <w:t>Mycoplasma</w:t>
      </w:r>
      <w:r w:rsidRPr="003F046B">
        <w:rPr>
          <w:sz w:val="24"/>
          <w:szCs w:val="24"/>
        </w:rPr>
        <w:t xml:space="preserve"> </w:t>
      </w:r>
      <w:r>
        <w:rPr>
          <w:sz w:val="24"/>
          <w:szCs w:val="24"/>
        </w:rPr>
        <w:t>based on</w:t>
      </w:r>
      <w:r w:rsidRPr="003F046B">
        <w:rPr>
          <w:sz w:val="24"/>
          <w:szCs w:val="24"/>
        </w:rPr>
        <w:t xml:space="preserve"> </w:t>
      </w:r>
      <w:proofErr w:type="spellStart"/>
      <w:r w:rsidRPr="00D71576">
        <w:rPr>
          <w:sz w:val="24"/>
          <w:szCs w:val="24"/>
        </w:rPr>
        <w:t>oligotypes</w:t>
      </w:r>
      <w:proofErr w:type="spellEnd"/>
      <w:r w:rsidRPr="00D71576">
        <w:rPr>
          <w:sz w:val="24"/>
          <w:szCs w:val="24"/>
        </w:rPr>
        <w:t xml:space="preserve"> (maximum likelihood tree with 1000 bootstrap</w:t>
      </w:r>
      <w:r>
        <w:rPr>
          <w:sz w:val="24"/>
          <w:szCs w:val="24"/>
        </w:rPr>
        <w:t xml:space="preserve"> replicates</w:t>
      </w:r>
      <w:r w:rsidRPr="00D71576">
        <w:rPr>
          <w:sz w:val="24"/>
          <w:szCs w:val="24"/>
        </w:rPr>
        <w:t xml:space="preserve"> and </w:t>
      </w:r>
      <w:r>
        <w:rPr>
          <w:sz w:val="24"/>
          <w:szCs w:val="24"/>
        </w:rPr>
        <w:t>the</w:t>
      </w:r>
      <w:r w:rsidRPr="00D71576">
        <w:rPr>
          <w:sz w:val="24"/>
          <w:szCs w:val="24"/>
        </w:rPr>
        <w:t xml:space="preserve"> GTR + </w:t>
      </w:r>
      <w:r>
        <w:rPr>
          <w:sz w:val="24"/>
          <w:szCs w:val="24"/>
        </w:rPr>
        <w:t>Gamma</w:t>
      </w:r>
      <w:r w:rsidRPr="00D71576">
        <w:rPr>
          <w:sz w:val="24"/>
          <w:szCs w:val="24"/>
        </w:rPr>
        <w:t xml:space="preserve"> </w:t>
      </w:r>
      <w:r>
        <w:rPr>
          <w:sz w:val="24"/>
          <w:szCs w:val="24"/>
        </w:rPr>
        <w:t>model</w:t>
      </w:r>
      <w:r w:rsidRPr="00D71576">
        <w:rPr>
          <w:sz w:val="24"/>
          <w:szCs w:val="24"/>
        </w:rPr>
        <w:t>). </w:t>
      </w:r>
      <w:r w:rsidRPr="003F046B">
        <w:rPr>
          <w:sz w:val="24"/>
          <w:szCs w:val="24"/>
        </w:rPr>
        <w:t>Bar graphs are color coded to show the p</w:t>
      </w:r>
      <w:r>
        <w:rPr>
          <w:sz w:val="24"/>
          <w:szCs w:val="24"/>
        </w:rPr>
        <w:t>roportions</w:t>
      </w:r>
      <w:r w:rsidRPr="003F046B">
        <w:rPr>
          <w:sz w:val="24"/>
          <w:szCs w:val="24"/>
        </w:rPr>
        <w:t xml:space="preserve"> of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oligotypes</w:t>
      </w:r>
      <w:proofErr w:type="spellEnd"/>
      <w:r>
        <w:rPr>
          <w:sz w:val="24"/>
          <w:szCs w:val="24"/>
        </w:rPr>
        <w:t xml:space="preserve"> assigned to</w:t>
      </w:r>
      <w:r w:rsidRPr="003F046B">
        <w:rPr>
          <w:sz w:val="24"/>
          <w:szCs w:val="24"/>
        </w:rPr>
        <w:t xml:space="preserve"> </w:t>
      </w:r>
      <w:r w:rsidRPr="003F046B">
        <w:rPr>
          <w:i/>
          <w:sz w:val="24"/>
          <w:szCs w:val="24"/>
        </w:rPr>
        <w:t>Photobacterium</w:t>
      </w:r>
      <w:r>
        <w:rPr>
          <w:i/>
          <w:sz w:val="24"/>
          <w:szCs w:val="24"/>
        </w:rPr>
        <w:t xml:space="preserve"> </w:t>
      </w:r>
      <w:r w:rsidRPr="00D71576">
        <w:rPr>
          <w:sz w:val="24"/>
          <w:szCs w:val="24"/>
        </w:rPr>
        <w:t>(a)</w:t>
      </w:r>
      <w:r w:rsidRPr="003F046B">
        <w:rPr>
          <w:sz w:val="24"/>
          <w:szCs w:val="24"/>
        </w:rPr>
        <w:t xml:space="preserve"> and </w:t>
      </w:r>
      <w:r w:rsidRPr="003F046B">
        <w:rPr>
          <w:i/>
          <w:sz w:val="24"/>
          <w:szCs w:val="24"/>
        </w:rPr>
        <w:t>Mycoplasma</w:t>
      </w:r>
      <w:r w:rsidRPr="003F046B">
        <w:rPr>
          <w:sz w:val="24"/>
          <w:szCs w:val="24"/>
        </w:rPr>
        <w:t xml:space="preserve"> </w:t>
      </w:r>
      <w:r>
        <w:rPr>
          <w:sz w:val="24"/>
          <w:szCs w:val="24"/>
        </w:rPr>
        <w:t>(b) in each cephalopod species.</w:t>
      </w:r>
    </w:p>
    <w:p w:rsidR="0053755C" w:rsidRDefault="0053755C" w:rsidP="00C4799E">
      <w:pPr>
        <w:widowControl/>
        <w:wordWrap/>
        <w:autoSpaceDE/>
        <w:autoSpaceDN/>
        <w:spacing w:after="0" w:line="480" w:lineRule="auto"/>
        <w:rPr>
          <w:rFonts w:eastAsia="맑은 고딕"/>
          <w:sz w:val="24"/>
          <w:szCs w:val="24"/>
        </w:rPr>
      </w:pPr>
      <w:r>
        <w:rPr>
          <w:rFonts w:eastAsia="맑은 고딕"/>
          <w:sz w:val="24"/>
          <w:szCs w:val="24"/>
        </w:rPr>
        <w:br w:type="page"/>
      </w:r>
    </w:p>
    <w:p w:rsidR="0053755C" w:rsidRDefault="00D242F3" w:rsidP="0053755C">
      <w:pPr>
        <w:widowControl/>
        <w:wordWrap/>
        <w:autoSpaceDE/>
        <w:autoSpaceDN/>
        <w:spacing w:after="0"/>
        <w:rPr>
          <w:rFonts w:eastAsia="맑은 고딕"/>
          <w:b/>
          <w:sz w:val="24"/>
          <w:szCs w:val="24"/>
        </w:rPr>
      </w:pPr>
      <w:r>
        <w:rPr>
          <w:rFonts w:eastAsia="맑은 고딕"/>
          <w:b/>
          <w:noProof/>
          <w:sz w:val="24"/>
          <w:szCs w:val="24"/>
        </w:rPr>
        <w:lastRenderedPageBreak/>
        <w:drawing>
          <wp:inline distT="0" distB="0" distL="0" distR="0" wp14:anchorId="0E136987">
            <wp:extent cx="6185139" cy="4766190"/>
            <wp:effectExtent l="0" t="0" r="635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809" cy="477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0F16" w:rsidRDefault="009E0F16" w:rsidP="009E0F16">
      <w:pPr>
        <w:wordWrap/>
        <w:adjustRightInd w:val="0"/>
        <w:snapToGrid w:val="0"/>
        <w:spacing w:after="0" w:line="480" w:lineRule="auto"/>
        <w:rPr>
          <w:sz w:val="24"/>
          <w:szCs w:val="24"/>
        </w:rPr>
      </w:pPr>
      <w:r w:rsidRPr="00D71576">
        <w:rPr>
          <w:b/>
          <w:sz w:val="24"/>
          <w:szCs w:val="24"/>
        </w:rPr>
        <w:t>Supplementary Fig. S6.</w:t>
      </w:r>
      <w:r w:rsidRPr="0089702F">
        <w:rPr>
          <w:sz w:val="24"/>
          <w:szCs w:val="24"/>
        </w:rPr>
        <w:t xml:space="preserve"> </w:t>
      </w:r>
      <w:r>
        <w:rPr>
          <w:sz w:val="24"/>
          <w:szCs w:val="24"/>
        </w:rPr>
        <w:t>Effects of host sex on</w:t>
      </w:r>
      <w:r w:rsidRPr="0089702F">
        <w:rPr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 w:rsidRPr="0089702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gut microbiota of </w:t>
      </w:r>
      <w:r w:rsidRPr="0089702F">
        <w:rPr>
          <w:sz w:val="24"/>
          <w:szCs w:val="24"/>
        </w:rPr>
        <w:t>cephalopod</w:t>
      </w:r>
      <w:r>
        <w:rPr>
          <w:sz w:val="24"/>
          <w:szCs w:val="24"/>
        </w:rPr>
        <w:t>s</w:t>
      </w:r>
      <w:r w:rsidRPr="0089702F">
        <w:rPr>
          <w:sz w:val="24"/>
          <w:szCs w:val="24"/>
        </w:rPr>
        <w:t xml:space="preserve">. </w:t>
      </w:r>
      <w:r>
        <w:rPr>
          <w:sz w:val="24"/>
          <w:szCs w:val="24"/>
        </w:rPr>
        <w:t>(</w:t>
      </w:r>
      <w:r w:rsidRPr="0089702F">
        <w:rPr>
          <w:sz w:val="24"/>
          <w:szCs w:val="24"/>
        </w:rPr>
        <w:t>a</w:t>
      </w:r>
      <w:r>
        <w:rPr>
          <w:sz w:val="24"/>
          <w:szCs w:val="24"/>
        </w:rPr>
        <w:t>)</w:t>
      </w:r>
      <w:r w:rsidRPr="0089702F">
        <w:rPr>
          <w:sz w:val="24"/>
          <w:szCs w:val="24"/>
        </w:rPr>
        <w:t xml:space="preserve"> </w:t>
      </w:r>
      <w:proofErr w:type="spellStart"/>
      <w:r w:rsidRPr="000932E0">
        <w:rPr>
          <w:sz w:val="24"/>
          <w:szCs w:val="24"/>
        </w:rPr>
        <w:t>PCoA</w:t>
      </w:r>
      <w:proofErr w:type="spellEnd"/>
      <w:r w:rsidRPr="000932E0">
        <w:rPr>
          <w:sz w:val="24"/>
          <w:szCs w:val="24"/>
        </w:rPr>
        <w:t xml:space="preserve"> of unweighted </w:t>
      </w:r>
      <w:proofErr w:type="spellStart"/>
      <w:r w:rsidRPr="000932E0">
        <w:rPr>
          <w:sz w:val="24"/>
          <w:szCs w:val="24"/>
        </w:rPr>
        <w:t>UniFrac</w:t>
      </w:r>
      <w:proofErr w:type="spellEnd"/>
      <w:r w:rsidRPr="000932E0">
        <w:rPr>
          <w:sz w:val="24"/>
          <w:szCs w:val="24"/>
        </w:rPr>
        <w:t xml:space="preserve"> distances between </w:t>
      </w:r>
      <w:r>
        <w:rPr>
          <w:sz w:val="24"/>
          <w:szCs w:val="24"/>
        </w:rPr>
        <w:t xml:space="preserve">male and female </w:t>
      </w:r>
      <w:r w:rsidRPr="000932E0">
        <w:rPr>
          <w:sz w:val="24"/>
          <w:szCs w:val="24"/>
        </w:rPr>
        <w:t xml:space="preserve">cephalopod samples. The colors of dots represent the </w:t>
      </w:r>
      <w:r>
        <w:rPr>
          <w:sz w:val="24"/>
          <w:szCs w:val="24"/>
        </w:rPr>
        <w:t xml:space="preserve">sex of </w:t>
      </w:r>
      <w:r w:rsidRPr="000932E0">
        <w:rPr>
          <w:sz w:val="24"/>
          <w:szCs w:val="24"/>
        </w:rPr>
        <w:t>host cephalopod species</w:t>
      </w:r>
      <w:r>
        <w:rPr>
          <w:sz w:val="24"/>
          <w:szCs w:val="24"/>
        </w:rPr>
        <w:t xml:space="preserve"> </w:t>
      </w:r>
      <w:r w:rsidRPr="000932E0">
        <w:rPr>
          <w:sz w:val="24"/>
          <w:szCs w:val="24"/>
        </w:rPr>
        <w:t xml:space="preserve">(ANOSIM, </w:t>
      </w:r>
      <w:r w:rsidRPr="000932E0">
        <w:rPr>
          <w:i/>
          <w:iCs/>
          <w:sz w:val="24"/>
          <w:szCs w:val="24"/>
        </w:rPr>
        <w:t>R</w:t>
      </w:r>
      <w:r w:rsidRPr="000932E0">
        <w:rPr>
          <w:sz w:val="24"/>
          <w:szCs w:val="24"/>
        </w:rPr>
        <w:t xml:space="preserve"> = 0.</w:t>
      </w:r>
      <w:r>
        <w:rPr>
          <w:sz w:val="24"/>
          <w:szCs w:val="24"/>
        </w:rPr>
        <w:t>07</w:t>
      </w:r>
      <w:r w:rsidRPr="000932E0">
        <w:rPr>
          <w:sz w:val="24"/>
          <w:szCs w:val="24"/>
        </w:rPr>
        <w:t>, p &lt; 0.1</w:t>
      </w:r>
      <w:r>
        <w:rPr>
          <w:sz w:val="24"/>
          <w:szCs w:val="24"/>
        </w:rPr>
        <w:t>50</w:t>
      </w:r>
      <w:r w:rsidRPr="000932E0">
        <w:rPr>
          <w:sz w:val="24"/>
          <w:szCs w:val="24"/>
        </w:rPr>
        <w:t xml:space="preserve">; </w:t>
      </w:r>
      <w:proofErr w:type="spellStart"/>
      <w:r w:rsidRPr="000932E0">
        <w:rPr>
          <w:sz w:val="24"/>
          <w:szCs w:val="24"/>
        </w:rPr>
        <w:t>adonis</w:t>
      </w:r>
      <w:proofErr w:type="spellEnd"/>
      <w:r w:rsidRPr="000932E0">
        <w:rPr>
          <w:sz w:val="24"/>
          <w:szCs w:val="24"/>
        </w:rPr>
        <w:t xml:space="preserve">, </w:t>
      </w:r>
      <w:r w:rsidRPr="000932E0">
        <w:rPr>
          <w:i/>
          <w:sz w:val="24"/>
          <w:szCs w:val="24"/>
        </w:rPr>
        <w:t>R</w:t>
      </w:r>
      <w:r w:rsidRPr="000932E0">
        <w:rPr>
          <w:i/>
          <w:sz w:val="24"/>
          <w:szCs w:val="24"/>
          <w:vertAlign w:val="superscript"/>
        </w:rPr>
        <w:t>2</w:t>
      </w:r>
      <w:r w:rsidRPr="000932E0">
        <w:rPr>
          <w:sz w:val="24"/>
          <w:szCs w:val="24"/>
        </w:rPr>
        <w:t xml:space="preserve"> = 0.</w:t>
      </w:r>
      <w:r>
        <w:rPr>
          <w:sz w:val="24"/>
          <w:szCs w:val="24"/>
        </w:rPr>
        <w:t>04</w:t>
      </w:r>
      <w:r w:rsidRPr="000932E0">
        <w:rPr>
          <w:sz w:val="24"/>
          <w:szCs w:val="24"/>
        </w:rPr>
        <w:t>, p &lt; 0.</w:t>
      </w:r>
      <w:r>
        <w:rPr>
          <w:sz w:val="24"/>
          <w:szCs w:val="24"/>
        </w:rPr>
        <w:t>250</w:t>
      </w:r>
      <w:r w:rsidRPr="000932E0">
        <w:rPr>
          <w:sz w:val="24"/>
          <w:szCs w:val="24"/>
        </w:rPr>
        <w:t>).</w:t>
      </w:r>
      <w:r>
        <w:rPr>
          <w:sz w:val="24"/>
          <w:szCs w:val="24"/>
        </w:rPr>
        <w:t xml:space="preserve"> </w:t>
      </w:r>
      <w:r w:rsidRPr="000932E0">
        <w:rPr>
          <w:sz w:val="24"/>
          <w:szCs w:val="24"/>
        </w:rPr>
        <w:t>(</w:t>
      </w:r>
      <w:r>
        <w:rPr>
          <w:sz w:val="24"/>
          <w:szCs w:val="24"/>
        </w:rPr>
        <w:t>b–</w:t>
      </w:r>
      <w:r w:rsidRPr="000932E0">
        <w:rPr>
          <w:sz w:val="24"/>
          <w:szCs w:val="24"/>
        </w:rPr>
        <w:t xml:space="preserve">c) Comparisons of microbial similarities </w:t>
      </w:r>
      <w:r>
        <w:rPr>
          <w:sz w:val="24"/>
          <w:szCs w:val="24"/>
        </w:rPr>
        <w:t>for</w:t>
      </w:r>
      <w:r w:rsidRPr="000932E0">
        <w:rPr>
          <w:sz w:val="24"/>
          <w:szCs w:val="24"/>
        </w:rPr>
        <w:t xml:space="preserve"> </w:t>
      </w:r>
      <w:r w:rsidRPr="003250AE">
        <w:rPr>
          <w:sz w:val="24"/>
          <w:szCs w:val="24"/>
        </w:rPr>
        <w:t xml:space="preserve">all cephalopod members of the same sex and the opposite sex (b) and members </w:t>
      </w:r>
      <w:r>
        <w:rPr>
          <w:sz w:val="24"/>
          <w:szCs w:val="24"/>
        </w:rPr>
        <w:t>belonging</w:t>
      </w:r>
      <w:r w:rsidRPr="003250AE">
        <w:rPr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 w:rsidRPr="003250AE">
        <w:rPr>
          <w:sz w:val="24"/>
          <w:szCs w:val="24"/>
        </w:rPr>
        <w:t xml:space="preserve"> </w:t>
      </w:r>
      <w:proofErr w:type="spellStart"/>
      <w:r w:rsidRPr="003250AE">
        <w:rPr>
          <w:i/>
          <w:sz w:val="24"/>
          <w:szCs w:val="24"/>
        </w:rPr>
        <w:t>Teuthida</w:t>
      </w:r>
      <w:proofErr w:type="spellEnd"/>
      <w:r w:rsidRPr="003250AE">
        <w:rPr>
          <w:sz w:val="24"/>
          <w:szCs w:val="24"/>
        </w:rPr>
        <w:t xml:space="preserve">, </w:t>
      </w:r>
      <w:proofErr w:type="spellStart"/>
      <w:r w:rsidRPr="003250AE">
        <w:rPr>
          <w:i/>
          <w:sz w:val="24"/>
          <w:szCs w:val="24"/>
        </w:rPr>
        <w:t>Sepiida</w:t>
      </w:r>
      <w:proofErr w:type="spellEnd"/>
      <w:r w:rsidRPr="00AB0579">
        <w:rPr>
          <w:iCs/>
          <w:sz w:val="24"/>
          <w:szCs w:val="24"/>
        </w:rPr>
        <w:t>,</w:t>
      </w:r>
      <w:r w:rsidRPr="003250AE">
        <w:rPr>
          <w:sz w:val="24"/>
          <w:szCs w:val="24"/>
        </w:rPr>
        <w:t xml:space="preserve"> and </w:t>
      </w:r>
      <w:r w:rsidRPr="003250AE">
        <w:rPr>
          <w:i/>
          <w:sz w:val="24"/>
          <w:szCs w:val="24"/>
        </w:rPr>
        <w:t>Octopoda</w:t>
      </w:r>
      <w:r w:rsidRPr="003250AE">
        <w:rPr>
          <w:sz w:val="24"/>
          <w:szCs w:val="24"/>
        </w:rPr>
        <w:t xml:space="preserve"> of the same </w:t>
      </w:r>
      <w:r>
        <w:rPr>
          <w:sz w:val="24"/>
          <w:szCs w:val="24"/>
        </w:rPr>
        <w:t>and</w:t>
      </w:r>
      <w:r w:rsidRPr="003250AE">
        <w:rPr>
          <w:sz w:val="24"/>
          <w:szCs w:val="24"/>
        </w:rPr>
        <w:t xml:space="preserve"> opposite sex</w:t>
      </w:r>
      <w:r w:rsidRPr="000932E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(c) </w:t>
      </w:r>
      <w:r w:rsidRPr="000932E0">
        <w:rPr>
          <w:sz w:val="24"/>
          <w:szCs w:val="24"/>
        </w:rPr>
        <w:t xml:space="preserve">based on unweighted </w:t>
      </w:r>
      <w:proofErr w:type="spellStart"/>
      <w:r w:rsidRPr="000932E0">
        <w:rPr>
          <w:sz w:val="24"/>
          <w:szCs w:val="24"/>
        </w:rPr>
        <w:t>UniFrac</w:t>
      </w:r>
      <w:proofErr w:type="spellEnd"/>
      <w:r w:rsidRPr="000932E0">
        <w:rPr>
          <w:sz w:val="24"/>
          <w:szCs w:val="24"/>
        </w:rPr>
        <w:t xml:space="preserve"> distances.</w:t>
      </w:r>
      <w:r>
        <w:rPr>
          <w:sz w:val="24"/>
          <w:szCs w:val="24"/>
        </w:rPr>
        <w:t xml:space="preserve"> </w:t>
      </w:r>
      <w:r w:rsidRPr="000932E0">
        <w:rPr>
          <w:sz w:val="24"/>
          <w:szCs w:val="24"/>
        </w:rPr>
        <w:t xml:space="preserve">Asterisks indicate significant differences between the unweighted </w:t>
      </w:r>
      <w:proofErr w:type="spellStart"/>
      <w:r w:rsidRPr="000932E0">
        <w:rPr>
          <w:sz w:val="24"/>
          <w:szCs w:val="24"/>
        </w:rPr>
        <w:t>UniFrac</w:t>
      </w:r>
      <w:proofErr w:type="spellEnd"/>
      <w:r w:rsidRPr="000932E0">
        <w:rPr>
          <w:sz w:val="24"/>
          <w:szCs w:val="24"/>
        </w:rPr>
        <w:t xml:space="preserve"> distances according to two-tailed Mann–Whitney </w:t>
      </w:r>
      <w:r w:rsidRPr="000932E0">
        <w:rPr>
          <w:i/>
          <w:iCs/>
          <w:sz w:val="24"/>
          <w:szCs w:val="24"/>
        </w:rPr>
        <w:t>U</w:t>
      </w:r>
      <w:r w:rsidRPr="000932E0">
        <w:rPr>
          <w:sz w:val="24"/>
          <w:szCs w:val="24"/>
        </w:rPr>
        <w:t>-test</w:t>
      </w:r>
      <w:r>
        <w:rPr>
          <w:sz w:val="24"/>
          <w:szCs w:val="24"/>
        </w:rPr>
        <w:t>s</w:t>
      </w:r>
      <w:r w:rsidRPr="000932E0">
        <w:rPr>
          <w:sz w:val="24"/>
          <w:szCs w:val="24"/>
        </w:rPr>
        <w:t>. *p &lt; 0.05, **p &lt; 0.01; ***p &lt; 0.001.</w:t>
      </w:r>
    </w:p>
    <w:p w:rsidR="0053755C" w:rsidRDefault="0053755C" w:rsidP="00C4799E">
      <w:pPr>
        <w:widowControl/>
        <w:wordWrap/>
        <w:autoSpaceDE/>
        <w:autoSpaceDN/>
        <w:spacing w:line="480" w:lineRule="auto"/>
        <w:rPr>
          <w:rFonts w:eastAsia="맑은 고딕"/>
          <w:sz w:val="24"/>
          <w:szCs w:val="24"/>
        </w:rPr>
      </w:pPr>
      <w:r>
        <w:rPr>
          <w:rFonts w:eastAsia="맑은 고딕"/>
          <w:sz w:val="24"/>
          <w:szCs w:val="24"/>
        </w:rPr>
        <w:br w:type="page"/>
      </w:r>
    </w:p>
    <w:p w:rsidR="0053755C" w:rsidRDefault="009E0F16" w:rsidP="0053755C">
      <w:pPr>
        <w:widowControl/>
        <w:wordWrap/>
        <w:autoSpaceDE/>
        <w:autoSpaceDN/>
        <w:spacing w:after="0" w:line="48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w:lastRenderedPageBreak/>
        <w:drawing>
          <wp:inline distT="0" distB="0" distL="0" distR="0" wp14:anchorId="54912286">
            <wp:extent cx="6191448" cy="2565296"/>
            <wp:effectExtent l="0" t="0" r="0" b="0"/>
            <wp:docPr id="104" name="그림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887" cy="2580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755C" w:rsidRPr="009E0F16" w:rsidRDefault="009E0F16" w:rsidP="009E0F16">
      <w:pPr>
        <w:wordWrap/>
        <w:adjustRightInd w:val="0"/>
        <w:snapToGrid w:val="0"/>
        <w:spacing w:after="0" w:line="480" w:lineRule="auto"/>
        <w:rPr>
          <w:rFonts w:eastAsiaTheme="minorEastAsia"/>
          <w:sz w:val="24"/>
          <w:szCs w:val="24"/>
        </w:rPr>
      </w:pPr>
      <w:bookmarkStart w:id="1" w:name="_Hlk72693808"/>
      <w:r w:rsidRPr="00D71576">
        <w:rPr>
          <w:b/>
          <w:sz w:val="24"/>
          <w:szCs w:val="24"/>
        </w:rPr>
        <w:t>Supplementary Fig</w:t>
      </w:r>
      <w:r w:rsidRPr="0058024A">
        <w:rPr>
          <w:b/>
          <w:sz w:val="24"/>
          <w:szCs w:val="24"/>
        </w:rPr>
        <w:t>. S7.</w:t>
      </w:r>
      <w:r>
        <w:rPr>
          <w:sz w:val="24"/>
          <w:szCs w:val="24"/>
        </w:rPr>
        <w:t xml:space="preserve"> Environmental factors (habitat and dietary preference) shaping the gut microbiome in cephalopods. (a) </w:t>
      </w:r>
      <w:proofErr w:type="spellStart"/>
      <w:r w:rsidRPr="006106E3">
        <w:rPr>
          <w:sz w:val="24"/>
          <w:szCs w:val="24"/>
        </w:rPr>
        <w:t>PCoA</w:t>
      </w:r>
      <w:proofErr w:type="spellEnd"/>
      <w:r w:rsidRPr="006106E3">
        <w:rPr>
          <w:sz w:val="24"/>
          <w:szCs w:val="24"/>
        </w:rPr>
        <w:t xml:space="preserve"> of the binary Jaccard </w:t>
      </w:r>
      <w:r>
        <w:rPr>
          <w:sz w:val="24"/>
          <w:szCs w:val="24"/>
        </w:rPr>
        <w:t>index</w:t>
      </w:r>
      <w:r w:rsidRPr="006106E3">
        <w:rPr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 w:rsidRPr="006106E3">
        <w:rPr>
          <w:sz w:val="24"/>
          <w:szCs w:val="24"/>
        </w:rPr>
        <w:t xml:space="preserve"> the gut microbiota </w:t>
      </w:r>
      <w:r>
        <w:rPr>
          <w:sz w:val="24"/>
          <w:szCs w:val="24"/>
        </w:rPr>
        <w:t>of</w:t>
      </w:r>
      <w:r w:rsidRPr="006106E3">
        <w:rPr>
          <w:sz w:val="24"/>
          <w:szCs w:val="24"/>
        </w:rPr>
        <w:t xml:space="preserve"> various mollusks (cephalopods, bivalves</w:t>
      </w:r>
      <w:r>
        <w:rPr>
          <w:sz w:val="24"/>
          <w:szCs w:val="24"/>
        </w:rPr>
        <w:t>,</w:t>
      </w:r>
      <w:r w:rsidRPr="006106E3">
        <w:rPr>
          <w:sz w:val="24"/>
          <w:szCs w:val="24"/>
        </w:rPr>
        <w:t xml:space="preserve"> and marine and terrestrial gastropods) and marine vertebrates (fishes)</w:t>
      </w:r>
      <w:r>
        <w:rPr>
          <w:sz w:val="24"/>
          <w:szCs w:val="24"/>
        </w:rPr>
        <w:t xml:space="preserve"> for a c</w:t>
      </w:r>
      <w:r w:rsidRPr="006106E3">
        <w:rPr>
          <w:sz w:val="24"/>
          <w:szCs w:val="24"/>
        </w:rPr>
        <w:t>omparison</w:t>
      </w:r>
      <w:r>
        <w:rPr>
          <w:sz w:val="24"/>
          <w:szCs w:val="24"/>
        </w:rPr>
        <w:t xml:space="preserve"> of microbial structures</w:t>
      </w:r>
      <w:r w:rsidRPr="006106E3">
        <w:rPr>
          <w:sz w:val="24"/>
          <w:szCs w:val="24"/>
        </w:rPr>
        <w:t xml:space="preserve"> between samples inhabi</w:t>
      </w:r>
      <w:r>
        <w:rPr>
          <w:sz w:val="24"/>
          <w:szCs w:val="24"/>
        </w:rPr>
        <w:t xml:space="preserve">ting </w:t>
      </w:r>
      <w:r w:rsidRPr="006106E3">
        <w:rPr>
          <w:sz w:val="24"/>
          <w:szCs w:val="24"/>
        </w:rPr>
        <w:t>different environments (terrestrial and aquatic).</w:t>
      </w:r>
      <w:r>
        <w:rPr>
          <w:sz w:val="24"/>
          <w:szCs w:val="24"/>
        </w:rPr>
        <w:t xml:space="preserve"> (b) </w:t>
      </w:r>
      <w:proofErr w:type="spellStart"/>
      <w:r w:rsidRPr="009E0F16">
        <w:rPr>
          <w:sz w:val="24"/>
          <w:szCs w:val="24"/>
        </w:rPr>
        <w:t>PCoA</w:t>
      </w:r>
      <w:proofErr w:type="spellEnd"/>
      <w:r w:rsidRPr="009E0F16">
        <w:rPr>
          <w:sz w:val="24"/>
          <w:szCs w:val="24"/>
        </w:rPr>
        <w:t xml:space="preserve"> of the binary Jaccard index for the gut microbiota of various mollusks</w:t>
      </w:r>
      <w:r>
        <w:rPr>
          <w:sz w:val="24"/>
          <w:szCs w:val="24"/>
        </w:rPr>
        <w:t xml:space="preserve"> for a comparison of microbial structures with dietary preferences (carnivory, </w:t>
      </w:r>
      <w:r w:rsidRPr="009E0F16">
        <w:rPr>
          <w:sz w:val="24"/>
          <w:szCs w:val="24"/>
        </w:rPr>
        <w:t>herbivory</w:t>
      </w:r>
      <w:r>
        <w:rPr>
          <w:sz w:val="24"/>
          <w:szCs w:val="24"/>
        </w:rPr>
        <w:t xml:space="preserve"> and planktivory).</w:t>
      </w:r>
      <w:r w:rsidRPr="006106E3">
        <w:rPr>
          <w:sz w:val="24"/>
          <w:szCs w:val="24"/>
        </w:rPr>
        <w:t xml:space="preserve"> The colors of dots and ellipses in </w:t>
      </w:r>
      <w:proofErr w:type="spellStart"/>
      <w:r w:rsidRPr="006106E3">
        <w:rPr>
          <w:sz w:val="24"/>
          <w:szCs w:val="24"/>
        </w:rPr>
        <w:t>PCoA</w:t>
      </w:r>
      <w:r>
        <w:rPr>
          <w:sz w:val="24"/>
          <w:szCs w:val="24"/>
        </w:rPr>
        <w:t>s</w:t>
      </w:r>
      <w:proofErr w:type="spellEnd"/>
      <w:r w:rsidRPr="006106E3">
        <w:rPr>
          <w:sz w:val="24"/>
          <w:szCs w:val="24"/>
        </w:rPr>
        <w:t xml:space="preserve"> represent the host species and </w:t>
      </w:r>
      <w:r>
        <w:rPr>
          <w:sz w:val="24"/>
          <w:szCs w:val="24"/>
        </w:rPr>
        <w:t>the respective features of the (a) habitat</w:t>
      </w:r>
      <w:r w:rsidRPr="006106E3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terrestrial vs. aquatic; </w:t>
      </w:r>
      <w:r w:rsidRPr="006106E3">
        <w:rPr>
          <w:sz w:val="24"/>
          <w:szCs w:val="24"/>
        </w:rPr>
        <w:t xml:space="preserve">ANOSIM, </w:t>
      </w:r>
      <w:r w:rsidRPr="006106E3">
        <w:rPr>
          <w:i/>
          <w:iCs/>
          <w:sz w:val="24"/>
          <w:szCs w:val="24"/>
        </w:rPr>
        <w:t>R</w:t>
      </w:r>
      <w:r w:rsidRPr="006106E3">
        <w:rPr>
          <w:sz w:val="24"/>
          <w:szCs w:val="24"/>
        </w:rPr>
        <w:t xml:space="preserve"> = 0.</w:t>
      </w:r>
      <w:r>
        <w:rPr>
          <w:sz w:val="24"/>
          <w:szCs w:val="24"/>
        </w:rPr>
        <w:t>49</w:t>
      </w:r>
      <w:r w:rsidRPr="006106E3">
        <w:rPr>
          <w:sz w:val="24"/>
          <w:szCs w:val="24"/>
        </w:rPr>
        <w:t xml:space="preserve">, p &lt; 0.001; </w:t>
      </w:r>
      <w:proofErr w:type="spellStart"/>
      <w:r w:rsidRPr="006106E3">
        <w:rPr>
          <w:sz w:val="24"/>
          <w:szCs w:val="24"/>
        </w:rPr>
        <w:t>adonis</w:t>
      </w:r>
      <w:proofErr w:type="spellEnd"/>
      <w:r w:rsidRPr="006106E3">
        <w:rPr>
          <w:sz w:val="24"/>
          <w:szCs w:val="24"/>
        </w:rPr>
        <w:t xml:space="preserve">, </w:t>
      </w:r>
      <w:r w:rsidRPr="006106E3">
        <w:rPr>
          <w:i/>
          <w:sz w:val="24"/>
          <w:szCs w:val="24"/>
        </w:rPr>
        <w:t>R</w:t>
      </w:r>
      <w:r w:rsidRPr="006106E3">
        <w:rPr>
          <w:i/>
          <w:sz w:val="24"/>
          <w:szCs w:val="24"/>
          <w:vertAlign w:val="superscript"/>
        </w:rPr>
        <w:t>2</w:t>
      </w:r>
      <w:r w:rsidRPr="006106E3">
        <w:rPr>
          <w:sz w:val="24"/>
          <w:szCs w:val="24"/>
        </w:rPr>
        <w:t xml:space="preserve"> = 0.</w:t>
      </w:r>
      <w:r>
        <w:rPr>
          <w:sz w:val="24"/>
          <w:szCs w:val="24"/>
        </w:rPr>
        <w:t>05</w:t>
      </w:r>
      <w:r w:rsidRPr="006106E3">
        <w:rPr>
          <w:sz w:val="24"/>
          <w:szCs w:val="24"/>
        </w:rPr>
        <w:t>, p &lt; 0.001)</w:t>
      </w:r>
      <w:r>
        <w:rPr>
          <w:sz w:val="24"/>
          <w:szCs w:val="24"/>
        </w:rPr>
        <w:t xml:space="preserve"> and (b) dietary preference (</w:t>
      </w:r>
      <w:r w:rsidRPr="009E0F16">
        <w:rPr>
          <w:sz w:val="24"/>
          <w:szCs w:val="24"/>
        </w:rPr>
        <w:t xml:space="preserve">ANOSIM, </w:t>
      </w:r>
      <w:r w:rsidRPr="009E0F16">
        <w:rPr>
          <w:i/>
          <w:iCs/>
          <w:sz w:val="24"/>
          <w:szCs w:val="24"/>
        </w:rPr>
        <w:t>R</w:t>
      </w:r>
      <w:r w:rsidRPr="009E0F16">
        <w:rPr>
          <w:sz w:val="24"/>
          <w:szCs w:val="24"/>
        </w:rPr>
        <w:t xml:space="preserve"> = 0.</w:t>
      </w:r>
      <w:r>
        <w:rPr>
          <w:sz w:val="24"/>
          <w:szCs w:val="24"/>
        </w:rPr>
        <w:t>95</w:t>
      </w:r>
      <w:r w:rsidRPr="009E0F16">
        <w:rPr>
          <w:sz w:val="24"/>
          <w:szCs w:val="24"/>
        </w:rPr>
        <w:t xml:space="preserve">, p &lt; 0.001; </w:t>
      </w:r>
      <w:proofErr w:type="spellStart"/>
      <w:r w:rsidRPr="009E0F16">
        <w:rPr>
          <w:sz w:val="24"/>
          <w:szCs w:val="24"/>
        </w:rPr>
        <w:t>adonis</w:t>
      </w:r>
      <w:proofErr w:type="spellEnd"/>
      <w:r w:rsidRPr="009E0F16">
        <w:rPr>
          <w:sz w:val="24"/>
          <w:szCs w:val="24"/>
        </w:rPr>
        <w:t xml:space="preserve">, </w:t>
      </w:r>
      <w:r w:rsidRPr="009E0F16">
        <w:rPr>
          <w:i/>
          <w:sz w:val="24"/>
          <w:szCs w:val="24"/>
        </w:rPr>
        <w:t>R</w:t>
      </w:r>
      <w:r w:rsidRPr="009E0F16">
        <w:rPr>
          <w:i/>
          <w:sz w:val="24"/>
          <w:szCs w:val="24"/>
          <w:vertAlign w:val="superscript"/>
        </w:rPr>
        <w:t>2</w:t>
      </w:r>
      <w:r w:rsidRPr="009E0F16">
        <w:rPr>
          <w:sz w:val="24"/>
          <w:szCs w:val="24"/>
        </w:rPr>
        <w:t xml:space="preserve"> = 0.</w:t>
      </w:r>
      <w:r>
        <w:rPr>
          <w:sz w:val="24"/>
          <w:szCs w:val="24"/>
        </w:rPr>
        <w:t>14</w:t>
      </w:r>
      <w:r w:rsidRPr="009E0F16">
        <w:rPr>
          <w:sz w:val="24"/>
          <w:szCs w:val="24"/>
        </w:rPr>
        <w:t>, p &lt; 0.001</w:t>
      </w:r>
      <w:r>
        <w:rPr>
          <w:sz w:val="24"/>
          <w:szCs w:val="24"/>
        </w:rPr>
        <w:t>)</w:t>
      </w:r>
      <w:r w:rsidRPr="006106E3">
        <w:rPr>
          <w:sz w:val="24"/>
          <w:szCs w:val="24"/>
        </w:rPr>
        <w:t>.</w:t>
      </w:r>
      <w:bookmarkEnd w:id="1"/>
    </w:p>
    <w:sectPr w:rsidR="0053755C" w:rsidRPr="009E0F16" w:rsidSect="0053755C">
      <w:pgSz w:w="11906" w:h="16838" w:code="9"/>
      <w:pgMar w:top="1440" w:right="1077" w:bottom="1440" w:left="1077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1F34" w:rsidRDefault="00521F34" w:rsidP="0066452B">
      <w:pPr>
        <w:spacing w:after="0" w:line="240" w:lineRule="auto"/>
      </w:pPr>
      <w:r>
        <w:separator/>
      </w:r>
    </w:p>
  </w:endnote>
  <w:endnote w:type="continuationSeparator" w:id="0">
    <w:p w:rsidR="00521F34" w:rsidRDefault="00521F34" w:rsidP="00664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1F34" w:rsidRDefault="00521F34" w:rsidP="0066452B">
      <w:pPr>
        <w:spacing w:after="0" w:line="240" w:lineRule="auto"/>
      </w:pPr>
      <w:r>
        <w:separator/>
      </w:r>
    </w:p>
  </w:footnote>
  <w:footnote w:type="continuationSeparator" w:id="0">
    <w:p w:rsidR="00521F34" w:rsidRDefault="00521F34" w:rsidP="006645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52B"/>
    <w:rsid w:val="00035F64"/>
    <w:rsid w:val="00174513"/>
    <w:rsid w:val="0020370A"/>
    <w:rsid w:val="00246324"/>
    <w:rsid w:val="0027564F"/>
    <w:rsid w:val="003955D6"/>
    <w:rsid w:val="003C72F8"/>
    <w:rsid w:val="00405ABB"/>
    <w:rsid w:val="004246CC"/>
    <w:rsid w:val="00521F34"/>
    <w:rsid w:val="0053755C"/>
    <w:rsid w:val="0058024A"/>
    <w:rsid w:val="005F4866"/>
    <w:rsid w:val="0066452B"/>
    <w:rsid w:val="006A19EE"/>
    <w:rsid w:val="007269BD"/>
    <w:rsid w:val="00731256"/>
    <w:rsid w:val="007E7F55"/>
    <w:rsid w:val="0081263E"/>
    <w:rsid w:val="00955E8C"/>
    <w:rsid w:val="009E0F16"/>
    <w:rsid w:val="00AD1E6B"/>
    <w:rsid w:val="00B43F30"/>
    <w:rsid w:val="00C068B9"/>
    <w:rsid w:val="00C4799E"/>
    <w:rsid w:val="00C73CF9"/>
    <w:rsid w:val="00D242F3"/>
    <w:rsid w:val="00E6168E"/>
    <w:rsid w:val="00F574AA"/>
    <w:rsid w:val="00F6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4F492E-4AD5-4ADB-8C48-7233DCAF9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168E"/>
    <w:pPr>
      <w:widowControl w:val="0"/>
      <w:wordWrap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452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6452B"/>
    <w:rPr>
      <w:rFonts w:ascii="Times New Roman" w:eastAsia="Times New Roman" w:hAnsi="Times New Roman" w:cs="Times New Roman"/>
    </w:rPr>
  </w:style>
  <w:style w:type="paragraph" w:styleId="a4">
    <w:name w:val="footer"/>
    <w:basedOn w:val="a"/>
    <w:link w:val="Char0"/>
    <w:uiPriority w:val="99"/>
    <w:unhideWhenUsed/>
    <w:rsid w:val="0066452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6452B"/>
    <w:rPr>
      <w:rFonts w:ascii="Times New Roman" w:eastAsia="Times New Roman" w:hAnsi="Times New Roman" w:cs="Times New Roman"/>
    </w:rPr>
  </w:style>
  <w:style w:type="character" w:styleId="a5">
    <w:name w:val="Hyperlink"/>
    <w:basedOn w:val="a0"/>
    <w:uiPriority w:val="99"/>
    <w:unhideWhenUsed/>
    <w:rsid w:val="007E7F5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05A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6B8DB-8892-4A4D-ACC1-8D293A14B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</dc:creator>
  <cp:keywords/>
  <dc:description/>
  <cp:lastModifiedBy>PHIL</cp:lastModifiedBy>
  <cp:revision>3</cp:revision>
  <dcterms:created xsi:type="dcterms:W3CDTF">2021-05-23T11:21:00Z</dcterms:created>
  <dcterms:modified xsi:type="dcterms:W3CDTF">2021-05-23T11:43:00Z</dcterms:modified>
</cp:coreProperties>
</file>