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5E8FB" w14:textId="77777777" w:rsidR="00D30E5C" w:rsidRPr="004A67AD" w:rsidRDefault="00D30E5C" w:rsidP="00D30E5C">
      <w:pPr>
        <w:pStyle w:val="Heading1"/>
        <w:numPr>
          <w:ilvl w:val="0"/>
          <w:numId w:val="0"/>
        </w:numPr>
        <w:rPr>
          <w:rStyle w:val="highlight"/>
        </w:rPr>
      </w:pPr>
      <w:bookmarkStart w:id="0" w:name="_Hlk42456832"/>
      <w:r w:rsidRPr="004A67AD">
        <w:rPr>
          <w:rStyle w:val="highlight"/>
        </w:rPr>
        <w:t>Materials and methods</w:t>
      </w:r>
    </w:p>
    <w:bookmarkEnd w:id="0"/>
    <w:p w14:paraId="13F4E38E" w14:textId="77777777" w:rsidR="00A04BE8" w:rsidRDefault="00A04BE8" w:rsidP="00A04BE8">
      <w:pPr>
        <w:pStyle w:val="Heading2"/>
      </w:pPr>
      <w:r>
        <w:t>Patient specimens</w:t>
      </w:r>
    </w:p>
    <w:p w14:paraId="1DB7AD5B" w14:textId="67EBBC27" w:rsidR="00CD2BF6" w:rsidRPr="00046F92" w:rsidRDefault="00A04BE8" w:rsidP="00A04BE8">
      <w:pPr>
        <w:rPr>
          <w:rStyle w:val="highlight"/>
        </w:rPr>
      </w:pPr>
      <w:r>
        <w:t xml:space="preserve">HPSCC patients from individual medical centers who underwent surgery and regular medical surveillance between 2012 and 2020 were used in this study. </w:t>
      </w:r>
      <w:r w:rsidR="00046F92">
        <w:t>P</w:t>
      </w:r>
      <w:r>
        <w:t xml:space="preserve">araffin-embedded surgical specimen </w:t>
      </w:r>
      <w:r w:rsidR="00046F92">
        <w:t>was</w:t>
      </w:r>
      <w:r>
        <w:t xml:space="preserve"> stored permanently in </w:t>
      </w:r>
      <w:r>
        <w:rPr>
          <w:rStyle w:val="highlight"/>
        </w:rPr>
        <w:t xml:space="preserve">Sir Run </w:t>
      </w:r>
      <w:proofErr w:type="spellStart"/>
      <w:r>
        <w:rPr>
          <w:rStyle w:val="highlight"/>
        </w:rPr>
        <w:t>Run</w:t>
      </w:r>
      <w:proofErr w:type="spellEnd"/>
      <w:r>
        <w:rPr>
          <w:rStyle w:val="highlight"/>
        </w:rPr>
        <w:t xml:space="preserve"> Shaw hospital pathology </w:t>
      </w:r>
      <w:r w:rsidRPr="00C44715">
        <w:rPr>
          <w:rStyle w:val="highlight"/>
          <w:color w:val="000000" w:themeColor="text1"/>
        </w:rPr>
        <w:t xml:space="preserve">department.  </w:t>
      </w:r>
      <w:r w:rsidR="00046F92">
        <w:rPr>
          <w:rStyle w:val="highlight"/>
          <w:color w:val="000000" w:themeColor="text1"/>
        </w:rPr>
        <w:t xml:space="preserve"> </w:t>
      </w:r>
    </w:p>
    <w:p w14:paraId="20A216BE" w14:textId="77777777" w:rsidR="00C44715" w:rsidRDefault="00C44715" w:rsidP="00A04BE8"/>
    <w:p w14:paraId="7135810A" w14:textId="1844A80C" w:rsidR="00D30E5C" w:rsidRPr="005A2A80" w:rsidRDefault="00D55FBE" w:rsidP="00CD6BE1">
      <w:pPr>
        <w:pStyle w:val="Heading2"/>
        <w:rPr>
          <w:rStyle w:val="highlight"/>
        </w:rPr>
      </w:pPr>
      <w:r>
        <w:t>Global</w:t>
      </w:r>
      <w:r w:rsidR="00D30E5C" w:rsidRPr="005A2A80">
        <w:rPr>
          <w:rStyle w:val="highlight"/>
        </w:rPr>
        <w:t xml:space="preserve"> m</w:t>
      </w:r>
      <w:r w:rsidR="00D30E5C" w:rsidRPr="00D55FBE">
        <w:rPr>
          <w:rStyle w:val="highlight"/>
          <w:vertAlign w:val="superscript"/>
        </w:rPr>
        <w:t>6</w:t>
      </w:r>
      <w:r w:rsidR="00D30E5C" w:rsidRPr="005A2A80">
        <w:rPr>
          <w:rStyle w:val="highlight"/>
        </w:rPr>
        <w:t>A measurement</w:t>
      </w:r>
    </w:p>
    <w:p w14:paraId="1F66F8AA" w14:textId="77777777" w:rsidR="00D55FBE" w:rsidRDefault="00D55FBE" w:rsidP="00D55FBE">
      <w:r>
        <w:t>The global m</w:t>
      </w:r>
      <w:r w:rsidRPr="005C3DDF">
        <w:rPr>
          <w:vertAlign w:val="superscript"/>
        </w:rPr>
        <w:t>6</w:t>
      </w:r>
      <w:r>
        <w:t>A levels in mRNA were measured with EpiQuik m</w:t>
      </w:r>
      <w:r w:rsidRPr="005C3DDF">
        <w:rPr>
          <w:vertAlign w:val="superscript"/>
        </w:rPr>
        <w:t>6</w:t>
      </w:r>
      <w:r>
        <w:t>A RNA Methylation Quantification Kit (Colorimetric) (</w:t>
      </w:r>
      <w:proofErr w:type="spellStart"/>
      <w:r>
        <w:t>Epigentek</w:t>
      </w:r>
      <w:proofErr w:type="spellEnd"/>
      <w:r>
        <w:t xml:space="preserve">, Farmingdale, NY) following the manufacturer’s protocol. </w:t>
      </w:r>
    </w:p>
    <w:p w14:paraId="34ECB922" w14:textId="5BF35C1E" w:rsidR="00D30E5C" w:rsidRPr="005A2A80" w:rsidRDefault="00D30E5C" w:rsidP="00D55FBE">
      <w:pPr>
        <w:pStyle w:val="Heading2"/>
        <w:rPr>
          <w:rStyle w:val="highlight"/>
        </w:rPr>
      </w:pPr>
      <w:r w:rsidRPr="002A706C">
        <w:rPr>
          <w:rStyle w:val="highlight"/>
        </w:rPr>
        <w:t>Transcriptome</w:t>
      </w:r>
      <w:r w:rsidRPr="005A2A80">
        <w:rPr>
          <w:rStyle w:val="highlight"/>
        </w:rPr>
        <w:t>-Seq and M</w:t>
      </w:r>
      <w:r w:rsidRPr="005A2A80">
        <w:rPr>
          <w:rStyle w:val="highlight"/>
          <w:vertAlign w:val="superscript"/>
        </w:rPr>
        <w:t>6</w:t>
      </w:r>
      <w:r w:rsidRPr="005A2A80">
        <w:rPr>
          <w:rStyle w:val="highlight"/>
        </w:rPr>
        <w:t xml:space="preserve">A-seq </w:t>
      </w:r>
    </w:p>
    <w:p w14:paraId="78871DF9" w14:textId="3102BCB3" w:rsidR="00D30E5C" w:rsidRDefault="00D30E5C" w:rsidP="00D30E5C">
      <w:pPr>
        <w:spacing w:before="120"/>
        <w:jc w:val="both"/>
        <w:rPr>
          <w:rStyle w:val="highlight"/>
        </w:rPr>
      </w:pPr>
      <w:bookmarkStart w:id="1" w:name="_Hlk44145807"/>
      <w:r w:rsidRPr="00843113">
        <w:rPr>
          <w:rStyle w:val="highlight"/>
        </w:rPr>
        <w:t xml:space="preserve">Total RNA was extracted using </w:t>
      </w:r>
      <w:proofErr w:type="spellStart"/>
      <w:r w:rsidRPr="00843113">
        <w:rPr>
          <w:rStyle w:val="highlight"/>
        </w:rPr>
        <w:t>Trizol</w:t>
      </w:r>
      <w:proofErr w:type="spellEnd"/>
      <w:r w:rsidRPr="00843113">
        <w:rPr>
          <w:rStyle w:val="highlight"/>
        </w:rPr>
        <w:t xml:space="preserve"> reagent (Invitrogen, CA, USA) following the manufacturer's procedure. The total RNA quality and quantity were analysis of Bioanalyzer 2100 and RNA 6000 Nano </w:t>
      </w:r>
      <w:proofErr w:type="spellStart"/>
      <w:r w:rsidRPr="00843113">
        <w:rPr>
          <w:rStyle w:val="highlight"/>
        </w:rPr>
        <w:t>LabChip</w:t>
      </w:r>
      <w:proofErr w:type="spellEnd"/>
      <w:r w:rsidRPr="00843113">
        <w:rPr>
          <w:rStyle w:val="highlight"/>
        </w:rPr>
        <w:t xml:space="preserve"> Kit (Agilent, CA, USA) with RIN number &gt;7.0. </w:t>
      </w:r>
      <w:bookmarkEnd w:id="1"/>
      <w:r w:rsidRPr="00843113">
        <w:rPr>
          <w:rStyle w:val="highlight"/>
        </w:rPr>
        <w:t>Approximately more than 200 ug of total RNA was subjected to isolate Poly (A) mRNA with poly-T oligo attached magnetic beads (Invitrogen). Following purification, the poly(A) mRNA fractions is fragmented into ~100-nt-long oligonucleotides using divalent cations under elevated temperature. Then the cleaved RNA fragments were subjected to incubated for 2h at 4</w:t>
      </w:r>
      <w:r w:rsidRPr="00843113">
        <w:rPr>
          <w:rStyle w:val="highlight"/>
          <w:rFonts w:ascii="Arial Unicode MS" w:hAnsi="Arial Unicode MS"/>
        </w:rPr>
        <w:t>℃</w:t>
      </w:r>
      <w:r w:rsidRPr="00843113">
        <w:rPr>
          <w:rStyle w:val="highlight"/>
        </w:rPr>
        <w:t xml:space="preserve"> with m</w:t>
      </w:r>
      <w:r w:rsidRPr="00843113">
        <w:rPr>
          <w:rStyle w:val="highlight"/>
          <w:vertAlign w:val="superscript"/>
        </w:rPr>
        <w:t>6</w:t>
      </w:r>
      <w:r w:rsidRPr="00843113">
        <w:rPr>
          <w:rStyle w:val="highlight"/>
        </w:rPr>
        <w:t xml:space="preserve">A-specific antibody (No. 202003, Synaptic Systems, Germany) in IP buffer (50 mM Tris-HCl, 750 mM NaCl and 0.5% </w:t>
      </w:r>
      <w:proofErr w:type="spellStart"/>
      <w:r w:rsidRPr="00843113">
        <w:rPr>
          <w:rStyle w:val="highlight"/>
        </w:rPr>
        <w:t>Igepal</w:t>
      </w:r>
      <w:proofErr w:type="spellEnd"/>
      <w:r w:rsidRPr="00843113">
        <w:rPr>
          <w:rStyle w:val="highlight"/>
        </w:rPr>
        <w:t xml:space="preserve"> CA-630) supplemented with BSA (0.5 μg μl−1). The mixture was then incubated with protein-A beads and eluted with elution buffer (1 × IP buffer and 6.7mM m</w:t>
      </w:r>
      <w:r w:rsidRPr="00843113">
        <w:rPr>
          <w:rStyle w:val="highlight"/>
          <w:vertAlign w:val="superscript"/>
        </w:rPr>
        <w:t>6</w:t>
      </w:r>
      <w:r w:rsidRPr="00843113">
        <w:rPr>
          <w:rStyle w:val="highlight"/>
        </w:rPr>
        <w:t xml:space="preserve">A). Eluted RNA was precipitated by 75% ethanol. </w:t>
      </w:r>
      <w:bookmarkStart w:id="2" w:name="_Hlk44145912"/>
      <w:r w:rsidRPr="00843113">
        <w:rPr>
          <w:rStyle w:val="highlight"/>
        </w:rPr>
        <w:t>Eluted m</w:t>
      </w:r>
      <w:r w:rsidRPr="00843113">
        <w:rPr>
          <w:rStyle w:val="highlight"/>
          <w:vertAlign w:val="superscript"/>
        </w:rPr>
        <w:t>6</w:t>
      </w:r>
      <w:r w:rsidRPr="00843113">
        <w:rPr>
          <w:rStyle w:val="highlight"/>
        </w:rPr>
        <w:t xml:space="preserve">A-containing fragments (IP) and untreated input control fragments are converted to final cDNA library in accordance with a strand-specific library preparation by </w:t>
      </w:r>
      <w:proofErr w:type="spellStart"/>
      <w:r w:rsidRPr="00843113">
        <w:rPr>
          <w:rStyle w:val="highlight"/>
        </w:rPr>
        <w:t>dUTP</w:t>
      </w:r>
      <w:proofErr w:type="spellEnd"/>
      <w:r w:rsidRPr="00843113">
        <w:rPr>
          <w:rStyle w:val="highlight"/>
        </w:rPr>
        <w:t xml:space="preserve"> method. The average insert size for the paired-end libraries was ~100±50 bp. </w:t>
      </w:r>
      <w:bookmarkStart w:id="3" w:name="_Hlk44145861"/>
      <w:r w:rsidRPr="00843113">
        <w:rPr>
          <w:rStyle w:val="highlight"/>
        </w:rPr>
        <w:t xml:space="preserve">And then we performed the paired-end 2×150bp sequencing on an Illumina </w:t>
      </w:r>
      <w:proofErr w:type="spellStart"/>
      <w:r w:rsidRPr="00843113">
        <w:rPr>
          <w:rStyle w:val="highlight"/>
        </w:rPr>
        <w:t>Novaseq</w:t>
      </w:r>
      <w:proofErr w:type="spellEnd"/>
      <w:r w:rsidRPr="00843113">
        <w:rPr>
          <w:rStyle w:val="highlight"/>
        </w:rPr>
        <w:t>™ 6000 platform at the LC-BIO Bio-tech ltd (Hangzhou, China) following the vendor's recommended protocol.</w:t>
      </w:r>
    </w:p>
    <w:p w14:paraId="39473F92" w14:textId="7E2AAE8A" w:rsidR="00426533" w:rsidRPr="00046F92" w:rsidRDefault="00426533" w:rsidP="00426533">
      <w:pPr>
        <w:rPr>
          <w:rStyle w:val="IntenseEmphasis"/>
          <w:i w:val="0"/>
          <w:iCs w:val="0"/>
          <w:color w:val="0070C0"/>
        </w:rPr>
      </w:pPr>
      <w:r w:rsidRPr="00965ACD">
        <w:rPr>
          <w:rStyle w:val="IntenseEmphasis"/>
          <w:i w:val="0"/>
          <w:iCs w:val="0"/>
          <w:color w:val="000000" w:themeColor="text1"/>
        </w:rPr>
        <w:t>For m</w:t>
      </w:r>
      <w:r w:rsidRPr="00965ACD">
        <w:rPr>
          <w:rStyle w:val="IntenseEmphasis"/>
          <w:i w:val="0"/>
          <w:iCs w:val="0"/>
          <w:color w:val="000000" w:themeColor="text1"/>
          <w:vertAlign w:val="superscript"/>
        </w:rPr>
        <w:t>6</w:t>
      </w:r>
      <w:r w:rsidRPr="00965ACD">
        <w:rPr>
          <w:rStyle w:val="IntenseEmphasis"/>
          <w:i w:val="0"/>
          <w:iCs w:val="0"/>
          <w:color w:val="000000" w:themeColor="text1"/>
        </w:rPr>
        <w:t xml:space="preserve">A sites prediction: </w:t>
      </w:r>
      <w:r w:rsidRPr="00965ACD">
        <w:rPr>
          <w:rStyle w:val="IntenseEmphasis"/>
          <w:rFonts w:hint="eastAsia"/>
          <w:i w:val="0"/>
          <w:iCs w:val="0"/>
          <w:color w:val="000000" w:themeColor="text1"/>
        </w:rPr>
        <w:t>B</w:t>
      </w:r>
      <w:r w:rsidRPr="00965ACD">
        <w:rPr>
          <w:rStyle w:val="IntenseEmphasis"/>
          <w:i w:val="0"/>
          <w:iCs w:val="0"/>
          <w:color w:val="000000" w:themeColor="text1"/>
        </w:rPr>
        <w:t>y applying the HOMER motif discovery tool, we found that the “GGAC” consensus sequence was the common m</w:t>
      </w:r>
      <w:r w:rsidRPr="00965ACD">
        <w:rPr>
          <w:rStyle w:val="IntenseEmphasis"/>
          <w:i w:val="0"/>
          <w:iCs w:val="0"/>
          <w:color w:val="000000" w:themeColor="text1"/>
          <w:vertAlign w:val="superscript"/>
        </w:rPr>
        <w:t>6</w:t>
      </w:r>
      <w:r w:rsidRPr="00965ACD">
        <w:rPr>
          <w:rStyle w:val="IntenseEmphasis"/>
          <w:i w:val="0"/>
          <w:iCs w:val="0"/>
          <w:color w:val="000000" w:themeColor="text1"/>
        </w:rPr>
        <w:t>A motif enriched in the m</w:t>
      </w:r>
      <w:r w:rsidRPr="00965ACD">
        <w:rPr>
          <w:rStyle w:val="IntenseEmphasis"/>
          <w:i w:val="0"/>
          <w:iCs w:val="0"/>
          <w:color w:val="000000" w:themeColor="text1"/>
          <w:vertAlign w:val="superscript"/>
        </w:rPr>
        <w:t>6</w:t>
      </w:r>
      <w:r w:rsidRPr="00965ACD">
        <w:rPr>
          <w:rStyle w:val="IntenseEmphasis"/>
          <w:i w:val="0"/>
          <w:iCs w:val="0"/>
          <w:color w:val="000000" w:themeColor="text1"/>
        </w:rPr>
        <w:t xml:space="preserve">A peaks. Furthermore, most of the </w:t>
      </w:r>
      <w:r w:rsidR="00046F92">
        <w:rPr>
          <w:rStyle w:val="IntenseEmphasis"/>
          <w:i w:val="0"/>
          <w:iCs w:val="0"/>
          <w:color w:val="000000" w:themeColor="text1"/>
        </w:rPr>
        <w:t>ALKBH5</w:t>
      </w:r>
      <w:r w:rsidRPr="00965ACD">
        <w:rPr>
          <w:rStyle w:val="IntenseEmphasis"/>
          <w:i w:val="0"/>
          <w:iCs w:val="0"/>
          <w:color w:val="000000" w:themeColor="text1"/>
        </w:rPr>
        <w:t>-binding sites</w:t>
      </w:r>
      <w:r w:rsidRPr="00965ACD">
        <w:rPr>
          <w:i/>
          <w:iCs/>
          <w:color w:val="000000" w:themeColor="text1"/>
        </w:rPr>
        <w:t xml:space="preserve"> </w:t>
      </w:r>
      <w:r w:rsidRPr="00965ACD">
        <w:rPr>
          <w:rStyle w:val="IntenseEmphasis"/>
          <w:i w:val="0"/>
          <w:iCs w:val="0"/>
          <w:color w:val="000000" w:themeColor="text1"/>
        </w:rPr>
        <w:t>were highly enriched in 3’UTR, especially enriched in the vicinity of the stop codon, which was coincidence with the m</w:t>
      </w:r>
      <w:r w:rsidRPr="00965ACD">
        <w:rPr>
          <w:rStyle w:val="IntenseEmphasis"/>
          <w:i w:val="0"/>
          <w:iCs w:val="0"/>
          <w:color w:val="000000" w:themeColor="text1"/>
          <w:vertAlign w:val="superscript"/>
        </w:rPr>
        <w:t>6</w:t>
      </w:r>
      <w:r w:rsidRPr="00965ACD">
        <w:rPr>
          <w:rStyle w:val="IntenseEmphasis"/>
          <w:i w:val="0"/>
          <w:iCs w:val="0"/>
          <w:color w:val="000000" w:themeColor="text1"/>
        </w:rPr>
        <w:t xml:space="preserve">A distribution.  We then download the DNA sequences on </w:t>
      </w:r>
      <w:proofErr w:type="spellStart"/>
      <w:r w:rsidRPr="00965ACD">
        <w:rPr>
          <w:rStyle w:val="IntenseEmphasis"/>
          <w:rFonts w:hint="eastAsia"/>
          <w:i w:val="0"/>
          <w:iCs w:val="0"/>
          <w:color w:val="000000" w:themeColor="text1"/>
        </w:rPr>
        <w:t>Ensembl</w:t>
      </w:r>
      <w:proofErr w:type="spellEnd"/>
      <w:r w:rsidRPr="00965ACD">
        <w:rPr>
          <w:rStyle w:val="IntenseEmphasis"/>
          <w:i w:val="0"/>
          <w:iCs w:val="0"/>
          <w:color w:val="000000" w:themeColor="text1"/>
        </w:rPr>
        <w:t xml:space="preserve"> </w:t>
      </w:r>
      <w:r w:rsidRPr="00965ACD">
        <w:rPr>
          <w:rStyle w:val="IntenseEmphasis"/>
          <w:rFonts w:hint="eastAsia"/>
          <w:i w:val="0"/>
          <w:iCs w:val="0"/>
          <w:color w:val="000000" w:themeColor="text1"/>
        </w:rPr>
        <w:t>(</w:t>
      </w:r>
      <w:hyperlink r:id="rId5" w:history="1">
        <w:r w:rsidRPr="00965ACD">
          <w:rPr>
            <w:rStyle w:val="Hyperlink"/>
            <w:rFonts w:hint="eastAsia"/>
            <w:i/>
            <w:iCs/>
            <w:color w:val="000000" w:themeColor="text1"/>
          </w:rPr>
          <w:t>www.ensembl.org</w:t>
        </w:r>
      </w:hyperlink>
      <w:r w:rsidRPr="00965ACD">
        <w:rPr>
          <w:rStyle w:val="IntenseEmphasis"/>
          <w:rFonts w:hint="eastAsia"/>
          <w:i w:val="0"/>
          <w:iCs w:val="0"/>
          <w:color w:val="000000" w:themeColor="text1"/>
        </w:rPr>
        <w:t>)</w:t>
      </w:r>
      <w:r w:rsidRPr="00965ACD">
        <w:rPr>
          <w:rStyle w:val="IntenseEmphasis"/>
          <w:i w:val="0"/>
          <w:iCs w:val="0"/>
          <w:color w:val="000000" w:themeColor="text1"/>
        </w:rPr>
        <w:t xml:space="preserve">.GGACU, GGACA, GGACC, AGACU were input to search for sequences consistent with RRACH motif rules. </w:t>
      </w:r>
      <w:r w:rsidR="009D44FA" w:rsidRPr="009D44FA">
        <w:rPr>
          <w:rStyle w:val="IntenseEmphasis"/>
          <w:i w:val="0"/>
          <w:iCs w:val="0"/>
          <w:color w:val="000000" w:themeColor="text1"/>
        </w:rPr>
        <w:t xml:space="preserve">Then A was replaced with </w:t>
      </w:r>
      <w:r w:rsidR="00046F92">
        <w:rPr>
          <w:rStyle w:val="IntenseEmphasis"/>
          <w:i w:val="0"/>
          <w:iCs w:val="0"/>
          <w:color w:val="000000" w:themeColor="text1"/>
        </w:rPr>
        <w:t>C</w:t>
      </w:r>
      <w:r w:rsidR="009D44FA" w:rsidRPr="009D44FA">
        <w:rPr>
          <w:rStyle w:val="IntenseEmphasis"/>
          <w:i w:val="0"/>
          <w:iCs w:val="0"/>
          <w:color w:val="000000" w:themeColor="text1"/>
        </w:rPr>
        <w:t>.</w:t>
      </w:r>
      <w:r w:rsidR="009D44FA" w:rsidRPr="009D44FA">
        <w:t xml:space="preserve"> </w:t>
      </w:r>
      <w:r w:rsidR="009D44FA" w:rsidRPr="00046F92">
        <w:rPr>
          <w:rStyle w:val="IntenseEmphasis"/>
          <w:i w:val="0"/>
          <w:iCs w:val="0"/>
          <w:color w:val="0070C0"/>
        </w:rPr>
        <w:t xml:space="preserve">The detailed mutation sequences are in Supplementary data </w:t>
      </w:r>
      <w:r w:rsidR="00391147">
        <w:rPr>
          <w:rStyle w:val="IntenseEmphasis"/>
          <w:i w:val="0"/>
          <w:iCs w:val="0"/>
          <w:color w:val="0070C0"/>
        </w:rPr>
        <w:t>2</w:t>
      </w:r>
      <w:r w:rsidR="009D44FA" w:rsidRPr="00046F92">
        <w:rPr>
          <w:rStyle w:val="IntenseEmphasis"/>
          <w:i w:val="0"/>
          <w:iCs w:val="0"/>
          <w:color w:val="0070C0"/>
        </w:rPr>
        <w:t>.</w:t>
      </w:r>
    </w:p>
    <w:p w14:paraId="510DE815" w14:textId="77777777" w:rsidR="00426533" w:rsidRDefault="00426533" w:rsidP="00D30E5C">
      <w:pPr>
        <w:spacing w:before="120"/>
        <w:jc w:val="both"/>
        <w:rPr>
          <w:rStyle w:val="highlight"/>
        </w:rPr>
      </w:pPr>
    </w:p>
    <w:bookmarkEnd w:id="2"/>
    <w:bookmarkEnd w:id="3"/>
    <w:p w14:paraId="1F80C600" w14:textId="77777777" w:rsidR="003C6C14" w:rsidRPr="003C6C14" w:rsidRDefault="003C6C14" w:rsidP="003C6C14">
      <w:pPr>
        <w:pStyle w:val="Heading2"/>
      </w:pPr>
      <w:r w:rsidRPr="003C6C14">
        <w:t>Anti-m6A immunoprecipitation and RNA immunoprecipitation(RIP)</w:t>
      </w:r>
    </w:p>
    <w:p w14:paraId="28F228BD" w14:textId="77777777" w:rsidR="0002769E" w:rsidRDefault="002A706C" w:rsidP="0002769E">
      <w:pPr>
        <w:spacing w:before="120"/>
        <w:jc w:val="both"/>
        <w:rPr>
          <w:rStyle w:val="highlight"/>
          <w:rFonts w:cs="Arial"/>
        </w:rPr>
      </w:pPr>
      <w:r w:rsidRPr="00452A8F">
        <w:rPr>
          <w:rStyle w:val="highlight"/>
          <w:rFonts w:cs="Arial"/>
        </w:rPr>
        <w:t xml:space="preserve">Cells were washed twice with PBS, collected and then the pellet was resuspended in IP lysis buffer (150mM </w:t>
      </w:r>
      <w:proofErr w:type="spellStart"/>
      <w:r w:rsidRPr="00452A8F">
        <w:rPr>
          <w:rStyle w:val="highlight"/>
          <w:rFonts w:cs="Arial"/>
        </w:rPr>
        <w:t>KCl</w:t>
      </w:r>
      <w:proofErr w:type="spellEnd"/>
      <w:r w:rsidRPr="00452A8F">
        <w:rPr>
          <w:rStyle w:val="highlight"/>
          <w:rFonts w:cs="Arial"/>
        </w:rPr>
        <w:t>, 25mM Tris (pH 7.4), 5mM EDTA, 0.5mM DTT, 0.5% NP40, 1× protease inhibitor, 1 U/</w:t>
      </w:r>
      <w:r w:rsidR="00BC1B33" w:rsidRPr="00BC1B33">
        <w:rPr>
          <w:rStyle w:val="highlight"/>
          <w:rFonts w:cs="Arial"/>
        </w:rPr>
        <w:t>μ</w:t>
      </w:r>
      <w:r w:rsidRPr="00BC1B33">
        <w:rPr>
          <w:rStyle w:val="highlight"/>
          <w:rFonts w:cs="Arial"/>
        </w:rPr>
        <w:t>l</w:t>
      </w:r>
      <w:r w:rsidRPr="00452A8F">
        <w:rPr>
          <w:rStyle w:val="highlight"/>
          <w:rFonts w:cs="Arial"/>
        </w:rPr>
        <w:t xml:space="preserve"> RNase </w:t>
      </w:r>
      <w:r w:rsidRPr="00452A8F">
        <w:rPr>
          <w:rStyle w:val="highlight"/>
          <w:rFonts w:cs="Arial"/>
        </w:rPr>
        <w:lastRenderedPageBreak/>
        <w:t>inhibitor).The lysate was harvested by centrifugation at 12 000 g for 10 min after incubation for 30 min. Antibodies and 40</w:t>
      </w:r>
      <w:r w:rsidR="00BC1B33" w:rsidRPr="00BC1B33">
        <w:rPr>
          <w:rStyle w:val="highlight"/>
          <w:rFonts w:cs="Arial"/>
        </w:rPr>
        <w:t>μl</w:t>
      </w:r>
      <w:r w:rsidRPr="00452A8F">
        <w:rPr>
          <w:rStyle w:val="highlight"/>
          <w:rFonts w:cs="Arial"/>
        </w:rPr>
        <w:t xml:space="preserve"> of protein G beads (Invitrogen, USA) were added into</w:t>
      </w:r>
      <w:r w:rsidR="00452A8F" w:rsidRPr="00452A8F">
        <w:rPr>
          <w:rStyle w:val="highlight"/>
          <w:rFonts w:cs="Arial"/>
        </w:rPr>
        <w:t xml:space="preserve"> </w:t>
      </w:r>
      <w:r w:rsidRPr="00452A8F">
        <w:rPr>
          <w:rStyle w:val="highlight"/>
          <w:rFonts w:cs="Arial"/>
        </w:rPr>
        <w:t xml:space="preserve">the lysate followed by incubation </w:t>
      </w:r>
      <w:r w:rsidRPr="00BC1B33">
        <w:rPr>
          <w:rStyle w:val="highlight"/>
          <w:rFonts w:cs="Arial"/>
        </w:rPr>
        <w:t>overnight at 4</w:t>
      </w:r>
      <w:r w:rsidR="00BC1B33" w:rsidRPr="00BC1B33">
        <w:rPr>
          <w:rStyle w:val="highlight"/>
          <w:rFonts w:ascii="Times New Roman" w:eastAsia="微软雅黑" w:hAnsi="Times New Roman" w:cs="Times New Roman"/>
        </w:rPr>
        <w:t>℃</w:t>
      </w:r>
      <w:r w:rsidRPr="00BC1B33">
        <w:rPr>
          <w:rStyle w:val="highlight"/>
          <w:rFonts w:cs="Arial"/>
        </w:rPr>
        <w:t>. After washed</w:t>
      </w:r>
      <w:r w:rsidRPr="00452A8F">
        <w:rPr>
          <w:rStyle w:val="highlight"/>
          <w:rFonts w:cs="Arial"/>
        </w:rPr>
        <w:t xml:space="preserve"> three times with wash buffer (150mM </w:t>
      </w:r>
      <w:proofErr w:type="spellStart"/>
      <w:r w:rsidRPr="00452A8F">
        <w:rPr>
          <w:rStyle w:val="highlight"/>
          <w:rFonts w:cs="Arial"/>
        </w:rPr>
        <w:t>KCl</w:t>
      </w:r>
      <w:proofErr w:type="spellEnd"/>
      <w:r w:rsidRPr="00452A8F">
        <w:rPr>
          <w:rStyle w:val="highlight"/>
          <w:rFonts w:cs="Arial"/>
        </w:rPr>
        <w:t>, 25mM Tris (pH 7.4),</w:t>
      </w:r>
      <w:r w:rsidR="00452A8F" w:rsidRPr="00452A8F">
        <w:rPr>
          <w:rStyle w:val="highlight"/>
          <w:rFonts w:cs="Arial"/>
        </w:rPr>
        <w:t xml:space="preserve"> </w:t>
      </w:r>
      <w:r w:rsidRPr="00452A8F">
        <w:rPr>
          <w:rStyle w:val="highlight"/>
          <w:rFonts w:cs="Arial"/>
        </w:rPr>
        <w:t>5mM EDTA,</w:t>
      </w:r>
      <w:r w:rsidR="00452A8F" w:rsidRPr="00452A8F">
        <w:rPr>
          <w:rStyle w:val="highlight"/>
          <w:rFonts w:cs="Arial"/>
        </w:rPr>
        <w:t xml:space="preserve"> </w:t>
      </w:r>
      <w:r w:rsidRPr="00452A8F">
        <w:rPr>
          <w:rStyle w:val="highlight"/>
          <w:rFonts w:cs="Arial"/>
        </w:rPr>
        <w:t xml:space="preserve">0.5mM DTT, 0.5% NP40), co-precipitated RNAs were extracted by </w:t>
      </w:r>
      <w:proofErr w:type="spellStart"/>
      <w:r w:rsidRPr="00452A8F">
        <w:rPr>
          <w:rStyle w:val="highlight"/>
          <w:rFonts w:cs="Arial"/>
        </w:rPr>
        <w:t>Trizol</w:t>
      </w:r>
      <w:proofErr w:type="spellEnd"/>
      <w:r w:rsidRPr="00452A8F">
        <w:rPr>
          <w:rStyle w:val="highlight"/>
          <w:rFonts w:cs="Arial"/>
        </w:rPr>
        <w:t xml:space="preserve"> reagent, ethanol-precipitated with glycogen (Invitrogen, USA). The enrichment of RNAs was normalized to IgG. </w:t>
      </w:r>
    </w:p>
    <w:p w14:paraId="3A81AA46" w14:textId="35C02FAF" w:rsidR="0002769E" w:rsidRPr="0002769E" w:rsidRDefault="00B408E2" w:rsidP="0002769E">
      <w:pPr>
        <w:spacing w:before="120"/>
        <w:jc w:val="both"/>
        <w:rPr>
          <w:rStyle w:val="IntenseEmphasis"/>
          <w:rFonts w:cs="Arial"/>
          <w:i w:val="0"/>
          <w:iCs w:val="0"/>
          <w:color w:val="000000"/>
        </w:rPr>
      </w:pPr>
      <w:r w:rsidRPr="0002769E">
        <w:rPr>
          <w:rStyle w:val="IntenseEmphasis"/>
          <w:rFonts w:cs="Arial"/>
          <w:i w:val="0"/>
          <w:iCs w:val="0"/>
          <w:color w:val="auto"/>
        </w:rPr>
        <w:t>For m</w:t>
      </w:r>
      <w:r w:rsidRPr="0002769E">
        <w:rPr>
          <w:rStyle w:val="IntenseEmphasis"/>
          <w:rFonts w:cs="Arial"/>
          <w:i w:val="0"/>
          <w:iCs w:val="0"/>
          <w:color w:val="auto"/>
          <w:vertAlign w:val="superscript"/>
        </w:rPr>
        <w:t>6</w:t>
      </w:r>
      <w:r w:rsidRPr="0002769E">
        <w:rPr>
          <w:rStyle w:val="IntenseEmphasis"/>
          <w:rFonts w:cs="Arial"/>
          <w:i w:val="0"/>
          <w:iCs w:val="0"/>
          <w:color w:val="auto"/>
        </w:rPr>
        <w:t>A sites prediction: By applying the HOMER motif discovery tool, we found that the “RRAC</w:t>
      </w:r>
      <w:r w:rsidRPr="0002769E">
        <w:rPr>
          <w:rStyle w:val="IntenseEmphasis"/>
          <w:rFonts w:cs="Arial" w:hint="eastAsia"/>
          <w:i w:val="0"/>
          <w:iCs w:val="0"/>
          <w:color w:val="auto"/>
        </w:rPr>
        <w:t>U</w:t>
      </w:r>
      <w:r w:rsidRPr="0002769E">
        <w:rPr>
          <w:rStyle w:val="IntenseEmphasis"/>
          <w:rFonts w:cs="Arial"/>
          <w:i w:val="0"/>
          <w:iCs w:val="0"/>
          <w:color w:val="auto"/>
        </w:rPr>
        <w:t>” consensus sequence was the common m</w:t>
      </w:r>
      <w:r w:rsidRPr="0002769E">
        <w:rPr>
          <w:rStyle w:val="IntenseEmphasis"/>
          <w:rFonts w:cs="Arial"/>
          <w:i w:val="0"/>
          <w:iCs w:val="0"/>
          <w:color w:val="auto"/>
          <w:vertAlign w:val="superscript"/>
        </w:rPr>
        <w:t>6</w:t>
      </w:r>
      <w:r w:rsidRPr="0002769E">
        <w:rPr>
          <w:rStyle w:val="IntenseEmphasis"/>
          <w:rFonts w:cs="Arial"/>
          <w:i w:val="0"/>
          <w:iCs w:val="0"/>
          <w:color w:val="auto"/>
        </w:rPr>
        <w:t>A motif enriched in the m</w:t>
      </w:r>
      <w:r w:rsidRPr="0002769E">
        <w:rPr>
          <w:rStyle w:val="IntenseEmphasis"/>
          <w:rFonts w:cs="Arial"/>
          <w:i w:val="0"/>
          <w:iCs w:val="0"/>
          <w:color w:val="auto"/>
          <w:vertAlign w:val="superscript"/>
        </w:rPr>
        <w:t>6</w:t>
      </w:r>
      <w:r w:rsidRPr="0002769E">
        <w:rPr>
          <w:rStyle w:val="IntenseEmphasis"/>
          <w:rFonts w:cs="Arial"/>
          <w:i w:val="0"/>
          <w:iCs w:val="0"/>
          <w:color w:val="auto"/>
        </w:rPr>
        <w:t>A peaks. Furthermore, most of the ALKBH5-binding sites</w:t>
      </w:r>
      <w:r w:rsidRPr="0002769E">
        <w:rPr>
          <w:rFonts w:cs="Arial"/>
          <w:i/>
          <w:iCs/>
        </w:rPr>
        <w:t xml:space="preserve"> </w:t>
      </w:r>
      <w:r w:rsidRPr="0002769E">
        <w:rPr>
          <w:rStyle w:val="IntenseEmphasis"/>
          <w:rFonts w:cs="Arial"/>
          <w:i w:val="0"/>
          <w:iCs w:val="0"/>
          <w:color w:val="auto"/>
        </w:rPr>
        <w:t xml:space="preserve">were highly enriched in </w:t>
      </w:r>
      <w:r w:rsidRPr="0002769E">
        <w:rPr>
          <w:rFonts w:cs="Arial"/>
          <w:i/>
          <w:iCs/>
        </w:rPr>
        <w:t>3ʹ-UTR</w:t>
      </w:r>
      <w:r w:rsidRPr="0002769E">
        <w:rPr>
          <w:rStyle w:val="IntenseEmphasis"/>
          <w:rFonts w:cs="Arial"/>
          <w:i w:val="0"/>
          <w:iCs w:val="0"/>
          <w:color w:val="auto"/>
        </w:rPr>
        <w:t>, especially enriched in the vicinity of the stop codon, which was coincidence with the m</w:t>
      </w:r>
      <w:r w:rsidRPr="0002769E">
        <w:rPr>
          <w:rStyle w:val="IntenseEmphasis"/>
          <w:rFonts w:cs="Arial"/>
          <w:i w:val="0"/>
          <w:iCs w:val="0"/>
          <w:color w:val="auto"/>
          <w:vertAlign w:val="superscript"/>
        </w:rPr>
        <w:t>6</w:t>
      </w:r>
      <w:r w:rsidRPr="0002769E">
        <w:rPr>
          <w:rStyle w:val="IntenseEmphasis"/>
          <w:rFonts w:cs="Arial"/>
          <w:i w:val="0"/>
          <w:iCs w:val="0"/>
          <w:color w:val="auto"/>
        </w:rPr>
        <w:t xml:space="preserve">A distribution.  We then download the DNA sequences on </w:t>
      </w:r>
      <w:proofErr w:type="spellStart"/>
      <w:r w:rsidRPr="0002769E">
        <w:rPr>
          <w:rStyle w:val="IntenseEmphasis"/>
          <w:rFonts w:cs="Arial"/>
          <w:i w:val="0"/>
          <w:iCs w:val="0"/>
          <w:color w:val="auto"/>
        </w:rPr>
        <w:t>Ensembl</w:t>
      </w:r>
      <w:proofErr w:type="spellEnd"/>
      <w:r w:rsidRPr="0002769E">
        <w:rPr>
          <w:rStyle w:val="IntenseEmphasis"/>
          <w:rFonts w:cs="Arial"/>
          <w:i w:val="0"/>
          <w:iCs w:val="0"/>
          <w:color w:val="auto"/>
        </w:rPr>
        <w:t xml:space="preserve"> (</w:t>
      </w:r>
      <w:hyperlink r:id="rId6" w:history="1">
        <w:r w:rsidRPr="0002769E">
          <w:rPr>
            <w:rStyle w:val="Hyperlink"/>
            <w:rFonts w:cs="Arial"/>
            <w:i/>
            <w:iCs/>
            <w:color w:val="auto"/>
          </w:rPr>
          <w:t>www.ensembl.org</w:t>
        </w:r>
      </w:hyperlink>
      <w:r w:rsidRPr="0002769E">
        <w:rPr>
          <w:rStyle w:val="IntenseEmphasis"/>
          <w:rFonts w:cs="Arial"/>
          <w:i w:val="0"/>
          <w:iCs w:val="0"/>
          <w:color w:val="auto"/>
        </w:rPr>
        <w:t>).GGACU, GGACA, GGACC, AGACU were input to search for sequences consistent with RRACH motif rules. Then A was replaced with C.</w:t>
      </w:r>
      <w:r w:rsidRPr="0002769E">
        <w:rPr>
          <w:rFonts w:cs="Arial"/>
          <w:i/>
          <w:iCs/>
        </w:rPr>
        <w:t xml:space="preserve"> </w:t>
      </w:r>
    </w:p>
    <w:p w14:paraId="4B2A9E90" w14:textId="02776C48" w:rsidR="00D30E5C" w:rsidRPr="004A67AD" w:rsidRDefault="00D30E5C" w:rsidP="0002769E">
      <w:pPr>
        <w:pStyle w:val="Heading2"/>
        <w:rPr>
          <w:rStyle w:val="highlight"/>
        </w:rPr>
      </w:pPr>
      <w:r w:rsidRPr="004A67AD">
        <w:rPr>
          <w:rStyle w:val="highlight"/>
        </w:rPr>
        <w:t>Constructs</w:t>
      </w:r>
      <w:r w:rsidRPr="004A67AD">
        <w:rPr>
          <w:rStyle w:val="highlight"/>
          <w:color w:val="000000"/>
        </w:rPr>
        <w:t xml:space="preserve"> </w:t>
      </w:r>
      <w:r w:rsidRPr="004A67AD">
        <w:rPr>
          <w:rStyle w:val="highlight"/>
        </w:rPr>
        <w:t>and cell culture</w:t>
      </w:r>
    </w:p>
    <w:p w14:paraId="3D11D427" w14:textId="2FC0B061" w:rsidR="00D30E5C" w:rsidRDefault="00D30E5C" w:rsidP="00D30E5C">
      <w:pPr>
        <w:spacing w:before="120"/>
        <w:jc w:val="both"/>
        <w:rPr>
          <w:rStyle w:val="highlight"/>
        </w:rPr>
      </w:pPr>
      <w:r w:rsidRPr="00843113">
        <w:rPr>
          <w:rStyle w:val="highlight"/>
        </w:rPr>
        <w:t>HPSCC Detroit562 (ATCC</w:t>
      </w:r>
      <w:r w:rsidRPr="00843113">
        <w:rPr>
          <w:rStyle w:val="a"/>
          <w:vertAlign w:val="superscript"/>
        </w:rPr>
        <w:t>@</w:t>
      </w:r>
      <w:r w:rsidRPr="00843113">
        <w:rPr>
          <w:rStyle w:val="highlight"/>
        </w:rPr>
        <w:t xml:space="preserve"> CCL138™) and FaDu (ATCC</w:t>
      </w:r>
      <w:r w:rsidRPr="00843113">
        <w:rPr>
          <w:rStyle w:val="a"/>
          <w:vertAlign w:val="superscript"/>
        </w:rPr>
        <w:t>@</w:t>
      </w:r>
      <w:r w:rsidRPr="00843113">
        <w:rPr>
          <w:rStyle w:val="highlight"/>
        </w:rPr>
        <w:t xml:space="preserve"> HTB-43™) cells were purchased from American type culture collection (Manassas, VA) in 2017. </w:t>
      </w:r>
      <w:r w:rsidR="00745237">
        <w:rPr>
          <w:rStyle w:val="highlight"/>
        </w:rPr>
        <w:t>Detroit 562</w:t>
      </w:r>
      <w:r w:rsidRPr="00843113">
        <w:rPr>
          <w:rStyle w:val="highlight"/>
        </w:rPr>
        <w:t xml:space="preserve"> is a metastatic pharyngeal SCC cell line which was obtained from the hydrothorax. FaDu is a primary hypopharyngeal SCC cell line. They both exhibit highly invasive behavior </w:t>
      </w:r>
      <w:r w:rsidRPr="00843113">
        <w:rPr>
          <w:rStyle w:val="a"/>
          <w:i/>
          <w:iCs/>
        </w:rPr>
        <w:t>in vivo</w:t>
      </w:r>
      <w:r w:rsidRPr="00843113">
        <w:rPr>
          <w:rStyle w:val="highlight"/>
        </w:rPr>
        <w:t xml:space="preserve">. The cell line was maintained in complete media of </w:t>
      </w:r>
      <w:proofErr w:type="spellStart"/>
      <w:r w:rsidRPr="00843113">
        <w:rPr>
          <w:rStyle w:val="highlight"/>
        </w:rPr>
        <w:t>dulbecco's</w:t>
      </w:r>
      <w:proofErr w:type="spellEnd"/>
      <w:r w:rsidRPr="00843113">
        <w:rPr>
          <w:rStyle w:val="highlight"/>
        </w:rPr>
        <w:t xml:space="preserve"> modified eagle medium (DMEM) (Solarbio, China) added 10 % bovine serum albumin, 1 % penicillin-streptomycin (Solarbio, China) </w:t>
      </w:r>
      <w:r w:rsidR="00046F92">
        <w:rPr>
          <w:rStyle w:val="highlight"/>
        </w:rPr>
        <w:t xml:space="preserve">. </w:t>
      </w:r>
      <w:r w:rsidR="00046F92" w:rsidRPr="00046F92">
        <w:rPr>
          <w:rStyle w:val="highlight"/>
        </w:rPr>
        <w:t>Culture flasks were kept at 37 °C in a humid incubator with 5% CO2.</w:t>
      </w:r>
    </w:p>
    <w:p w14:paraId="690288E7" w14:textId="4C351ED6" w:rsidR="0083011A" w:rsidRDefault="00396661" w:rsidP="0083011A">
      <w:pPr>
        <w:pStyle w:val="Heading2"/>
        <w:rPr>
          <w:rStyle w:val="highlight"/>
        </w:rPr>
      </w:pPr>
      <w:r>
        <w:rPr>
          <w:rStyle w:val="highlight"/>
        </w:rPr>
        <w:t>Lenti</w:t>
      </w:r>
      <w:r w:rsidRPr="00396661">
        <w:rPr>
          <w:rStyle w:val="highlight"/>
        </w:rPr>
        <w:t xml:space="preserve">virus and </w:t>
      </w:r>
      <w:r w:rsidR="0083011A" w:rsidRPr="0083011A">
        <w:rPr>
          <w:rStyle w:val="highlight"/>
        </w:rPr>
        <w:t>Plasmid construction</w:t>
      </w:r>
    </w:p>
    <w:p w14:paraId="09830753" w14:textId="2F5771ED" w:rsidR="00F42E3D" w:rsidRDefault="00D30E5C" w:rsidP="00280FF4">
      <w:pPr>
        <w:spacing w:before="120"/>
        <w:jc w:val="both"/>
        <w:rPr>
          <w:rStyle w:val="highlight"/>
        </w:rPr>
      </w:pPr>
      <w:r w:rsidRPr="00843113">
        <w:rPr>
          <w:rStyle w:val="highlight"/>
        </w:rPr>
        <w:t xml:space="preserve">shRNA against </w:t>
      </w:r>
      <w:r w:rsidR="002B2617">
        <w:rPr>
          <w:rStyle w:val="highlight"/>
        </w:rPr>
        <w:t xml:space="preserve">ALKBH5 </w:t>
      </w:r>
      <w:r w:rsidRPr="00843113">
        <w:rPr>
          <w:rStyle w:val="highlight"/>
        </w:rPr>
        <w:t xml:space="preserve">and shRNA against </w:t>
      </w:r>
      <w:r w:rsidR="00A75DCB">
        <w:rPr>
          <w:rStyle w:val="highlight"/>
        </w:rPr>
        <w:t>NFE2L2/NRF2</w:t>
      </w:r>
      <w:r w:rsidRPr="00843113">
        <w:rPr>
          <w:rStyle w:val="highlight"/>
        </w:rPr>
        <w:t xml:space="preserve"> were constructed using </w:t>
      </w:r>
      <w:r w:rsidR="00396661" w:rsidRPr="00A75DCB">
        <w:t xml:space="preserve">GV248 </w:t>
      </w:r>
      <w:r w:rsidRPr="00A75DCB">
        <w:t>vector</w:t>
      </w:r>
      <w:r w:rsidR="00A75DCB" w:rsidRPr="00A75DCB">
        <w:t xml:space="preserve"> </w:t>
      </w:r>
      <w:r w:rsidR="00A75DCB">
        <w:t>(</w:t>
      </w:r>
      <w:r w:rsidR="00A75DCB" w:rsidRPr="00A75DCB">
        <w:t>hU6-MCS-CBh-gcGFP-IRES-puromycin</w:t>
      </w:r>
      <w:r w:rsidR="00A75DCB">
        <w:t>)</w:t>
      </w:r>
      <w:r w:rsidRPr="00A75DCB">
        <w:t xml:space="preserve">. </w:t>
      </w:r>
      <w:r w:rsidR="00A75DCB" w:rsidRPr="00A75DCB">
        <w:t>ALKBH5</w:t>
      </w:r>
      <w:r w:rsidR="00280FF4" w:rsidRPr="00A75DCB">
        <w:t xml:space="preserve">-WT and </w:t>
      </w:r>
      <w:r w:rsidR="00A75DCB" w:rsidRPr="00A75DCB">
        <w:t>ALKBH5</w:t>
      </w:r>
      <w:r w:rsidR="00280FF4" w:rsidRPr="00A75DCB">
        <w:t>-Mut (</w:t>
      </w:r>
      <w:r w:rsidR="00A75DCB" w:rsidRPr="00A75DCB">
        <w:t>NM_017758</w:t>
      </w:r>
      <w:r w:rsidR="00A75DCB">
        <w:t xml:space="preserve">, </w:t>
      </w:r>
      <w:r w:rsidR="00A75DCB" w:rsidRPr="00A75DCB">
        <w:t>H204A</w:t>
      </w:r>
      <w:r w:rsidR="00280FF4" w:rsidRPr="00A75DCB">
        <w:t xml:space="preserve">) was amplified by PCR and cloned into </w:t>
      </w:r>
      <w:bookmarkStart w:id="4" w:name="_Hlk70021761"/>
      <w:r w:rsidR="00A75DCB" w:rsidRPr="00A75DCB">
        <w:t>GV141</w:t>
      </w:r>
      <w:bookmarkEnd w:id="4"/>
      <w:r w:rsidR="00A75DCB" w:rsidRPr="00A75DCB">
        <w:t xml:space="preserve"> </w:t>
      </w:r>
      <w:r w:rsidR="00280FF4" w:rsidRPr="00A75DCB">
        <w:t>vector</w:t>
      </w:r>
      <w:r w:rsidR="00A75DCB" w:rsidRPr="00A75DCB">
        <w:t>(CMV-MCS-3FLAG-SV40-Neomycin)</w:t>
      </w:r>
      <w:r w:rsidR="00A76AF7" w:rsidRPr="00A75DCB">
        <w:t xml:space="preserve">. </w:t>
      </w:r>
      <w:r w:rsidR="00A75DCB" w:rsidRPr="00A75DCB">
        <w:rPr>
          <w:rStyle w:val="highlight"/>
        </w:rPr>
        <w:t>NFE2L2</w:t>
      </w:r>
      <w:r w:rsidR="00F42E3D" w:rsidRPr="00280FF4">
        <w:rPr>
          <w:rStyle w:val="highlight"/>
        </w:rPr>
        <w:t>-</w:t>
      </w:r>
      <w:r w:rsidR="00F42E3D" w:rsidRPr="00A75DCB">
        <w:t xml:space="preserve">WT and </w:t>
      </w:r>
      <w:r w:rsidR="00A75DCB" w:rsidRPr="00A75DCB">
        <w:t>NFE2L2</w:t>
      </w:r>
      <w:r w:rsidR="00F42E3D" w:rsidRPr="00A75DCB">
        <w:t>-Mut</w:t>
      </w:r>
      <w:r w:rsidR="00A75DCB" w:rsidRPr="00A75DCB">
        <w:t xml:space="preserve"> </w:t>
      </w:r>
      <w:r w:rsidR="00A75DCB">
        <w:t>(</w:t>
      </w:r>
      <w:r w:rsidR="00A75DCB" w:rsidRPr="00A75DCB">
        <w:t>ENST00000464747.5-3utr</w:t>
      </w:r>
      <w:r w:rsidR="00A75DCB">
        <w:t>)</w:t>
      </w:r>
      <w:r w:rsidR="00F42E3D" w:rsidRPr="00A75DCB">
        <w:t xml:space="preserve"> was am</w:t>
      </w:r>
      <w:r w:rsidR="00F42E3D" w:rsidRPr="00280FF4">
        <w:rPr>
          <w:rStyle w:val="highlight"/>
        </w:rPr>
        <w:t xml:space="preserve">plified by PCR </w:t>
      </w:r>
      <w:r w:rsidR="00F42E3D">
        <w:rPr>
          <w:rStyle w:val="highlight"/>
        </w:rPr>
        <w:t xml:space="preserve">and cloned into </w:t>
      </w:r>
      <w:bookmarkStart w:id="5" w:name="_Hlk70020758"/>
      <w:r w:rsidR="00A75DCB" w:rsidRPr="00A75DCB">
        <w:rPr>
          <w:rStyle w:val="highlight"/>
        </w:rPr>
        <w:t>GV306</w:t>
      </w:r>
      <w:bookmarkEnd w:id="5"/>
      <w:r w:rsidR="00271EA8">
        <w:rPr>
          <w:rStyle w:val="highlight"/>
        </w:rPr>
        <w:t xml:space="preserve"> </w:t>
      </w:r>
      <w:r w:rsidR="00626756">
        <w:rPr>
          <w:rStyle w:val="highlight"/>
        </w:rPr>
        <w:t>vector</w:t>
      </w:r>
      <w:r w:rsidR="00A75DCB">
        <w:rPr>
          <w:rStyle w:val="highlight"/>
        </w:rPr>
        <w:t>(</w:t>
      </w:r>
      <w:r w:rsidR="00A75DCB" w:rsidRPr="00A75DCB">
        <w:rPr>
          <w:rStyle w:val="highlight"/>
        </w:rPr>
        <w:t>SV40-firefly_Luciferase-MCS-PloyA-Tk-Renilla_Luciferase-PolyA</w:t>
      </w:r>
      <w:r w:rsidR="00A75DCB">
        <w:rPr>
          <w:rStyle w:val="highlight"/>
        </w:rPr>
        <w:t>)</w:t>
      </w:r>
      <w:r w:rsidR="00B8411D">
        <w:rPr>
          <w:rStyle w:val="highlight"/>
        </w:rPr>
        <w:t xml:space="preserve">. Those </w:t>
      </w:r>
      <w:r w:rsidR="00473E91">
        <w:rPr>
          <w:rStyle w:val="highlight"/>
        </w:rPr>
        <w:t xml:space="preserve">recombinant </w:t>
      </w:r>
      <w:r w:rsidR="00B8411D">
        <w:rPr>
          <w:rStyle w:val="highlight"/>
        </w:rPr>
        <w:t xml:space="preserve">plasmids </w:t>
      </w:r>
      <w:r w:rsidR="00B8411D" w:rsidRPr="00A76AF7">
        <w:rPr>
          <w:rStyle w:val="highlight"/>
        </w:rPr>
        <w:t>were constructed by Gene</w:t>
      </w:r>
      <w:r w:rsidR="00B8411D">
        <w:rPr>
          <w:rStyle w:val="highlight"/>
        </w:rPr>
        <w:t xml:space="preserve"> Chemistry(</w:t>
      </w:r>
      <w:r w:rsidR="00B8411D" w:rsidRPr="00A76AF7">
        <w:rPr>
          <w:rStyle w:val="highlight"/>
        </w:rPr>
        <w:t>Shanghai, China</w:t>
      </w:r>
      <w:r w:rsidR="009E683D">
        <w:rPr>
          <w:rStyle w:val="highlight"/>
        </w:rPr>
        <w:t xml:space="preserve">). </w:t>
      </w:r>
      <w:r w:rsidR="00AC5B88" w:rsidRPr="00843113">
        <w:rPr>
          <w:rStyle w:val="highlight"/>
        </w:rPr>
        <w:t xml:space="preserve">All the constructs were verified by sequencing, detailed cloning information can be provided upon request.  </w:t>
      </w:r>
      <w:r w:rsidR="00B8411D">
        <w:rPr>
          <w:rStyle w:val="highlight"/>
        </w:rPr>
        <w:t xml:space="preserve"> </w:t>
      </w:r>
      <w:r w:rsidR="00396661">
        <w:rPr>
          <w:rStyle w:val="highlight"/>
        </w:rPr>
        <w:t xml:space="preserve"> </w:t>
      </w:r>
      <w:r w:rsidR="00A75DCB">
        <w:rPr>
          <w:rStyle w:val="highlight"/>
        </w:rPr>
        <w:t xml:space="preserve"> </w:t>
      </w:r>
    </w:p>
    <w:p w14:paraId="32E71496" w14:textId="7FBB3E00" w:rsidR="0083011A" w:rsidRDefault="0083011A" w:rsidP="0083011A">
      <w:pPr>
        <w:pStyle w:val="Heading2"/>
        <w:rPr>
          <w:rStyle w:val="highlight"/>
        </w:rPr>
      </w:pPr>
      <w:r w:rsidRPr="0083011A">
        <w:rPr>
          <w:rStyle w:val="highlight"/>
        </w:rPr>
        <w:t>Lentivirus packaging and generation of stable cell lines</w:t>
      </w:r>
    </w:p>
    <w:p w14:paraId="22A2814A" w14:textId="5F0CCF22" w:rsidR="008F749F" w:rsidRDefault="00081834" w:rsidP="008F749F">
      <w:pPr>
        <w:spacing w:before="120"/>
        <w:jc w:val="both"/>
        <w:rPr>
          <w:rStyle w:val="highlight"/>
          <w:rFonts w:cs="Arial"/>
        </w:rPr>
      </w:pPr>
      <w:r w:rsidRPr="00843113">
        <w:rPr>
          <w:rStyle w:val="highlight"/>
        </w:rPr>
        <w:t xml:space="preserve">The lenti-viruses were generated according to the manufacturers protocol. </w:t>
      </w:r>
      <w:r w:rsidRPr="00081834">
        <w:rPr>
          <w:rStyle w:val="highlight"/>
        </w:rPr>
        <w:t>Lipofectamine 3000 reagent (Invitrogen) was incubated</w:t>
      </w:r>
      <w:r>
        <w:rPr>
          <w:rStyle w:val="highlight"/>
        </w:rPr>
        <w:t xml:space="preserve"> </w:t>
      </w:r>
      <w:r w:rsidRPr="00081834">
        <w:rPr>
          <w:rStyle w:val="highlight"/>
        </w:rPr>
        <w:t>with Opti-MEM I Reduced Serum Medium (GIBCO),</w:t>
      </w:r>
      <w:r>
        <w:rPr>
          <w:rStyle w:val="highlight"/>
        </w:rPr>
        <w:t xml:space="preserve"> </w:t>
      </w:r>
      <w:r w:rsidRPr="00081834">
        <w:rPr>
          <w:rStyle w:val="highlight"/>
        </w:rPr>
        <w:t xml:space="preserve">and HEK239T cells were transfected with </w:t>
      </w:r>
      <w:r w:rsidR="007D0D26">
        <w:rPr>
          <w:rStyle w:val="highlight"/>
        </w:rPr>
        <w:t>7.5ug</w:t>
      </w:r>
      <w:r w:rsidRPr="00081834">
        <w:rPr>
          <w:rStyle w:val="highlight"/>
        </w:rPr>
        <w:t xml:space="preserve"> </w:t>
      </w:r>
      <w:r w:rsidRPr="00AC5B88">
        <w:rPr>
          <w:rStyle w:val="highlight"/>
          <w:rFonts w:cs="Arial"/>
        </w:rPr>
        <w:t xml:space="preserve">of plasmid. Eight hours after transfection, the medium was replaced with 10 mL of fresh medium. The supernatant containing the </w:t>
      </w:r>
      <w:r w:rsidR="00D30E5C" w:rsidRPr="00AC5B88">
        <w:rPr>
          <w:rStyle w:val="highlight"/>
          <w:rFonts w:cs="Arial"/>
        </w:rPr>
        <w:t>lentivirus particles were collected 48h post-transfection, filtered through 0</w:t>
      </w:r>
      <w:r w:rsidR="00D30E5C" w:rsidRPr="00922A7E">
        <w:rPr>
          <w:rStyle w:val="highlight"/>
          <w:rFonts w:cs="Arial"/>
        </w:rPr>
        <w:t>.45</w:t>
      </w:r>
      <w:r w:rsidR="00922A7E" w:rsidRPr="00922A7E">
        <w:rPr>
          <w:rStyle w:val="highlight"/>
          <w:rFonts w:cs="Arial"/>
        </w:rPr>
        <w:t>μ</w:t>
      </w:r>
      <w:r w:rsidR="00D30E5C" w:rsidRPr="00922A7E">
        <w:rPr>
          <w:rStyle w:val="highlight"/>
          <w:rFonts w:cs="Arial"/>
        </w:rPr>
        <w:t>m P</w:t>
      </w:r>
      <w:r w:rsidR="00D30E5C" w:rsidRPr="00AC5B88">
        <w:rPr>
          <w:rStyle w:val="highlight"/>
          <w:rFonts w:cs="Arial"/>
        </w:rPr>
        <w:t>VDF filter and transfected into cells</w:t>
      </w:r>
      <w:r w:rsidR="00AC5B88" w:rsidRPr="00AC5B88">
        <w:rPr>
          <w:rStyle w:val="highlight"/>
          <w:rFonts w:cs="Arial"/>
        </w:rPr>
        <w:t xml:space="preserve"> immediately. Viruses carrying a given plasmid were premixed 1:1, and 50 μ</w:t>
      </w:r>
      <w:r w:rsidR="008F749F">
        <w:rPr>
          <w:rStyle w:val="highlight"/>
          <w:rFonts w:cs="Arial"/>
        </w:rPr>
        <w:t xml:space="preserve">l </w:t>
      </w:r>
      <w:r w:rsidR="00AC5B88" w:rsidRPr="00AC5B88">
        <w:rPr>
          <w:rStyle w:val="highlight"/>
          <w:rFonts w:cs="Arial"/>
        </w:rPr>
        <w:t xml:space="preserve">of virus was added to 1 mL of serum. 24 hours prior to transfection, tumor cells were seeded at </w:t>
      </w:r>
      <w:r w:rsidR="006140A7">
        <w:t>10</w:t>
      </w:r>
      <w:r w:rsidR="006140A7" w:rsidRPr="00A1077C">
        <w:t xml:space="preserve">0,000 </w:t>
      </w:r>
      <w:r w:rsidR="00AC5B88" w:rsidRPr="00AC5B88">
        <w:rPr>
          <w:rStyle w:val="highlight"/>
          <w:rFonts w:cs="Arial"/>
        </w:rPr>
        <w:t>cells per well in 6</w:t>
      </w:r>
      <w:r w:rsidR="008F749F">
        <w:rPr>
          <w:rStyle w:val="highlight"/>
          <w:rFonts w:cs="Arial"/>
        </w:rPr>
        <w:t xml:space="preserve"> </w:t>
      </w:r>
      <w:r w:rsidR="00AC5B88" w:rsidRPr="00AC5B88">
        <w:rPr>
          <w:rStyle w:val="highlight"/>
          <w:rFonts w:cs="Arial"/>
        </w:rPr>
        <w:t xml:space="preserve">cm </w:t>
      </w:r>
      <w:r w:rsidR="008F749F" w:rsidRPr="00AC5B88">
        <w:rPr>
          <w:rStyle w:val="highlight"/>
          <w:rFonts w:cs="Arial"/>
        </w:rPr>
        <w:t>dish</w:t>
      </w:r>
      <w:r w:rsidR="008F749F">
        <w:rPr>
          <w:rStyle w:val="highlight"/>
          <w:rFonts w:cs="Arial"/>
        </w:rPr>
        <w:t>es</w:t>
      </w:r>
      <w:r w:rsidR="00AC5B88" w:rsidRPr="00AC5B88">
        <w:rPr>
          <w:rStyle w:val="highlight"/>
          <w:rFonts w:cs="Arial"/>
        </w:rPr>
        <w:t xml:space="preserve">, and the medium was replaced with virus-containing supernatant. After 48 h, the medium was replaced with fresh medium. Cells were selected by </w:t>
      </w:r>
      <w:r w:rsidR="008F749F">
        <w:rPr>
          <w:rStyle w:val="highlight"/>
          <w:rFonts w:cs="Arial"/>
        </w:rPr>
        <w:t>i</w:t>
      </w:r>
      <w:r w:rsidR="008F749F" w:rsidRPr="008F749F">
        <w:rPr>
          <w:rStyle w:val="highlight"/>
          <w:rFonts w:cs="Arial"/>
        </w:rPr>
        <w:t>ncubation with 4 μg/</w:t>
      </w:r>
      <w:r w:rsidR="008F749F">
        <w:rPr>
          <w:rStyle w:val="highlight"/>
          <w:rFonts w:cs="Arial"/>
        </w:rPr>
        <w:t>m</w:t>
      </w:r>
      <w:r w:rsidR="008F749F" w:rsidRPr="008F749F">
        <w:rPr>
          <w:rStyle w:val="highlight"/>
          <w:rFonts w:cs="Arial"/>
        </w:rPr>
        <w:t xml:space="preserve">l puromycin for 2 weeks and maintained in </w:t>
      </w:r>
      <w:r w:rsidR="008F749F">
        <w:rPr>
          <w:rStyle w:val="highlight"/>
          <w:rFonts w:cs="Arial"/>
        </w:rPr>
        <w:t>1</w:t>
      </w:r>
      <w:r w:rsidR="008F749F" w:rsidRPr="008F749F">
        <w:rPr>
          <w:rStyle w:val="highlight"/>
          <w:rFonts w:cs="Arial"/>
        </w:rPr>
        <w:t xml:space="preserve"> μg/</w:t>
      </w:r>
      <w:r w:rsidR="008F749F">
        <w:rPr>
          <w:rStyle w:val="highlight"/>
          <w:rFonts w:cs="Arial"/>
        </w:rPr>
        <w:t>m</w:t>
      </w:r>
      <w:r w:rsidR="008F749F" w:rsidRPr="008F749F">
        <w:rPr>
          <w:rStyle w:val="highlight"/>
          <w:rFonts w:cs="Arial"/>
        </w:rPr>
        <w:t xml:space="preserve">l puromycin. </w:t>
      </w:r>
    </w:p>
    <w:p w14:paraId="198BC0F2" w14:textId="77777777" w:rsidR="00351925" w:rsidRDefault="00D30E5C" w:rsidP="00613373">
      <w:pPr>
        <w:pStyle w:val="Heading2"/>
        <w:rPr>
          <w:rStyle w:val="highlight"/>
        </w:rPr>
      </w:pPr>
      <w:r w:rsidRPr="004A67AD">
        <w:rPr>
          <w:rStyle w:val="highlight"/>
        </w:rPr>
        <w:lastRenderedPageBreak/>
        <w:t>Cell growth, cell proliferation</w:t>
      </w:r>
    </w:p>
    <w:p w14:paraId="63A93C36" w14:textId="4FAC2171" w:rsidR="00F9113F" w:rsidRDefault="00F9113F" w:rsidP="00351925">
      <w:pPr>
        <w:rPr>
          <w:rStyle w:val="highlight"/>
        </w:rPr>
      </w:pPr>
      <w:r>
        <w:rPr>
          <w:rStyle w:val="highlight"/>
        </w:rPr>
        <w:t>C</w:t>
      </w:r>
      <w:r w:rsidRPr="00843113">
        <w:rPr>
          <w:rStyle w:val="highlight"/>
        </w:rPr>
        <w:t>ells</w:t>
      </w:r>
      <w:r>
        <w:rPr>
          <w:rStyle w:val="highlight"/>
        </w:rPr>
        <w:t xml:space="preserve"> were</w:t>
      </w:r>
      <w:r w:rsidRPr="00843113">
        <w:rPr>
          <w:rStyle w:val="highlight"/>
        </w:rPr>
        <w:t xml:space="preserve"> plated in 96-well plates </w:t>
      </w:r>
      <w:r>
        <w:rPr>
          <w:rStyle w:val="highlight"/>
        </w:rPr>
        <w:t>(</w:t>
      </w:r>
      <w:r w:rsidRPr="00F9113F">
        <w:rPr>
          <w:rStyle w:val="highlight"/>
        </w:rPr>
        <w:t>2,000 cells per well</w:t>
      </w:r>
      <w:r>
        <w:rPr>
          <w:rStyle w:val="highlight"/>
        </w:rPr>
        <w:t>)</w:t>
      </w:r>
      <w:r w:rsidRPr="00F9113F">
        <w:rPr>
          <w:rStyle w:val="highlight"/>
        </w:rPr>
        <w:t xml:space="preserve"> and treated with the </w:t>
      </w:r>
      <w:r>
        <w:rPr>
          <w:rStyle w:val="highlight"/>
        </w:rPr>
        <w:t xml:space="preserve">different </w:t>
      </w:r>
      <w:r w:rsidRPr="00F9113F">
        <w:rPr>
          <w:rStyle w:val="highlight"/>
        </w:rPr>
        <w:t>compounds</w:t>
      </w:r>
      <w:r>
        <w:rPr>
          <w:rStyle w:val="highlight"/>
        </w:rPr>
        <w:t xml:space="preserve">. </w:t>
      </w:r>
    </w:p>
    <w:p w14:paraId="142DBA19" w14:textId="30F80A9A" w:rsidR="00F9113F" w:rsidRDefault="00F9113F" w:rsidP="00D30E5C">
      <w:pPr>
        <w:rPr>
          <w:rStyle w:val="highlight"/>
        </w:rPr>
      </w:pPr>
      <w:r w:rsidRPr="00F9113F">
        <w:rPr>
          <w:rStyle w:val="highlight"/>
        </w:rPr>
        <w:t xml:space="preserve">Cell viability was assessed at different time points after treatment using </w:t>
      </w:r>
      <w:proofErr w:type="spellStart"/>
      <w:r w:rsidRPr="0050225E">
        <w:rPr>
          <w:rStyle w:val="highlight"/>
        </w:rPr>
        <w:t>Alamar</w:t>
      </w:r>
      <w:proofErr w:type="spellEnd"/>
      <w:r w:rsidRPr="0050225E">
        <w:rPr>
          <w:rStyle w:val="highlight"/>
        </w:rPr>
        <w:t xml:space="preserve"> Blue (</w:t>
      </w:r>
      <w:r w:rsidR="0050225E" w:rsidRPr="0050225E">
        <w:rPr>
          <w:rStyle w:val="highlight"/>
        </w:rPr>
        <w:t>Invitrogen, A50100</w:t>
      </w:r>
      <w:r w:rsidRPr="0050225E">
        <w:rPr>
          <w:rStyle w:val="highlight"/>
        </w:rPr>
        <w:t>)</w:t>
      </w:r>
      <w:r w:rsidRPr="00F9113F">
        <w:rPr>
          <w:rStyle w:val="highlight"/>
        </w:rPr>
        <w:t xml:space="preserve"> as an indicator of viable cells according to the manufacturer’s recommendations</w:t>
      </w:r>
      <w:r>
        <w:rPr>
          <w:rStyle w:val="highlight"/>
        </w:rPr>
        <w:t xml:space="preserve">. </w:t>
      </w:r>
      <w:r w:rsidR="00A1077C" w:rsidRPr="00A1077C">
        <w:rPr>
          <w:rStyle w:val="highlight"/>
        </w:rPr>
        <w:t>. Cell death was quantified by measuring released lactate dehydrogenase (LDH) activity after different time points using the Cytotoxicity Detection Kit (LDH) according to the manufacturer’s instructions (Roche Diagnostics). Colony formation assays were evaluated the proliferation of HPSCC cells.</w:t>
      </w:r>
    </w:p>
    <w:p w14:paraId="68A1137B" w14:textId="38CA4907" w:rsidR="00D30E5C" w:rsidRDefault="00D30E5C" w:rsidP="00D30E5C">
      <w:pPr>
        <w:rPr>
          <w:rStyle w:val="highlight"/>
        </w:rPr>
      </w:pPr>
      <w:r w:rsidRPr="00843113">
        <w:rPr>
          <w:rStyle w:val="highlight"/>
        </w:rPr>
        <w:t xml:space="preserve">For </w:t>
      </w:r>
      <w:r w:rsidR="00F9113F">
        <w:rPr>
          <w:rStyle w:val="highlight"/>
        </w:rPr>
        <w:t xml:space="preserve"> </w:t>
      </w:r>
      <w:r w:rsidR="008F749F">
        <w:rPr>
          <w:rStyle w:val="highlight"/>
        </w:rPr>
        <w:t xml:space="preserve">colony </w:t>
      </w:r>
      <w:proofErr w:type="spellStart"/>
      <w:r w:rsidR="008F749F">
        <w:rPr>
          <w:rStyle w:val="highlight"/>
        </w:rPr>
        <w:t>formity</w:t>
      </w:r>
      <w:proofErr w:type="spellEnd"/>
      <w:r w:rsidR="008F749F">
        <w:rPr>
          <w:rStyle w:val="highlight"/>
        </w:rPr>
        <w:t xml:space="preserve"> </w:t>
      </w:r>
      <w:r w:rsidRPr="00843113">
        <w:rPr>
          <w:rStyle w:val="highlight"/>
        </w:rPr>
        <w:t xml:space="preserve">assays, tested cell lines were plated into 12-well plates and the cell numbers were subsequently counted each day. </w:t>
      </w:r>
      <w:r w:rsidR="00A1077C">
        <w:rPr>
          <w:rStyle w:val="highlight"/>
        </w:rPr>
        <w:t xml:space="preserve"> </w:t>
      </w:r>
    </w:p>
    <w:p w14:paraId="41263968" w14:textId="4D09C2D7" w:rsidR="00A1077C" w:rsidRDefault="00A1077C" w:rsidP="00A1077C">
      <w:pPr>
        <w:pStyle w:val="Heading2"/>
        <w:rPr>
          <w:rStyle w:val="highlight"/>
        </w:rPr>
      </w:pPr>
      <w:r w:rsidRPr="00A1077C">
        <w:rPr>
          <w:rStyle w:val="highlight"/>
        </w:rPr>
        <w:t xml:space="preserve">Assessment of lipid peroxidation with C11-BODIPY </w:t>
      </w:r>
      <w:r w:rsidR="00874D1F">
        <w:rPr>
          <w:rStyle w:val="highlight"/>
        </w:rPr>
        <w:t>581/591</w:t>
      </w:r>
    </w:p>
    <w:p w14:paraId="3E0EA152" w14:textId="34A29327" w:rsidR="00A1077C" w:rsidRPr="00A1077C" w:rsidRDefault="006140A7" w:rsidP="00A1077C">
      <w:r>
        <w:t>3</w:t>
      </w:r>
      <w:r w:rsidR="00A1077C">
        <w:t>0</w:t>
      </w:r>
      <w:r w:rsidR="00A1077C" w:rsidRPr="00A1077C">
        <w:t xml:space="preserve">0,000 cells per well were seeded in 6-well dishes </w:t>
      </w:r>
      <w:r w:rsidR="00A1077C">
        <w:t xml:space="preserve">24 hours </w:t>
      </w:r>
      <w:r w:rsidR="00A1077C" w:rsidRPr="00A1077C">
        <w:t xml:space="preserve">before the experiment. On the next day, cells were treated with indicated concentrations of RSL3 to induce ferroptosis. Cells were incubated with BODIPY (2.5uM) for </w:t>
      </w:r>
      <w:r w:rsidR="00A1077C">
        <w:t>10</w:t>
      </w:r>
      <w:r w:rsidR="00A1077C" w:rsidRPr="00A1077C">
        <w:t xml:space="preserve"> min at 37 °C in a tissue culture incubator before harvest by trypsinization. Subsequently, cells were resuspended in </w:t>
      </w:r>
      <w:r w:rsidR="00A1077C">
        <w:t>2</w:t>
      </w:r>
      <w:r w:rsidR="00A1077C" w:rsidRPr="00A1077C">
        <w:t xml:space="preserve">00 </w:t>
      </w:r>
      <w:proofErr w:type="spellStart"/>
      <w:r w:rsidR="00A1077C" w:rsidRPr="00A1077C">
        <w:t>μL</w:t>
      </w:r>
      <w:proofErr w:type="spellEnd"/>
      <w:r w:rsidR="00A1077C" w:rsidRPr="00A1077C">
        <w:t xml:space="preserve"> fresh PBS strained through a 35 μM cell strainer (Falcon tube with cell strainer CAP) and analyzed using the 488-nm laser of a flow cytometer (FACS Canto II, BD Biosciences) for excitation. Data were collected from the FL1 detector (BODIPY/Spy-LHP) with a </w:t>
      </w:r>
      <w:r w:rsidR="00A1077C" w:rsidRPr="0050225E">
        <w:t>5</w:t>
      </w:r>
      <w:r w:rsidR="00874D1F" w:rsidRPr="0050225E">
        <w:t>02</w:t>
      </w:r>
      <w:r w:rsidR="00A1077C" w:rsidRPr="0050225E">
        <w:t xml:space="preserve"> low-pass and 530/30 </w:t>
      </w:r>
      <w:r w:rsidR="00A1077C" w:rsidRPr="00A1077C">
        <w:t>band-pass filter. At least 10,000 cells were analyzed per sample. Data analysis was conducted using the FlowJo Software.</w:t>
      </w:r>
    </w:p>
    <w:p w14:paraId="4990FA7B" w14:textId="133663A4" w:rsidR="00D30E5C" w:rsidRPr="004A67AD" w:rsidRDefault="00D30E5C" w:rsidP="008F749F">
      <w:pPr>
        <w:pStyle w:val="Heading2"/>
        <w:rPr>
          <w:rStyle w:val="highlight"/>
        </w:rPr>
      </w:pPr>
      <w:r w:rsidRPr="004A67AD">
        <w:rPr>
          <w:rStyle w:val="highlight"/>
        </w:rPr>
        <w:t xml:space="preserve">Histology, immunohistochemical staining and </w:t>
      </w:r>
      <w:bookmarkStart w:id="6" w:name="_Hlk33824807"/>
      <w:r w:rsidRPr="004A67AD">
        <w:rPr>
          <w:rStyle w:val="highlight"/>
        </w:rPr>
        <w:t xml:space="preserve">immunofluorescence </w:t>
      </w:r>
      <w:proofErr w:type="gramStart"/>
      <w:r w:rsidRPr="004A67AD">
        <w:rPr>
          <w:rStyle w:val="highlight"/>
        </w:rPr>
        <w:t>staining</w:t>
      </w:r>
      <w:bookmarkEnd w:id="6"/>
      <w:proofErr w:type="gramEnd"/>
    </w:p>
    <w:p w14:paraId="1974EC57" w14:textId="0A5C98F3" w:rsidR="00D30E5C" w:rsidRDefault="00D30E5C" w:rsidP="001D10D4">
      <w:pPr>
        <w:rPr>
          <w:rStyle w:val="highlight"/>
        </w:rPr>
      </w:pPr>
      <w:r w:rsidRPr="00843113">
        <w:rPr>
          <w:rStyle w:val="highlight"/>
        </w:rPr>
        <w:t>Paraffin-embedded tissue sections (5 μm) were deparaffinized in xylene and rehydrated in ethanol gradient. Sections were also stained with hematoxylin and eosin (HE).</w:t>
      </w:r>
      <w:r w:rsidR="008F749F">
        <w:rPr>
          <w:rStyle w:val="highlight"/>
        </w:rPr>
        <w:t xml:space="preserve"> </w:t>
      </w:r>
      <w:r w:rsidRPr="00843113">
        <w:rPr>
          <w:rStyle w:val="highlight"/>
        </w:rPr>
        <w:t xml:space="preserve">For immunohistochemical (IHC) staining, the slides were incubated with 10% </w:t>
      </w:r>
      <w:proofErr w:type="spellStart"/>
      <w:r w:rsidRPr="00843113">
        <w:rPr>
          <w:rStyle w:val="highlight"/>
        </w:rPr>
        <w:t>preimmune</w:t>
      </w:r>
      <w:proofErr w:type="spellEnd"/>
      <w:r w:rsidRPr="00843113">
        <w:rPr>
          <w:rStyle w:val="highlight"/>
        </w:rPr>
        <w:t xml:space="preserve"> serum for 60min at room temperature. After incubation with a 1:100 dilution of primary </w:t>
      </w:r>
      <w:r w:rsidRPr="00402009">
        <w:rPr>
          <w:rStyle w:val="highlight"/>
        </w:rPr>
        <w:t xml:space="preserve">antibody to </w:t>
      </w:r>
      <w:r w:rsidR="00402009" w:rsidRPr="00402009">
        <w:rPr>
          <w:rStyle w:val="highlight"/>
        </w:rPr>
        <w:t>ALKBH5 (ab195377</w:t>
      </w:r>
      <w:r w:rsidR="00402009" w:rsidRPr="00402009">
        <w:rPr>
          <w:rStyle w:val="highlight"/>
        </w:rPr>
        <w:t>，</w:t>
      </w:r>
      <w:r w:rsidR="00402009" w:rsidRPr="00402009">
        <w:rPr>
          <w:rStyle w:val="highlight"/>
        </w:rPr>
        <w:t>Abcam), NRF2(ab62352</w:t>
      </w:r>
      <w:r w:rsidR="00402009" w:rsidRPr="00402009">
        <w:rPr>
          <w:rStyle w:val="highlight"/>
        </w:rPr>
        <w:t>，</w:t>
      </w:r>
      <w:r w:rsidR="00402009" w:rsidRPr="00402009">
        <w:rPr>
          <w:rStyle w:val="highlight"/>
        </w:rPr>
        <w:t>Abcam)</w:t>
      </w:r>
      <w:r w:rsidR="0050225E">
        <w:rPr>
          <w:rStyle w:val="highlight"/>
        </w:rPr>
        <w:t xml:space="preserve"> </w:t>
      </w:r>
      <w:r w:rsidRPr="00843113">
        <w:rPr>
          <w:rStyle w:val="highlight"/>
        </w:rPr>
        <w:t xml:space="preserve">at </w:t>
      </w:r>
      <w:r w:rsidRPr="003C2FF2">
        <w:rPr>
          <w:rStyle w:val="highlight"/>
        </w:rPr>
        <w:t xml:space="preserve">4 </w:t>
      </w:r>
      <w:r w:rsidRPr="00402009">
        <w:rPr>
          <w:rStyle w:val="highlight"/>
          <w:rFonts w:ascii="Times New Roman" w:hAnsi="Times New Roman" w:cs="Times New Roman"/>
        </w:rPr>
        <w:t>℃</w:t>
      </w:r>
      <w:r w:rsidRPr="00843113">
        <w:rPr>
          <w:rStyle w:val="highlight"/>
        </w:rPr>
        <w:t xml:space="preserve"> overnight, slides were rinsed with phosphate-buffered saline (PBS) and incubated with a labeled polymer-HRP (</w:t>
      </w:r>
      <w:proofErr w:type="spellStart"/>
      <w:r w:rsidRPr="00843113">
        <w:rPr>
          <w:rStyle w:val="highlight"/>
        </w:rPr>
        <w:t>GTVison</w:t>
      </w:r>
      <w:proofErr w:type="spellEnd"/>
      <w:r w:rsidRPr="00843113">
        <w:rPr>
          <w:rStyle w:val="highlight"/>
        </w:rPr>
        <w:t xml:space="preserve"> TMIII, GK500710) incubated for 60 min. Color reaction was developed by using 3, 3’-diaminobenzidine tetrachloride (DAB) chromogen solution. All slides were counterstained with </w:t>
      </w:r>
      <w:r w:rsidRPr="00402009">
        <w:rPr>
          <w:rStyle w:val="highlight"/>
        </w:rPr>
        <w:t>hematoxylin. The matched IgG isotype antibody was used as a negative control. Staining</w:t>
      </w:r>
      <w:r w:rsidRPr="007E4726">
        <w:rPr>
          <w:rStyle w:val="highlight"/>
          <w:color w:val="000000" w:themeColor="text1"/>
        </w:rPr>
        <w:t xml:space="preserve"> intensity for </w:t>
      </w:r>
      <w:r w:rsidR="007E4726" w:rsidRPr="007E4726">
        <w:rPr>
          <w:rStyle w:val="highlight"/>
          <w:color w:val="000000" w:themeColor="text1"/>
        </w:rPr>
        <w:t>ALKBH5</w:t>
      </w:r>
      <w:r w:rsidR="008F749F" w:rsidRPr="007E4726">
        <w:rPr>
          <w:rStyle w:val="highlight"/>
          <w:color w:val="000000" w:themeColor="text1"/>
        </w:rPr>
        <w:t xml:space="preserve"> and </w:t>
      </w:r>
      <w:r w:rsidR="007E4726" w:rsidRPr="007E4726">
        <w:rPr>
          <w:rStyle w:val="highlight"/>
          <w:color w:val="000000" w:themeColor="text1"/>
        </w:rPr>
        <w:t xml:space="preserve">NRF2 </w:t>
      </w:r>
      <w:r w:rsidRPr="007E4726">
        <w:rPr>
          <w:rStyle w:val="highlight"/>
          <w:color w:val="000000" w:themeColor="text1"/>
        </w:rPr>
        <w:t>w</w:t>
      </w:r>
      <w:r w:rsidR="008F749F" w:rsidRPr="007E4726">
        <w:rPr>
          <w:rStyle w:val="highlight"/>
          <w:color w:val="000000" w:themeColor="text1"/>
        </w:rPr>
        <w:t xml:space="preserve">ere </w:t>
      </w:r>
      <w:r w:rsidRPr="007E4726">
        <w:rPr>
          <w:rStyle w:val="highlight"/>
          <w:color w:val="000000" w:themeColor="text1"/>
        </w:rPr>
        <w:t xml:space="preserve">scored as 0 (negative), 1 (weak), 2 (moderate), and 3 (strong). Staining extent was scored as 0 (0%), </w:t>
      </w:r>
      <w:r w:rsidRPr="00843113">
        <w:rPr>
          <w:rStyle w:val="highlight"/>
        </w:rPr>
        <w:t xml:space="preserve">1 (1-25%), 2 (26-50%), 3 (51-75%), and 4 (76-100%). The scores for </w:t>
      </w:r>
      <w:bookmarkStart w:id="7" w:name="_Hlk32223293"/>
      <w:r w:rsidRPr="00843113">
        <w:rPr>
          <w:rStyle w:val="highlight"/>
        </w:rPr>
        <w:t xml:space="preserve">IHC staining </w:t>
      </w:r>
      <w:bookmarkEnd w:id="7"/>
      <w:r w:rsidRPr="00843113">
        <w:rPr>
          <w:rStyle w:val="highlight"/>
        </w:rPr>
        <w:t xml:space="preserve">of tissue microarrays sections were characterized independently by two pathologists, at 5X and </w:t>
      </w:r>
      <w:r w:rsidR="0000663C">
        <w:rPr>
          <w:rStyle w:val="highlight"/>
        </w:rPr>
        <w:t>4</w:t>
      </w:r>
      <w:r w:rsidRPr="00843113">
        <w:rPr>
          <w:rStyle w:val="highlight"/>
        </w:rPr>
        <w:t xml:space="preserve">0 X magnification based on the staining intensity and extent of staining. All the </w:t>
      </w:r>
      <w:r w:rsidR="0000663C">
        <w:rPr>
          <w:rStyle w:val="highlight"/>
        </w:rPr>
        <w:t>p</w:t>
      </w:r>
      <w:r w:rsidRPr="00843113">
        <w:rPr>
          <w:rStyle w:val="highlight"/>
        </w:rPr>
        <w:t xml:space="preserve"> values were based on the two-sided statistical analysis and P-value less than 0.05 was statistically significant. </w:t>
      </w:r>
    </w:p>
    <w:p w14:paraId="3FF518A2" w14:textId="3F9D39D6" w:rsidR="001D10D4" w:rsidRDefault="001D10D4" w:rsidP="001D10D4">
      <w:pPr>
        <w:rPr>
          <w:rStyle w:val="highlight"/>
        </w:rPr>
      </w:pPr>
      <w:r w:rsidRPr="001D10D4">
        <w:rPr>
          <w:rStyle w:val="highlight"/>
        </w:rPr>
        <w:t>For immunofluorescence experiments, sections</w:t>
      </w:r>
      <w:r>
        <w:rPr>
          <w:rStyle w:val="highlight"/>
        </w:rPr>
        <w:t xml:space="preserve"> </w:t>
      </w:r>
      <w:r w:rsidRPr="001D10D4">
        <w:rPr>
          <w:rStyle w:val="highlight"/>
        </w:rPr>
        <w:t>or cells were incubated with specific antibodies against</w:t>
      </w:r>
      <w:r>
        <w:rPr>
          <w:rStyle w:val="highlight"/>
        </w:rPr>
        <w:t xml:space="preserve"> </w:t>
      </w:r>
      <w:r w:rsidRPr="00402009">
        <w:rPr>
          <w:rStyle w:val="highlight"/>
        </w:rPr>
        <w:t>GPX4 (1:200</w:t>
      </w:r>
      <w:r w:rsidRPr="001D10D4">
        <w:rPr>
          <w:rStyle w:val="highlight"/>
        </w:rPr>
        <w:t>) which was followed by incubation</w:t>
      </w:r>
      <w:r>
        <w:rPr>
          <w:rStyle w:val="highlight"/>
        </w:rPr>
        <w:t xml:space="preserve"> </w:t>
      </w:r>
      <w:r w:rsidRPr="001D10D4">
        <w:rPr>
          <w:rStyle w:val="highlight"/>
        </w:rPr>
        <w:t>with the indicated fluorophore-conjugated secondary</w:t>
      </w:r>
      <w:r>
        <w:rPr>
          <w:rStyle w:val="highlight"/>
        </w:rPr>
        <w:t xml:space="preserve"> </w:t>
      </w:r>
      <w:r w:rsidRPr="001D10D4">
        <w:rPr>
          <w:rStyle w:val="highlight"/>
        </w:rPr>
        <w:t>antibody. Nuclear counterstaining</w:t>
      </w:r>
      <w:r>
        <w:rPr>
          <w:rStyle w:val="highlight"/>
        </w:rPr>
        <w:t xml:space="preserve"> </w:t>
      </w:r>
      <w:r w:rsidRPr="001D10D4">
        <w:rPr>
          <w:rStyle w:val="highlight"/>
        </w:rPr>
        <w:t>was conducted with DAPI, and digital images were</w:t>
      </w:r>
      <w:r>
        <w:rPr>
          <w:rStyle w:val="highlight"/>
        </w:rPr>
        <w:t xml:space="preserve"> </w:t>
      </w:r>
      <w:r w:rsidRPr="001D10D4">
        <w:rPr>
          <w:rStyle w:val="highlight"/>
        </w:rPr>
        <w:t>obtained using a fluorescence microscope (Leica, Germany)</w:t>
      </w:r>
      <w:r>
        <w:rPr>
          <w:rStyle w:val="highlight"/>
        </w:rPr>
        <w:t>.</w:t>
      </w:r>
    </w:p>
    <w:p w14:paraId="21ED322C" w14:textId="5826CC44" w:rsidR="00ED5201" w:rsidRPr="00ED5201" w:rsidRDefault="00730087" w:rsidP="0065356B">
      <w:pPr>
        <w:pStyle w:val="Heading2"/>
        <w:spacing w:before="120"/>
        <w:jc w:val="both"/>
        <w:rPr>
          <w:rStyle w:val="highlight"/>
          <w:rFonts w:ascii="Arial" w:hAnsi="Arial" w:cs="Arial"/>
          <w:sz w:val="22"/>
          <w:szCs w:val="22"/>
        </w:rPr>
      </w:pPr>
      <w:r w:rsidRPr="00730087">
        <w:rPr>
          <w:rStyle w:val="highlight"/>
        </w:rPr>
        <w:lastRenderedPageBreak/>
        <w:t xml:space="preserve">Total RNA extraction </w:t>
      </w:r>
      <w:r>
        <w:rPr>
          <w:rStyle w:val="highlight"/>
        </w:rPr>
        <w:t xml:space="preserve">and </w:t>
      </w:r>
      <w:bookmarkStart w:id="8" w:name="_Hlk48239155"/>
      <w:r w:rsidR="00ED5201" w:rsidRPr="00ED5201">
        <w:rPr>
          <w:rStyle w:val="highlight"/>
        </w:rPr>
        <w:t>quantitative real-time PCR</w:t>
      </w:r>
      <w:r w:rsidR="00ED5201">
        <w:rPr>
          <w:rStyle w:val="highlight"/>
        </w:rPr>
        <w:t>(qPCR)</w:t>
      </w:r>
    </w:p>
    <w:bookmarkEnd w:id="8"/>
    <w:p w14:paraId="6CE6A4E9" w14:textId="234C649E" w:rsidR="00730087" w:rsidRPr="00E27B37" w:rsidRDefault="00D30E5C" w:rsidP="00E27B37">
      <w:pPr>
        <w:rPr>
          <w:rFonts w:cs="Arial"/>
          <w:sz w:val="22"/>
          <w:szCs w:val="22"/>
        </w:rPr>
      </w:pPr>
      <w:r w:rsidRPr="00843113">
        <w:rPr>
          <w:rStyle w:val="highlight"/>
        </w:rPr>
        <w:t xml:space="preserve">Total RNA was extracted from </w:t>
      </w:r>
      <w:r w:rsidR="00730087">
        <w:rPr>
          <w:rStyle w:val="highlight"/>
        </w:rPr>
        <w:t xml:space="preserve">HPSCC tissues and </w:t>
      </w:r>
      <w:r w:rsidRPr="00843113">
        <w:rPr>
          <w:rStyle w:val="highlight"/>
        </w:rPr>
        <w:t xml:space="preserve">cells using </w:t>
      </w:r>
      <w:proofErr w:type="spellStart"/>
      <w:r w:rsidRPr="00843113">
        <w:rPr>
          <w:rStyle w:val="highlight"/>
        </w:rPr>
        <w:t>Trizol</w:t>
      </w:r>
      <w:proofErr w:type="spellEnd"/>
      <w:r w:rsidRPr="00843113">
        <w:rPr>
          <w:rStyle w:val="highlight"/>
        </w:rPr>
        <w:t xml:space="preserve"> (Invitrogen, USA) according to the manufacturer’s instruction and quantified by Nanodrop. A total of 500 ng RNA was reverse transcribed using Reverse Transcription Kit (Takara, Dalian, China) and was then subjected to qPCR with SYBR green master mix (Invitrogen) using recommended conditions in the LC480 (ROCHE). </w:t>
      </w:r>
      <w:r w:rsidR="00ED5201">
        <w:rPr>
          <w:rStyle w:val="highlight"/>
        </w:rPr>
        <w:t xml:space="preserve">The </w:t>
      </w:r>
      <w:r w:rsidR="00730087" w:rsidRPr="00730087">
        <w:rPr>
          <w:rStyle w:val="highlight"/>
        </w:rPr>
        <w:t xml:space="preserve">2−ΔΔCt method was used to quantify the relative expression levels. </w:t>
      </w:r>
      <w:r w:rsidR="00ED5201" w:rsidRPr="00ED5201">
        <w:rPr>
          <w:rStyle w:val="highlight"/>
        </w:rPr>
        <w:t>HPRT1</w:t>
      </w:r>
      <w:r w:rsidR="00ED5201">
        <w:rPr>
          <w:rStyle w:val="highlight"/>
        </w:rPr>
        <w:t xml:space="preserve"> </w:t>
      </w:r>
      <w:r w:rsidR="00730087" w:rsidRPr="00730087">
        <w:rPr>
          <w:rStyle w:val="highlight"/>
        </w:rPr>
        <w:t xml:space="preserve">was used as an internal control. </w:t>
      </w:r>
      <w:r w:rsidRPr="00843113">
        <w:rPr>
          <w:rStyle w:val="highlight"/>
        </w:rPr>
        <w:t xml:space="preserve">Primers are listed </w:t>
      </w:r>
      <w:r w:rsidRPr="006140A7">
        <w:rPr>
          <w:rStyle w:val="highlight"/>
          <w:color w:val="0070C0"/>
        </w:rPr>
        <w:t xml:space="preserve">in </w:t>
      </w:r>
      <w:r w:rsidRPr="006140A7">
        <w:rPr>
          <w:rStyle w:val="a"/>
          <w:b/>
          <w:bCs/>
          <w:color w:val="0070C0"/>
        </w:rPr>
        <w:t xml:space="preserve">Supplementary data </w:t>
      </w:r>
      <w:r w:rsidR="006140A7" w:rsidRPr="006140A7">
        <w:rPr>
          <w:rStyle w:val="a"/>
          <w:b/>
          <w:bCs/>
          <w:color w:val="0070C0"/>
        </w:rPr>
        <w:t>2</w:t>
      </w:r>
      <w:r w:rsidRPr="00ED5201">
        <w:rPr>
          <w:rStyle w:val="a"/>
          <w:b/>
          <w:bCs/>
        </w:rPr>
        <w:t>.</w:t>
      </w:r>
      <w:r w:rsidR="00730087" w:rsidRPr="00ED5201">
        <w:rPr>
          <w:rStyle w:val="a"/>
          <w:b/>
          <w:bCs/>
        </w:rPr>
        <w:t xml:space="preserve"> </w:t>
      </w:r>
    </w:p>
    <w:p w14:paraId="149B8375" w14:textId="30B0E90A" w:rsidR="00D30E5C" w:rsidRPr="004A67AD" w:rsidRDefault="00D30E5C" w:rsidP="0000663C">
      <w:pPr>
        <w:pStyle w:val="Heading2"/>
        <w:rPr>
          <w:rStyle w:val="highlight"/>
        </w:rPr>
      </w:pPr>
      <w:r w:rsidRPr="004A67AD">
        <w:rPr>
          <w:rStyle w:val="highlight"/>
        </w:rPr>
        <w:t>Western Blot Analysis</w:t>
      </w:r>
    </w:p>
    <w:p w14:paraId="6D68F0C7" w14:textId="516E09DA" w:rsidR="0050225E" w:rsidRDefault="00D30E5C" w:rsidP="0050225E">
      <w:pPr>
        <w:spacing w:before="120"/>
        <w:jc w:val="both"/>
        <w:rPr>
          <w:rStyle w:val="highlight"/>
        </w:rPr>
      </w:pPr>
      <w:r w:rsidRPr="00843113">
        <w:rPr>
          <w:rStyle w:val="highlight"/>
        </w:rPr>
        <w:t>Western blot analysis was performed as previously described</w:t>
      </w:r>
      <w:r>
        <w:rPr>
          <w:rStyle w:val="highlight"/>
        </w:rPr>
        <w:fldChar w:fldCharType="begin"/>
      </w:r>
      <w:r w:rsidR="003852BC">
        <w:rPr>
          <w:rStyle w:val="highlight"/>
        </w:rPr>
        <w:instrText xml:space="preserve"> ADDIN NE.Ref.{EC8252B2-CBAA-4CC7-9DFC-7254DFB0524B}</w:instrText>
      </w:r>
      <w:r>
        <w:rPr>
          <w:rStyle w:val="highlight"/>
        </w:rPr>
        <w:fldChar w:fldCharType="separate"/>
      </w:r>
      <w:r w:rsidR="00856924">
        <w:rPr>
          <w:rFonts w:eastAsia="华文仿宋" w:cs="Arial"/>
          <w:color w:val="080000"/>
          <w:bdr w:val="none" w:sz="0" w:space="0" w:color="auto"/>
        </w:rPr>
        <w:t>[1]</w:t>
      </w:r>
      <w:r>
        <w:rPr>
          <w:rStyle w:val="highlight"/>
        </w:rPr>
        <w:fldChar w:fldCharType="end"/>
      </w:r>
      <w:r w:rsidRPr="00843113">
        <w:rPr>
          <w:rStyle w:val="highlight"/>
        </w:rPr>
        <w:t xml:space="preserve">. The antibodies against </w:t>
      </w:r>
      <w:r w:rsidR="0050225E" w:rsidRPr="00402009">
        <w:rPr>
          <w:rStyle w:val="highlight"/>
        </w:rPr>
        <w:t>ALKBH5 (ab195377</w:t>
      </w:r>
      <w:r w:rsidR="0050225E" w:rsidRPr="00402009">
        <w:rPr>
          <w:rStyle w:val="highlight"/>
        </w:rPr>
        <w:t>，</w:t>
      </w:r>
      <w:r w:rsidR="0050225E" w:rsidRPr="00402009">
        <w:rPr>
          <w:rStyle w:val="highlight"/>
        </w:rPr>
        <w:t>Abcam), GPX4(ab125066</w:t>
      </w:r>
      <w:r w:rsidR="0050225E" w:rsidRPr="00402009">
        <w:rPr>
          <w:rStyle w:val="highlight"/>
        </w:rPr>
        <w:t>，</w:t>
      </w:r>
      <w:r w:rsidR="0050225E" w:rsidRPr="00402009">
        <w:rPr>
          <w:rStyle w:val="highlight"/>
        </w:rPr>
        <w:t>Abcam), NRF2(ab62352</w:t>
      </w:r>
      <w:r w:rsidR="0050225E" w:rsidRPr="00402009">
        <w:rPr>
          <w:rStyle w:val="highlight"/>
        </w:rPr>
        <w:t>，</w:t>
      </w:r>
      <w:r w:rsidR="0050225E" w:rsidRPr="00402009">
        <w:rPr>
          <w:rStyle w:val="highlight"/>
        </w:rPr>
        <w:t>Abcam), KEAP1(ab227828</w:t>
      </w:r>
      <w:r w:rsidR="0050225E" w:rsidRPr="00402009">
        <w:rPr>
          <w:rStyle w:val="highlight"/>
        </w:rPr>
        <w:t>，</w:t>
      </w:r>
      <w:r w:rsidR="0050225E" w:rsidRPr="00402009">
        <w:rPr>
          <w:rStyle w:val="highlight"/>
        </w:rPr>
        <w:t>Abcam), HO-1(ab189491</w:t>
      </w:r>
      <w:r w:rsidR="0050225E" w:rsidRPr="00402009">
        <w:rPr>
          <w:rStyle w:val="highlight"/>
        </w:rPr>
        <w:t>，</w:t>
      </w:r>
      <w:r w:rsidR="0050225E" w:rsidRPr="00402009">
        <w:rPr>
          <w:rStyle w:val="highlight"/>
        </w:rPr>
        <w:t>Abcam), NQO1(ab34173</w:t>
      </w:r>
      <w:r w:rsidR="0050225E" w:rsidRPr="00402009">
        <w:rPr>
          <w:rStyle w:val="highlight"/>
        </w:rPr>
        <w:t>，</w:t>
      </w:r>
      <w:r w:rsidR="0050225E" w:rsidRPr="00402009">
        <w:rPr>
          <w:rStyle w:val="highlight"/>
        </w:rPr>
        <w:t>Abcam), FTH1(ab65080</w:t>
      </w:r>
      <w:r w:rsidR="0050225E" w:rsidRPr="00402009">
        <w:rPr>
          <w:rStyle w:val="highlight"/>
        </w:rPr>
        <w:t>，</w:t>
      </w:r>
      <w:r w:rsidR="0050225E" w:rsidRPr="00402009">
        <w:rPr>
          <w:rStyle w:val="highlight"/>
        </w:rPr>
        <w:t>Abcam), Tubulin(ab6046</w:t>
      </w:r>
      <w:r w:rsidR="0050225E" w:rsidRPr="00402009">
        <w:rPr>
          <w:rStyle w:val="highlight"/>
        </w:rPr>
        <w:t>，</w:t>
      </w:r>
      <w:r w:rsidR="0050225E" w:rsidRPr="00402009">
        <w:rPr>
          <w:rStyle w:val="highlight"/>
        </w:rPr>
        <w:t xml:space="preserve">Abcam), </w:t>
      </w:r>
      <w:r w:rsidR="0050225E" w:rsidRPr="00402009">
        <w:rPr>
          <w:rStyle w:val="highlight"/>
          <w:rFonts w:ascii="Cambria Math" w:hAnsi="Cambria Math" w:cs="Cambria Math"/>
        </w:rPr>
        <w:t>𝛽</w:t>
      </w:r>
      <w:r w:rsidR="0050225E" w:rsidRPr="00402009">
        <w:rPr>
          <w:rStyle w:val="highlight"/>
        </w:rPr>
        <w:t>-actin(ab8227</w:t>
      </w:r>
      <w:r w:rsidR="0050225E" w:rsidRPr="00402009">
        <w:rPr>
          <w:rStyle w:val="highlight"/>
        </w:rPr>
        <w:t>，</w:t>
      </w:r>
      <w:r w:rsidR="0050225E" w:rsidRPr="00402009">
        <w:rPr>
          <w:rStyle w:val="highlight"/>
        </w:rPr>
        <w:t>Abcam)</w:t>
      </w:r>
      <w:r w:rsidR="0050225E">
        <w:rPr>
          <w:rStyle w:val="highlight"/>
        </w:rPr>
        <w:t xml:space="preserve"> </w:t>
      </w:r>
    </w:p>
    <w:p w14:paraId="2C9B5A8A" w14:textId="231811A0" w:rsidR="00D30E5C" w:rsidRPr="004A67AD" w:rsidRDefault="00D30E5C" w:rsidP="0050225E">
      <w:pPr>
        <w:pStyle w:val="Heading2"/>
        <w:rPr>
          <w:rStyle w:val="highlight"/>
        </w:rPr>
      </w:pPr>
      <w:r w:rsidRPr="004A67AD">
        <w:rPr>
          <w:rStyle w:val="highlight"/>
        </w:rPr>
        <w:t>Mouse treatment and tumor biology studies</w:t>
      </w:r>
    </w:p>
    <w:p w14:paraId="5F2C2065" w14:textId="77777777" w:rsidR="0050225E" w:rsidRDefault="00D30E5C" w:rsidP="00D30E5C">
      <w:pPr>
        <w:spacing w:before="120"/>
        <w:jc w:val="both"/>
        <w:rPr>
          <w:rStyle w:val="highlight"/>
        </w:rPr>
      </w:pPr>
      <w:r w:rsidRPr="00DC2E93">
        <w:rPr>
          <w:rStyle w:val="highlight"/>
        </w:rPr>
        <w:t xml:space="preserve">HPSCC FaDu </w:t>
      </w:r>
      <w:r>
        <w:rPr>
          <w:rStyle w:val="highlight"/>
        </w:rPr>
        <w:t>or</w:t>
      </w:r>
      <w:r w:rsidRPr="00DC2E93">
        <w:rPr>
          <w:rStyle w:val="highlight"/>
        </w:rPr>
        <w:t xml:space="preserve"> </w:t>
      </w:r>
      <w:r w:rsidR="00745237">
        <w:rPr>
          <w:rStyle w:val="highlight"/>
        </w:rPr>
        <w:t>Detroit 562</w:t>
      </w:r>
      <w:r w:rsidRPr="00DC2E93">
        <w:rPr>
          <w:rStyle w:val="highlight"/>
        </w:rPr>
        <w:t xml:space="preserve"> cell lines </w:t>
      </w:r>
      <w:r w:rsidRPr="00843113">
        <w:rPr>
          <w:rStyle w:val="highlight"/>
        </w:rPr>
        <w:t>(1</w:t>
      </w:r>
      <w:r w:rsidRPr="00DC2E93">
        <w:rPr>
          <w:rStyle w:val="highlight"/>
        </w:rPr>
        <w:t>×</w:t>
      </w:r>
      <w:r w:rsidRPr="00843113">
        <w:rPr>
          <w:rStyle w:val="highlight"/>
        </w:rPr>
        <w:t>10</w:t>
      </w:r>
      <w:r w:rsidRPr="0000663C">
        <w:rPr>
          <w:rStyle w:val="highlight"/>
          <w:vertAlign w:val="superscript"/>
        </w:rPr>
        <w:t>6</w:t>
      </w:r>
      <w:r w:rsidRPr="00843113">
        <w:rPr>
          <w:rStyle w:val="highlight"/>
        </w:rPr>
        <w:t xml:space="preserve"> cells) stably expressing vector control and </w:t>
      </w:r>
      <w:r w:rsidR="00922A7E">
        <w:rPr>
          <w:rStyle w:val="highlight"/>
        </w:rPr>
        <w:t xml:space="preserve">construct lentivirus </w:t>
      </w:r>
      <w:r w:rsidRPr="00843113">
        <w:rPr>
          <w:rStyle w:val="highlight"/>
        </w:rPr>
        <w:t>were injected subcutaneously into the right flank of nude mice. Tumor sizes and mice weight in all groups were measured every 3 days for 1-</w:t>
      </w:r>
      <w:r>
        <w:rPr>
          <w:rStyle w:val="highlight"/>
        </w:rPr>
        <w:t>6</w:t>
      </w:r>
      <w:r w:rsidRPr="00843113">
        <w:rPr>
          <w:rStyle w:val="highlight"/>
        </w:rPr>
        <w:t xml:space="preserve"> weeks. </w:t>
      </w:r>
      <w:bookmarkStart w:id="9" w:name="_Hlk49001777"/>
      <w:r>
        <w:rPr>
          <w:rStyle w:val="highlight"/>
        </w:rPr>
        <w:t xml:space="preserve">For </w:t>
      </w:r>
      <w:r w:rsidR="006140A7">
        <w:rPr>
          <w:rStyle w:val="highlight"/>
        </w:rPr>
        <w:t>NRF2 inhibitors</w:t>
      </w:r>
      <w:r>
        <w:rPr>
          <w:rStyle w:val="highlight"/>
        </w:rPr>
        <w:t xml:space="preserve"> treatment, m</w:t>
      </w:r>
      <w:r w:rsidRPr="00843113">
        <w:rPr>
          <w:rStyle w:val="highlight"/>
        </w:rPr>
        <w:t xml:space="preserve">ale nude mice at </w:t>
      </w:r>
      <w:r>
        <w:rPr>
          <w:rStyle w:val="highlight"/>
        </w:rPr>
        <w:t>4</w:t>
      </w:r>
      <w:r w:rsidRPr="00843113">
        <w:rPr>
          <w:rStyle w:val="highlight"/>
        </w:rPr>
        <w:t xml:space="preserve"> weeks of age were injected subcutaneously into the right flank </w:t>
      </w:r>
      <w:r>
        <w:rPr>
          <w:rStyle w:val="highlight"/>
        </w:rPr>
        <w:t xml:space="preserve">with </w:t>
      </w:r>
      <w:r w:rsidR="00745237">
        <w:rPr>
          <w:rStyle w:val="highlight"/>
        </w:rPr>
        <w:t>Detroit 562</w:t>
      </w:r>
      <w:r w:rsidRPr="00DC2E93">
        <w:rPr>
          <w:rStyle w:val="highlight"/>
        </w:rPr>
        <w:t xml:space="preserve"> </w:t>
      </w:r>
      <w:r w:rsidR="00745237">
        <w:rPr>
          <w:rStyle w:val="highlight"/>
        </w:rPr>
        <w:t xml:space="preserve">and FaDu </w:t>
      </w:r>
      <w:r w:rsidRPr="00DC2E93">
        <w:rPr>
          <w:rStyle w:val="highlight"/>
        </w:rPr>
        <w:t xml:space="preserve">cell lines </w:t>
      </w:r>
      <w:r w:rsidRPr="00843113">
        <w:rPr>
          <w:rStyle w:val="highlight"/>
        </w:rPr>
        <w:t>(1</w:t>
      </w:r>
      <w:r w:rsidRPr="00DC2E93">
        <w:rPr>
          <w:rStyle w:val="highlight"/>
        </w:rPr>
        <w:t>×</w:t>
      </w:r>
      <w:r w:rsidRPr="00843113">
        <w:rPr>
          <w:rStyle w:val="highlight"/>
        </w:rPr>
        <w:t>10</w:t>
      </w:r>
      <w:r w:rsidRPr="002C418E">
        <w:rPr>
          <w:rStyle w:val="highlight"/>
          <w:vertAlign w:val="superscript"/>
        </w:rPr>
        <w:t>6</w:t>
      </w:r>
      <w:r w:rsidRPr="00843113">
        <w:rPr>
          <w:rStyle w:val="highlight"/>
        </w:rPr>
        <w:t xml:space="preserve"> cells)</w:t>
      </w:r>
      <w:r>
        <w:rPr>
          <w:rStyle w:val="highlight"/>
        </w:rPr>
        <w:t>.</w:t>
      </w:r>
      <w:r w:rsidRPr="00843113">
        <w:rPr>
          <w:rStyle w:val="highlight"/>
        </w:rPr>
        <w:t xml:space="preserve"> </w:t>
      </w:r>
      <w:r>
        <w:rPr>
          <w:rStyle w:val="highlight"/>
        </w:rPr>
        <w:t xml:space="preserve">After 12 days, mice were </w:t>
      </w:r>
      <w:r w:rsidRPr="00843113">
        <w:rPr>
          <w:rStyle w:val="highlight"/>
        </w:rPr>
        <w:t xml:space="preserve">divided </w:t>
      </w:r>
      <w:r w:rsidRPr="00DC2E93">
        <w:rPr>
          <w:rStyle w:val="highlight"/>
        </w:rPr>
        <w:t xml:space="preserve">into </w:t>
      </w:r>
      <w:r w:rsidRPr="00DC2E93">
        <w:rPr>
          <w:rStyle w:val="highlight"/>
          <w:rFonts w:hint="eastAsia"/>
        </w:rPr>
        <w:t>co</w:t>
      </w:r>
      <w:r w:rsidRPr="00DC2E93">
        <w:rPr>
          <w:rStyle w:val="highlight"/>
        </w:rPr>
        <w:t xml:space="preserve">ntrol </w:t>
      </w:r>
      <w:r>
        <w:rPr>
          <w:rStyle w:val="highlight"/>
        </w:rPr>
        <w:t xml:space="preserve"> </w:t>
      </w:r>
      <w:r w:rsidRPr="00DC2E93">
        <w:rPr>
          <w:rStyle w:val="highlight"/>
        </w:rPr>
        <w:t xml:space="preserve">and </w:t>
      </w:r>
      <w:r w:rsidR="006140A7">
        <w:rPr>
          <w:rStyle w:val="highlight"/>
        </w:rPr>
        <w:t>NRF2 inhibitors</w:t>
      </w:r>
      <w:r w:rsidRPr="00DC2E93">
        <w:rPr>
          <w:rStyle w:val="highlight"/>
        </w:rPr>
        <w:t xml:space="preserve"> groups</w:t>
      </w:r>
      <w:r>
        <w:rPr>
          <w:rStyle w:val="highlight"/>
        </w:rPr>
        <w:t xml:space="preserve"> (n=5 per group)</w:t>
      </w:r>
      <w:r w:rsidRPr="00DC2E93">
        <w:rPr>
          <w:rStyle w:val="highlight"/>
        </w:rPr>
        <w:t xml:space="preserve">. </w:t>
      </w:r>
      <w:r w:rsidR="006140A7" w:rsidRPr="0050225E">
        <w:rPr>
          <w:rStyle w:val="highlight"/>
        </w:rPr>
        <w:t xml:space="preserve">NRF2 inhibitors </w:t>
      </w:r>
      <w:r w:rsidRPr="0050225E">
        <w:rPr>
          <w:rStyle w:val="highlight"/>
        </w:rPr>
        <w:t xml:space="preserve">concentration: </w:t>
      </w:r>
      <w:r w:rsidR="00141033" w:rsidRPr="0050225E">
        <w:rPr>
          <w:rStyle w:val="highlight"/>
        </w:rPr>
        <w:t>30</w:t>
      </w:r>
      <w:r w:rsidRPr="0050225E">
        <w:rPr>
          <w:rStyle w:val="highlight"/>
        </w:rPr>
        <w:t>mg/</w:t>
      </w:r>
      <w:r w:rsidR="00141033" w:rsidRPr="0050225E">
        <w:rPr>
          <w:rStyle w:val="highlight"/>
        </w:rPr>
        <w:t>kg</w:t>
      </w:r>
      <w:r w:rsidRPr="0050225E">
        <w:rPr>
          <w:rStyle w:val="highlight"/>
        </w:rPr>
        <w:t xml:space="preserve"> </w:t>
      </w:r>
      <w:r w:rsidR="0038742E" w:rsidRPr="0050225E">
        <w:rPr>
          <w:rStyle w:val="highlight"/>
        </w:rPr>
        <w:t>intraperitoneal injection</w:t>
      </w:r>
      <w:r w:rsidR="0038742E" w:rsidRPr="0050225E">
        <w:rPr>
          <w:rStyle w:val="highlight"/>
          <w:rFonts w:hint="eastAsia"/>
        </w:rPr>
        <w:t>.</w:t>
      </w:r>
      <w:bookmarkEnd w:id="9"/>
    </w:p>
    <w:p w14:paraId="2ABC7B51" w14:textId="3AE3AC1E" w:rsidR="00960578" w:rsidRDefault="00D30E5C" w:rsidP="0050225E">
      <w:pPr>
        <w:spacing w:before="120"/>
        <w:jc w:val="both"/>
        <w:rPr>
          <w:rStyle w:val="highlight"/>
        </w:rPr>
      </w:pPr>
      <w:r w:rsidRPr="00843113">
        <w:rPr>
          <w:rStyle w:val="highlight"/>
        </w:rPr>
        <w:t>All mice were maintained in standard cages in a light and temperature-controlled room and were given standard chow and water. All animal studies were carried out in accordance with Institute of Laboratory Animal Resources guidelines and approved by the University Committee on the Use and Care of Animals at the Zhejiang University.</w:t>
      </w:r>
    </w:p>
    <w:p w14:paraId="6A71D36C" w14:textId="77777777" w:rsidR="00960578" w:rsidRPr="00960578" w:rsidRDefault="00960578" w:rsidP="00960578">
      <w:pPr>
        <w:pStyle w:val="Heading2"/>
      </w:pPr>
      <w:r w:rsidRPr="00960578">
        <w:t xml:space="preserve">Luciferase </w:t>
      </w:r>
      <w:r w:rsidRPr="00960578">
        <w:rPr>
          <w:rFonts w:hint="eastAsia"/>
        </w:rPr>
        <w:t>a</w:t>
      </w:r>
      <w:r w:rsidRPr="00960578">
        <w:t>ssay</w:t>
      </w:r>
    </w:p>
    <w:p w14:paraId="7A7AA15C" w14:textId="4F587CA7" w:rsidR="001D10D4" w:rsidRPr="00960578" w:rsidRDefault="00960578" w:rsidP="000F2025">
      <w:pPr>
        <w:rPr>
          <w:rStyle w:val="highlight"/>
        </w:rPr>
      </w:pPr>
      <w:r w:rsidRPr="000F2025">
        <w:rPr>
          <w:rStyle w:val="highlight"/>
        </w:rPr>
        <w:t>The fragments of TFRC-5’UTR, and TFRC -3’UTR containing the wild-type</w:t>
      </w:r>
      <w:bookmarkStart w:id="10" w:name="OLE_LINK3"/>
      <w:r w:rsidRPr="000F2025">
        <w:rPr>
          <w:rStyle w:val="highlight"/>
        </w:rPr>
        <w:t xml:space="preserve"> </w:t>
      </w:r>
      <w:bookmarkEnd w:id="10"/>
      <w:r w:rsidRPr="000F2025">
        <w:rPr>
          <w:rStyle w:val="highlight"/>
        </w:rPr>
        <w:t xml:space="preserve">m6A motifs as well as mutant </w:t>
      </w:r>
      <w:bookmarkStart w:id="11" w:name="OLE_LINK194"/>
      <w:bookmarkStart w:id="12" w:name="OLE_LINK195"/>
      <w:r w:rsidRPr="000F2025">
        <w:rPr>
          <w:rStyle w:val="highlight"/>
        </w:rPr>
        <w:t>m6A</w:t>
      </w:r>
      <w:bookmarkEnd w:id="11"/>
      <w:bookmarkEnd w:id="12"/>
      <w:r w:rsidRPr="000F2025">
        <w:rPr>
          <w:rStyle w:val="highlight"/>
        </w:rPr>
        <w:t xml:space="preserve"> motifs (m6A was replaced by T) were synthesized at Gene Chemistry(Shanghai, China). The firefly luciferase and Renilla luciferase activities in each well were calculated by a dual-luciferase reporter assay system. The ratios between the 3′UTR reporter of </w:t>
      </w:r>
      <w:r w:rsidR="001D10D4">
        <w:rPr>
          <w:rStyle w:val="highlight"/>
        </w:rPr>
        <w:t>NRF2</w:t>
      </w:r>
      <w:r w:rsidRPr="000F2025">
        <w:rPr>
          <w:rStyle w:val="highlight"/>
        </w:rPr>
        <w:t xml:space="preserve"> and Renilla control were determined 48 h after siRNA treatment. The relative luciferase activity was further normalized to that in cells transfected with the firefly luciferase vector control under the same treating conditions. Firefly luciferase activity and Renilla luciferase activity were measured using </w:t>
      </w:r>
      <w:proofErr w:type="spellStart"/>
      <w:r w:rsidRPr="000F2025">
        <w:rPr>
          <w:rStyle w:val="highlight"/>
        </w:rPr>
        <w:t>FLUOstar</w:t>
      </w:r>
      <w:proofErr w:type="spellEnd"/>
      <w:r w:rsidRPr="000F2025">
        <w:rPr>
          <w:rStyle w:val="highlight"/>
        </w:rPr>
        <w:t xml:space="preserve"> Omega (BMG LABTECH, Offenburg, Germany). The results were shown in the form of relative firefly luciferase activity normalized to Renilla luciferase activity. All the experiments were repeated for three times, and three replicates were conducted for each group.</w:t>
      </w:r>
    </w:p>
    <w:p w14:paraId="6A7F564C" w14:textId="321E954D" w:rsidR="006822CB" w:rsidRDefault="006822CB" w:rsidP="00257609"/>
    <w:p w14:paraId="341FE318" w14:textId="4BA7A5EE" w:rsidR="006822CB" w:rsidRPr="00391147" w:rsidRDefault="001D10D4" w:rsidP="006822CB">
      <w:pPr>
        <w:pStyle w:val="Heading2"/>
        <w:rPr>
          <w:rStyle w:val="highlight"/>
        </w:rPr>
      </w:pPr>
      <w:r w:rsidRPr="00391147">
        <w:rPr>
          <w:rStyle w:val="highlight"/>
        </w:rPr>
        <w:lastRenderedPageBreak/>
        <w:t>RNA</w:t>
      </w:r>
      <w:r w:rsidR="006822CB" w:rsidRPr="00391147">
        <w:rPr>
          <w:rStyle w:val="highlight"/>
        </w:rPr>
        <w:t xml:space="preserve"> stability</w:t>
      </w:r>
      <w:r w:rsidR="00856924">
        <w:rPr>
          <w:rStyle w:val="highlight"/>
        </w:rPr>
        <w:fldChar w:fldCharType="begin"/>
      </w:r>
      <w:r w:rsidR="00856924">
        <w:rPr>
          <w:rStyle w:val="highlight"/>
        </w:rPr>
        <w:instrText xml:space="preserve"> ADDIN NE.Ref.{021109E3-D611-477D-AD11-1C7F188479DB}</w:instrText>
      </w:r>
      <w:r w:rsidR="00856924">
        <w:rPr>
          <w:rStyle w:val="highlight"/>
        </w:rPr>
        <w:fldChar w:fldCharType="separate"/>
      </w:r>
      <w:r w:rsidR="00856924">
        <w:rPr>
          <w:rFonts w:eastAsia="华文仿宋"/>
          <w:color w:val="080000"/>
          <w:bdr w:val="none" w:sz="0" w:space="0" w:color="auto"/>
        </w:rPr>
        <w:t>[2]</w:t>
      </w:r>
      <w:r w:rsidR="00856924">
        <w:rPr>
          <w:rStyle w:val="highlight"/>
        </w:rPr>
        <w:fldChar w:fldCharType="end"/>
      </w:r>
    </w:p>
    <w:p w14:paraId="737486E1" w14:textId="4FA3DE1D" w:rsidR="00A96554" w:rsidRPr="00391147" w:rsidRDefault="00A96554" w:rsidP="00A96554">
      <w:pPr>
        <w:rPr>
          <w:color w:val="000000" w:themeColor="text1"/>
        </w:rPr>
      </w:pPr>
      <w:r w:rsidRPr="00391147">
        <w:rPr>
          <w:color w:val="000000" w:themeColor="text1"/>
        </w:rPr>
        <w:t>HPSCC cells with or without ALKBH5 knockdown were treated with Actinomycin D for 0h, 3h, and 6h at a final concentration of 5 μg/</w:t>
      </w:r>
      <w:proofErr w:type="spellStart"/>
      <w:r w:rsidRPr="00391147">
        <w:rPr>
          <w:color w:val="000000" w:themeColor="text1"/>
        </w:rPr>
        <w:t>mL.</w:t>
      </w:r>
      <w:proofErr w:type="spellEnd"/>
      <w:r w:rsidRPr="00391147">
        <w:rPr>
          <w:color w:val="000000" w:themeColor="text1"/>
        </w:rPr>
        <w:t xml:space="preserve"> Total RNA was extracted, and </w:t>
      </w:r>
      <w:r w:rsidR="00856924">
        <w:rPr>
          <w:color w:val="000000" w:themeColor="text1"/>
        </w:rPr>
        <w:t>q</w:t>
      </w:r>
      <w:r w:rsidRPr="00391147">
        <w:rPr>
          <w:color w:val="000000" w:themeColor="text1"/>
        </w:rPr>
        <w:t>PCR was conducted to quantify the relative level of NFE2L2</w:t>
      </w:r>
      <w:r w:rsidR="00856924">
        <w:rPr>
          <w:color w:val="000000" w:themeColor="text1"/>
        </w:rPr>
        <w:t xml:space="preserve"> </w:t>
      </w:r>
      <w:r w:rsidRPr="00391147">
        <w:rPr>
          <w:color w:val="000000" w:themeColor="text1"/>
        </w:rPr>
        <w:t>mRNA. The degradation rate and half-life of NFE2L2 mRNA were estimated according to the published paper. Briefly, the degradation rate of mRNA (</w:t>
      </w:r>
      <w:proofErr w:type="spellStart"/>
      <w:r w:rsidRPr="00391147">
        <w:rPr>
          <w:color w:val="000000" w:themeColor="text1"/>
        </w:rPr>
        <w:t>Kdecay</w:t>
      </w:r>
      <w:proofErr w:type="spellEnd"/>
      <w:r w:rsidRPr="00391147">
        <w:rPr>
          <w:color w:val="000000" w:themeColor="text1"/>
        </w:rPr>
        <w:t xml:space="preserve">) was calculated by the following equation: ln(C/C0)=- </w:t>
      </w:r>
      <w:proofErr w:type="spellStart"/>
      <w:r w:rsidRPr="00391147">
        <w:rPr>
          <w:color w:val="000000" w:themeColor="text1"/>
        </w:rPr>
        <w:t>K</w:t>
      </w:r>
      <w:r w:rsidRPr="00391147">
        <w:rPr>
          <w:color w:val="000000" w:themeColor="text1"/>
          <w:vertAlign w:val="subscript"/>
        </w:rPr>
        <w:t>decay</w:t>
      </w:r>
      <w:r w:rsidRPr="00391147">
        <w:rPr>
          <w:color w:val="000000" w:themeColor="text1"/>
        </w:rPr>
        <w:t>t</w:t>
      </w:r>
      <w:proofErr w:type="spellEnd"/>
    </w:p>
    <w:p w14:paraId="1F129355" w14:textId="631FA257" w:rsidR="0002769E" w:rsidRPr="00391147" w:rsidRDefault="00A96554" w:rsidP="0002769E">
      <w:pPr>
        <w:rPr>
          <w:color w:val="000000" w:themeColor="text1"/>
        </w:rPr>
      </w:pPr>
      <w:r w:rsidRPr="00391147">
        <w:rPr>
          <w:color w:val="000000" w:themeColor="text1"/>
        </w:rPr>
        <w:t>t is the transcription inhibition time, and C is the mRNA level at the time t. C0 is the level of mRNA at 0 hour in the equation, which means the mRNA level before decay starts. Thus, the mRNA half-time (t1/2) can be calculated by the equation: In(1/2)= - K</w:t>
      </w:r>
      <w:r w:rsidRPr="00391147">
        <w:rPr>
          <w:color w:val="000000" w:themeColor="text1"/>
          <w:vertAlign w:val="subscript"/>
        </w:rPr>
        <w:t>decay</w:t>
      </w:r>
      <w:r w:rsidRPr="00391147">
        <w:rPr>
          <w:color w:val="000000" w:themeColor="text1"/>
        </w:rPr>
        <w:t>t</w:t>
      </w:r>
      <w:r w:rsidRPr="00391147">
        <w:rPr>
          <w:color w:val="000000" w:themeColor="text1"/>
          <w:vertAlign w:val="subscript"/>
        </w:rPr>
        <w:t>1/2</w:t>
      </w:r>
      <w:r w:rsidRPr="00391147">
        <w:rPr>
          <w:color w:val="000000" w:themeColor="text1"/>
        </w:rPr>
        <w:t xml:space="preserve">. </w:t>
      </w:r>
    </w:p>
    <w:p w14:paraId="3E814BD0" w14:textId="471C2DB7" w:rsidR="00E27B37" w:rsidRPr="00BE669E" w:rsidRDefault="00E27B37" w:rsidP="0002769E">
      <w:pPr>
        <w:pStyle w:val="Heading2"/>
        <w:rPr>
          <w:rStyle w:val="highlight"/>
        </w:rPr>
      </w:pPr>
      <w:r w:rsidRPr="00BE669E">
        <w:rPr>
          <w:rStyle w:val="highlight"/>
        </w:rPr>
        <w:t xml:space="preserve">Statistics methods </w:t>
      </w:r>
    </w:p>
    <w:p w14:paraId="71CD8201" w14:textId="4B4EC42E" w:rsidR="00493B80" w:rsidRPr="00F1400A" w:rsidRDefault="00E27B37" w:rsidP="00493B80">
      <w:pPr>
        <w:rPr>
          <w:rFonts w:eastAsia="华文仿宋" w:cs="Times New Roman"/>
          <w:kern w:val="2"/>
        </w:rPr>
      </w:pPr>
      <w:r w:rsidRPr="006B172B">
        <w:rPr>
          <w:color w:val="auto"/>
        </w:rPr>
        <w:t>Bioinformatic analysis</w:t>
      </w:r>
      <w:r>
        <w:rPr>
          <w:color w:val="auto"/>
        </w:rPr>
        <w:t xml:space="preserve"> including </w:t>
      </w:r>
      <w:r w:rsidRPr="008A2251">
        <w:rPr>
          <w:color w:val="auto"/>
        </w:rPr>
        <w:t>GO, KEGG, GSEA</w:t>
      </w:r>
      <w:r w:rsidR="00493B80">
        <w:rPr>
          <w:rFonts w:hint="eastAsia"/>
          <w:color w:val="auto"/>
        </w:rPr>
        <w:t>，</w:t>
      </w:r>
      <w:proofErr w:type="spellStart"/>
      <w:r w:rsidR="00493B80">
        <w:rPr>
          <w:rFonts w:hint="eastAsia"/>
          <w:color w:val="auto"/>
        </w:rPr>
        <w:t>circos</w:t>
      </w:r>
      <w:proofErr w:type="spellEnd"/>
      <w:r w:rsidRPr="008A2251">
        <w:rPr>
          <w:color w:val="auto"/>
        </w:rPr>
        <w:t xml:space="preserve"> </w:t>
      </w:r>
      <w:r w:rsidR="00493B80">
        <w:rPr>
          <w:color w:val="auto"/>
        </w:rPr>
        <w:t xml:space="preserve">plot </w:t>
      </w:r>
      <w:r w:rsidRPr="008A2251">
        <w:rPr>
          <w:color w:val="auto"/>
        </w:rPr>
        <w:t>analys</w:t>
      </w:r>
      <w:r w:rsidR="00493B80">
        <w:rPr>
          <w:color w:val="auto"/>
        </w:rPr>
        <w:t>i</w:t>
      </w:r>
      <w:r w:rsidRPr="008A2251">
        <w:rPr>
          <w:color w:val="auto"/>
        </w:rPr>
        <w:t>s</w:t>
      </w:r>
      <w:r>
        <w:rPr>
          <w:color w:val="auto"/>
        </w:rPr>
        <w:t xml:space="preserve"> were</w:t>
      </w:r>
      <w:r w:rsidRPr="006B172B">
        <w:rPr>
          <w:color w:val="auto"/>
        </w:rPr>
        <w:t xml:space="preserve"> performed using the </w:t>
      </w:r>
      <w:proofErr w:type="spellStart"/>
      <w:r w:rsidRPr="006B172B">
        <w:rPr>
          <w:color w:val="auto"/>
        </w:rPr>
        <w:t>OmicStudio</w:t>
      </w:r>
      <w:proofErr w:type="spellEnd"/>
      <w:r w:rsidRPr="006B172B">
        <w:rPr>
          <w:color w:val="auto"/>
        </w:rPr>
        <w:t xml:space="preserve"> tools at </w:t>
      </w:r>
      <w:hyperlink r:id="rId7" w:history="1">
        <w:r w:rsidRPr="00BB0669">
          <w:rPr>
            <w:rStyle w:val="Hyperlink"/>
          </w:rPr>
          <w:t>https://www.omicstudio.cn/tool</w:t>
        </w:r>
      </w:hyperlink>
      <w:r w:rsidRPr="006B172B">
        <w:rPr>
          <w:color w:val="auto"/>
        </w:rPr>
        <w:t>.</w:t>
      </w:r>
      <w:r w:rsidRPr="0096167C">
        <w:t xml:space="preserve"> </w:t>
      </w:r>
      <w:r w:rsidR="00493B80">
        <w:t>TCGA HNSCC data analysis were performed using GEPIA</w:t>
      </w:r>
      <w:r w:rsidR="00493B80" w:rsidRPr="0050225E">
        <w:rPr>
          <w:color w:val="auto"/>
        </w:rPr>
        <w:t xml:space="preserve">. </w:t>
      </w:r>
      <w:r w:rsidR="00493B80" w:rsidRPr="0050225E">
        <w:rPr>
          <w:rFonts w:cs="Arial"/>
          <w:color w:val="auto"/>
        </w:rPr>
        <w:t>NFE2L2/NRF2</w:t>
      </w:r>
      <w:r w:rsidR="00493B80" w:rsidRPr="0050225E">
        <w:rPr>
          <w:color w:val="auto"/>
        </w:rPr>
        <w:t xml:space="preserve"> functional association </w:t>
      </w:r>
      <w:r w:rsidR="00493B80" w:rsidRPr="00493B80">
        <w:t>data including the protein and genetic interactions, pathways, co-expression, co-localization is summarized by</w:t>
      </w:r>
      <w:r w:rsidR="00493B80" w:rsidRPr="00151F33">
        <w:t xml:space="preserve"> </w:t>
      </w:r>
      <w:proofErr w:type="spellStart"/>
      <w:r w:rsidR="00493B80" w:rsidRPr="00493B80">
        <w:t>GeneMANIA</w:t>
      </w:r>
      <w:proofErr w:type="spellEnd"/>
      <w:r w:rsidR="00493B80" w:rsidRPr="00493B80">
        <w:t xml:space="preserve"> (http://genemania.org).</w:t>
      </w:r>
    </w:p>
    <w:p w14:paraId="0146418F" w14:textId="74016210" w:rsidR="00E27B37" w:rsidRPr="00E27B37" w:rsidRDefault="00E27B37" w:rsidP="00E27B37">
      <w:pPr>
        <w:rPr>
          <w:rFonts w:cs="Arial"/>
          <w:sz w:val="22"/>
          <w:szCs w:val="22"/>
        </w:rPr>
      </w:pPr>
      <w:r>
        <w:t>All statistical analysis was carried out using GraphPad Prism version 7 (GraphPad Software, CA) for Windows</w:t>
      </w:r>
      <w:r w:rsidRPr="0096167C">
        <w:rPr>
          <w:color w:val="auto"/>
        </w:rPr>
        <w:t>. Statistical significance was assessed by unpaired two</w:t>
      </w:r>
      <w:r>
        <w:rPr>
          <w:color w:val="auto"/>
        </w:rPr>
        <w:t xml:space="preserve"> </w:t>
      </w:r>
      <w:r w:rsidRPr="0096167C">
        <w:rPr>
          <w:color w:val="auto"/>
        </w:rPr>
        <w:t>tailed</w:t>
      </w:r>
      <w:r>
        <w:rPr>
          <w:color w:val="auto"/>
        </w:rPr>
        <w:t xml:space="preserve"> </w:t>
      </w:r>
      <w:r w:rsidRPr="0096167C">
        <w:rPr>
          <w:color w:val="auto"/>
        </w:rPr>
        <w:t>Student’s-tests</w:t>
      </w:r>
      <w:r>
        <w:rPr>
          <w:color w:val="auto"/>
        </w:rPr>
        <w:t xml:space="preserve">, </w:t>
      </w:r>
      <w:r>
        <w:t>analysis of variance tests (</w:t>
      </w:r>
      <w:r w:rsidRPr="0049314D">
        <w:rPr>
          <w:rStyle w:val="highlight"/>
        </w:rPr>
        <w:t>ANOVA</w:t>
      </w:r>
      <w:r>
        <w:rPr>
          <w:rStyle w:val="highlight"/>
        </w:rPr>
        <w:t xml:space="preserve">) or </w:t>
      </w:r>
      <w:r w:rsidRPr="0049314D">
        <w:rPr>
          <w:rStyle w:val="highlight"/>
        </w:rPr>
        <w:t>Spearman</w:t>
      </w:r>
      <w:r>
        <w:rPr>
          <w:rStyle w:val="highlight"/>
        </w:rPr>
        <w:t xml:space="preserve"> </w:t>
      </w:r>
      <w:r w:rsidRPr="0049314D">
        <w:rPr>
          <w:rStyle w:val="highlight"/>
        </w:rPr>
        <w:t>rank correlation</w:t>
      </w:r>
      <w:r w:rsidRPr="0096167C">
        <w:rPr>
          <w:color w:val="auto"/>
        </w:rPr>
        <w:t>.</w:t>
      </w:r>
      <w:r>
        <w:t xml:space="preserve"> </w:t>
      </w:r>
      <w:r>
        <w:rPr>
          <w:rStyle w:val="highlight"/>
        </w:rPr>
        <w:t>T</w:t>
      </w:r>
      <w:r w:rsidRPr="003048CE">
        <w:rPr>
          <w:rStyle w:val="highlight"/>
        </w:rPr>
        <w:t xml:space="preserve">he data are expressed as </w:t>
      </w:r>
      <w:r w:rsidRPr="00BC1D9B">
        <w:rPr>
          <w:rStyle w:val="highlight"/>
          <w:color w:val="auto"/>
        </w:rPr>
        <w:t xml:space="preserve">mean ±SD. *P &lt; 0.05; **P &lt; 0.01; ***P &lt; 0.001. </w:t>
      </w:r>
      <w:r w:rsidRPr="0049314D">
        <w:rPr>
          <w:rStyle w:val="highlight"/>
        </w:rPr>
        <w:t>Each experiment was repeated independently</w:t>
      </w:r>
      <w:r>
        <w:rPr>
          <w:rStyle w:val="highlight"/>
        </w:rPr>
        <w:t xml:space="preserve"> </w:t>
      </w:r>
      <w:r w:rsidRPr="0049314D">
        <w:rPr>
          <w:rStyle w:val="highlight"/>
        </w:rPr>
        <w:t>at least three times.</w:t>
      </w:r>
      <w:r>
        <w:rPr>
          <w:rStyle w:val="highlight"/>
        </w:rPr>
        <w:t xml:space="preserve"> </w:t>
      </w:r>
    </w:p>
    <w:p w14:paraId="381C58B1" w14:textId="63E594E6" w:rsidR="00824CB5" w:rsidRDefault="00824CB5" w:rsidP="003852BC">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auto"/>
      </w:pPr>
    </w:p>
    <w:p w14:paraId="3DB435C1" w14:textId="77777777" w:rsidR="00856924" w:rsidRDefault="00897BEC" w:rsidP="0085692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auto"/>
        <w:rPr>
          <w:rFonts w:ascii="Times New Roman" w:eastAsia="华文仿宋" w:hAnsi="Times New Roman" w:cs="Times New Roman"/>
          <w:color w:val="auto"/>
          <w:sz w:val="24"/>
          <w:szCs w:val="24"/>
          <w:bdr w:val="none" w:sz="0" w:space="0" w:color="auto"/>
        </w:rPr>
      </w:pPr>
      <w:r w:rsidRPr="0050225E">
        <w:rPr>
          <w:sz w:val="28"/>
          <w:szCs w:val="28"/>
        </w:rPr>
        <w:t>Reference:</w:t>
      </w:r>
      <w:r w:rsidR="003852BC">
        <w:rPr>
          <w:rFonts w:ascii="Calibri Light" w:eastAsia="Calibri Light" w:hAnsi="Calibri Light" w:cs="Calibri Light"/>
          <w:color w:val="2F5496"/>
          <w:sz w:val="26"/>
          <w:szCs w:val="26"/>
          <w:u w:color="2F5496"/>
        </w:rPr>
        <w:fldChar w:fldCharType="begin"/>
      </w:r>
      <w:r w:rsidR="003852BC">
        <w:instrText xml:space="preserve"> ADDIN NE.Bib</w:instrText>
      </w:r>
      <w:r w:rsidR="003852BC">
        <w:rPr>
          <w:rFonts w:ascii="Calibri Light" w:eastAsia="Calibri Light" w:hAnsi="Calibri Light" w:cs="Calibri Light"/>
          <w:color w:val="2F5496"/>
          <w:sz w:val="26"/>
          <w:szCs w:val="26"/>
          <w:u w:color="2F5496"/>
        </w:rPr>
        <w:fldChar w:fldCharType="separate"/>
      </w:r>
    </w:p>
    <w:p w14:paraId="32B6AD48" w14:textId="77777777" w:rsidR="00856924" w:rsidRDefault="00856924" w:rsidP="0085692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auto"/>
        <w:jc w:val="both"/>
        <w:rPr>
          <w:rFonts w:ascii="Times New Roman" w:eastAsia="华文仿宋" w:hAnsi="Times New Roman" w:cs="Times New Roman"/>
          <w:color w:val="auto"/>
          <w:sz w:val="24"/>
          <w:szCs w:val="24"/>
          <w:bdr w:val="none" w:sz="0" w:space="0" w:color="auto"/>
        </w:rPr>
      </w:pPr>
      <w:r>
        <w:rPr>
          <w:rFonts w:ascii="Times New Roman" w:eastAsia="华文仿宋" w:hAnsi="Times New Roman" w:cs="Times New Roman"/>
          <w:bdr w:val="none" w:sz="0" w:space="0" w:color="auto"/>
        </w:rPr>
        <w:t>1.</w:t>
      </w:r>
      <w:r>
        <w:rPr>
          <w:rFonts w:ascii="Times New Roman" w:eastAsia="华文仿宋" w:hAnsi="Times New Roman" w:cs="Times New Roman"/>
          <w:bdr w:val="none" w:sz="0" w:space="0" w:color="auto"/>
        </w:rPr>
        <w:tab/>
        <w:t xml:space="preserve">Ye J, Jiang X, Dong Z, Hu S, Xiao M: </w:t>
      </w:r>
      <w:r>
        <w:rPr>
          <w:rFonts w:ascii="Times New Roman" w:eastAsia="华文仿宋" w:hAnsi="Times New Roman" w:cs="Times New Roman"/>
          <w:b/>
          <w:bCs/>
          <w:bdr w:val="none" w:sz="0" w:space="0" w:color="auto"/>
        </w:rPr>
        <w:t>Low-Concentration PTX And RSL3 Inhibits Tumor Cell Growth Synergistically By Inducing Ferroptosis In Mutant p53 Hypopharyngeal Squamous Carcinoma.</w:t>
      </w:r>
      <w:r>
        <w:rPr>
          <w:rFonts w:ascii="Times New Roman" w:eastAsia="华文仿宋" w:hAnsi="Times New Roman" w:cs="Times New Roman"/>
          <w:bdr w:val="none" w:sz="0" w:space="0" w:color="auto"/>
        </w:rPr>
        <w:t xml:space="preserve"> </w:t>
      </w:r>
      <w:r>
        <w:rPr>
          <w:rFonts w:ascii="Times New Roman" w:eastAsia="华文仿宋" w:hAnsi="Times New Roman" w:cs="Times New Roman"/>
          <w:i/>
          <w:iCs/>
          <w:bdr w:val="none" w:sz="0" w:space="0" w:color="auto"/>
        </w:rPr>
        <w:t xml:space="preserve">Cancer </w:t>
      </w:r>
      <w:proofErr w:type="spellStart"/>
      <w:r>
        <w:rPr>
          <w:rFonts w:ascii="Times New Roman" w:eastAsia="华文仿宋" w:hAnsi="Times New Roman" w:cs="Times New Roman"/>
          <w:i/>
          <w:iCs/>
          <w:bdr w:val="none" w:sz="0" w:space="0" w:color="auto"/>
        </w:rPr>
        <w:t>Manag</w:t>
      </w:r>
      <w:proofErr w:type="spellEnd"/>
      <w:r>
        <w:rPr>
          <w:rFonts w:ascii="Times New Roman" w:eastAsia="华文仿宋" w:hAnsi="Times New Roman" w:cs="Times New Roman"/>
          <w:i/>
          <w:iCs/>
          <w:bdr w:val="none" w:sz="0" w:space="0" w:color="auto"/>
        </w:rPr>
        <w:t xml:space="preserve"> Res</w:t>
      </w:r>
      <w:r>
        <w:rPr>
          <w:rFonts w:ascii="Times New Roman" w:eastAsia="华文仿宋" w:hAnsi="Times New Roman" w:cs="Times New Roman"/>
          <w:bdr w:val="none" w:sz="0" w:space="0" w:color="auto"/>
        </w:rPr>
        <w:t xml:space="preserve"> 2019, </w:t>
      </w:r>
      <w:r>
        <w:rPr>
          <w:rFonts w:ascii="Times New Roman" w:eastAsia="华文仿宋" w:hAnsi="Times New Roman" w:cs="Times New Roman"/>
          <w:b/>
          <w:bCs/>
          <w:bdr w:val="none" w:sz="0" w:space="0" w:color="auto"/>
        </w:rPr>
        <w:t>11:</w:t>
      </w:r>
      <w:r>
        <w:rPr>
          <w:rFonts w:ascii="Times New Roman" w:eastAsia="华文仿宋" w:hAnsi="Times New Roman" w:cs="Times New Roman"/>
          <w:bdr w:val="none" w:sz="0" w:space="0" w:color="auto"/>
        </w:rPr>
        <w:t>9783-9792.</w:t>
      </w:r>
    </w:p>
    <w:p w14:paraId="25227EF2" w14:textId="77777777" w:rsidR="00856924" w:rsidRDefault="00856924" w:rsidP="0085692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auto"/>
        <w:jc w:val="both"/>
        <w:rPr>
          <w:rFonts w:ascii="Times New Roman" w:eastAsia="华文仿宋" w:hAnsi="Times New Roman" w:cs="Times New Roman"/>
          <w:color w:val="auto"/>
          <w:sz w:val="24"/>
          <w:szCs w:val="24"/>
          <w:bdr w:val="none" w:sz="0" w:space="0" w:color="auto"/>
        </w:rPr>
      </w:pPr>
      <w:r>
        <w:rPr>
          <w:rFonts w:ascii="Times New Roman" w:eastAsia="华文仿宋" w:hAnsi="Times New Roman" w:cs="Times New Roman"/>
          <w:bdr w:val="none" w:sz="0" w:space="0" w:color="auto"/>
        </w:rPr>
        <w:t>2.</w:t>
      </w:r>
      <w:r>
        <w:rPr>
          <w:rFonts w:ascii="Times New Roman" w:eastAsia="华文仿宋" w:hAnsi="Times New Roman" w:cs="Times New Roman"/>
          <w:bdr w:val="none" w:sz="0" w:space="0" w:color="auto"/>
        </w:rPr>
        <w:tab/>
      </w:r>
      <w:bookmarkStart w:id="13" w:name="_nebDA2840F6_0031_4099_853E_75B484C51FF2"/>
      <w:r>
        <w:rPr>
          <w:rFonts w:ascii="Times New Roman" w:eastAsia="华文仿宋" w:hAnsi="Times New Roman" w:cs="Times New Roman"/>
          <w:bdr w:val="none" w:sz="0" w:space="0" w:color="auto"/>
        </w:rPr>
        <w:t xml:space="preserve">Shen C, Xuan B, Yan T, Ma Y, Xu P, Tian X, Zhang X, Cao Y, Ma D, Zhu X, et al: </w:t>
      </w:r>
      <w:r>
        <w:rPr>
          <w:rFonts w:ascii="Times New Roman" w:eastAsia="华文仿宋" w:hAnsi="Times New Roman" w:cs="Times New Roman"/>
          <w:b/>
          <w:bCs/>
          <w:bdr w:val="none" w:sz="0" w:space="0" w:color="auto"/>
        </w:rPr>
        <w:t>m(6)A-dependent glycolysis enhances colorectal cancer progression.</w:t>
      </w:r>
      <w:r>
        <w:rPr>
          <w:rFonts w:ascii="Times New Roman" w:eastAsia="华文仿宋" w:hAnsi="Times New Roman" w:cs="Times New Roman"/>
          <w:bdr w:val="none" w:sz="0" w:space="0" w:color="auto"/>
        </w:rPr>
        <w:t xml:space="preserve"> </w:t>
      </w:r>
      <w:r>
        <w:rPr>
          <w:rFonts w:ascii="Times New Roman" w:eastAsia="华文仿宋" w:hAnsi="Times New Roman" w:cs="Times New Roman"/>
          <w:i/>
          <w:iCs/>
          <w:bdr w:val="none" w:sz="0" w:space="0" w:color="auto"/>
        </w:rPr>
        <w:t>Mol Cancer</w:t>
      </w:r>
      <w:r>
        <w:rPr>
          <w:rFonts w:ascii="Times New Roman" w:eastAsia="华文仿宋" w:hAnsi="Times New Roman" w:cs="Times New Roman"/>
          <w:bdr w:val="none" w:sz="0" w:space="0" w:color="auto"/>
        </w:rPr>
        <w:t xml:space="preserve"> 2020, </w:t>
      </w:r>
      <w:r>
        <w:rPr>
          <w:rFonts w:ascii="Times New Roman" w:eastAsia="华文仿宋" w:hAnsi="Times New Roman" w:cs="Times New Roman"/>
          <w:b/>
          <w:bCs/>
          <w:bdr w:val="none" w:sz="0" w:space="0" w:color="auto"/>
        </w:rPr>
        <w:t>19:</w:t>
      </w:r>
      <w:r>
        <w:rPr>
          <w:rFonts w:ascii="Times New Roman" w:eastAsia="华文仿宋" w:hAnsi="Times New Roman" w:cs="Times New Roman"/>
          <w:bdr w:val="none" w:sz="0" w:space="0" w:color="auto"/>
        </w:rPr>
        <w:t>72.</w:t>
      </w:r>
      <w:bookmarkEnd w:id="13"/>
    </w:p>
    <w:p w14:paraId="460FDA89" w14:textId="6769A3A6" w:rsidR="00856924" w:rsidRDefault="003852BC" w:rsidP="0085692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auto"/>
      </w:pPr>
      <w:r>
        <w:fldChar w:fldCharType="end"/>
      </w:r>
      <w:r w:rsidR="00856924">
        <w:t xml:space="preserve"> </w:t>
      </w:r>
    </w:p>
    <w:p w14:paraId="0238734D" w14:textId="5C8CD7B3" w:rsidR="00662850" w:rsidRDefault="00856924" w:rsidP="00493B8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40" w:lineRule="auto"/>
      </w:pPr>
    </w:p>
    <w:sectPr w:rsidR="006628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Arial Unicode MS">
    <w:altName w:val="宋体"/>
    <w:panose1 w:val="020B0604020202020204"/>
    <w:charset w:val="86"/>
    <w:family w:val="roman"/>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微软雅黑">
    <w:altName w:val="汉仪旗黑KW"/>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EE79E3"/>
    <w:multiLevelType w:val="multilevel"/>
    <w:tmpl w:val="7B9EBE54"/>
    <w:lvl w:ilvl="0">
      <w:start w:val="1"/>
      <w:numFmt w:val="none"/>
      <w:pStyle w:val="Heading1"/>
      <w:lvlText w:val="1"/>
      <w:lvlJc w:val="left"/>
      <w:pPr>
        <w:ind w:left="360" w:hanging="360"/>
      </w:pPr>
      <w:rPr>
        <w:b w:val="0"/>
        <w:bCs w:val="0"/>
        <w:i w:val="0"/>
        <w:iCs w:val="0"/>
        <w:caps w:val="0"/>
        <w:smallCaps w:val="0"/>
        <w:strike w:val="0"/>
        <w:dstrike w:val="0"/>
        <w:outline w:val="0"/>
        <w:shadow w:val="0"/>
        <w:emboss w:val="0"/>
        <w:imprint w:val="0"/>
        <w:noProof w:val="0"/>
        <w:vanish w:val="0"/>
        <w:color w:val="000000"/>
        <w:spacing w:val="0"/>
        <w:kern w:val="0"/>
        <w:position w:val="0"/>
        <w:u w:val="none" w:color="000000"/>
        <w:effect w:val="none"/>
        <w:vertAlign w:val="baseline"/>
        <w:em w:val="none"/>
        <w:specVanish w:val="0"/>
      </w:rPr>
    </w:lvl>
    <w:lvl w:ilvl="1">
      <w:start w:val="1"/>
      <w:numFmt w:val="decimal"/>
      <w:pStyle w:val="Heading2"/>
      <w:lvlText w:val="%2."/>
      <w:lvlJc w:val="left"/>
      <w:pPr>
        <w:ind w:left="360" w:hanging="360"/>
      </w:pPr>
      <w:rPr>
        <w:rFonts w:hint="eastAsia"/>
        <w:b w:val="0"/>
        <w:bCs w:val="0"/>
        <w:i w:val="0"/>
        <w:iCs w:val="0"/>
        <w:caps w:val="0"/>
        <w:smallCaps w:val="0"/>
        <w:strike w:val="0"/>
        <w:dstrike w:val="0"/>
        <w:outline w:val="0"/>
        <w:shadow w:val="0"/>
        <w:emboss w:val="0"/>
        <w:imprint w:val="0"/>
        <w:noProof w:val="0"/>
        <w:vanish w:val="0"/>
        <w:color w:val="000000"/>
        <w:spacing w:val="0"/>
        <w:kern w:val="0"/>
        <w:position w:val="0"/>
        <w:u w:val="none" w:color="000000"/>
        <w:effect w:val="none"/>
        <w:vertAlign w:val="baseline"/>
        <w:em w:val="none"/>
        <w:specVanish w:val="0"/>
      </w:rPr>
    </w:lvl>
    <w:lvl w:ilvl="2">
      <w:start w:val="1"/>
      <w:numFmt w:val="none"/>
      <w:lvlText w:val="1.1.1"/>
      <w:lvlJc w:val="left"/>
      <w:pPr>
        <w:ind w:left="1080" w:hanging="360"/>
      </w:pPr>
      <w:rPr>
        <w:rFonts w:hint="eastAsia"/>
      </w:rPr>
    </w:lvl>
    <w:lvl w:ilvl="3">
      <w:start w:val="1"/>
      <w:numFmt w:val="decimal"/>
      <w:lvlText w:val="(%4)"/>
      <w:lvlJc w:val="left"/>
      <w:pPr>
        <w:ind w:left="1440" w:hanging="360"/>
      </w:pPr>
      <w:rPr>
        <w:rFonts w:hint="eastAsia"/>
      </w:rPr>
    </w:lvl>
    <w:lvl w:ilvl="4">
      <w:start w:val="1"/>
      <w:numFmt w:val="lowerLetter"/>
      <w:lvlText w:val="(%5)"/>
      <w:lvlJc w:val="left"/>
      <w:pPr>
        <w:ind w:left="1800" w:hanging="360"/>
      </w:pPr>
      <w:rPr>
        <w:rFonts w:hint="eastAsia"/>
      </w:rPr>
    </w:lvl>
    <w:lvl w:ilvl="5">
      <w:start w:val="1"/>
      <w:numFmt w:val="lowerRoman"/>
      <w:lvlText w:val="(%6)"/>
      <w:lvlJc w:val="left"/>
      <w:pPr>
        <w:ind w:left="2160" w:hanging="360"/>
      </w:pPr>
      <w:rPr>
        <w:rFonts w:hint="eastAsia"/>
      </w:rPr>
    </w:lvl>
    <w:lvl w:ilvl="6">
      <w:start w:val="1"/>
      <w:numFmt w:val="decimal"/>
      <w:lvlText w:val="%7."/>
      <w:lvlJc w:val="left"/>
      <w:pPr>
        <w:ind w:left="2520" w:hanging="360"/>
      </w:pPr>
      <w:rPr>
        <w:rFonts w:hint="eastAsia"/>
      </w:rPr>
    </w:lvl>
    <w:lvl w:ilvl="7">
      <w:start w:val="1"/>
      <w:numFmt w:val="lowerLetter"/>
      <w:lvlText w:val="%8."/>
      <w:lvlJc w:val="left"/>
      <w:pPr>
        <w:ind w:left="2880" w:hanging="360"/>
      </w:pPr>
      <w:rPr>
        <w:rFonts w:hint="eastAsia"/>
      </w:rPr>
    </w:lvl>
    <w:lvl w:ilvl="8">
      <w:start w:val="1"/>
      <w:numFmt w:val="lowerRoman"/>
      <w:lvlText w:val="%9."/>
      <w:lvlJc w:val="left"/>
      <w:pPr>
        <w:ind w:left="3240" w:hanging="360"/>
      </w:pPr>
      <w:rPr>
        <w:rFonts w:hint="eastAsia"/>
      </w:rPr>
    </w:lvl>
  </w:abstractNum>
  <w:abstractNum w:abstractNumId="1" w15:restartNumberingAfterBreak="0">
    <w:nsid w:val="6813004B"/>
    <w:multiLevelType w:val="multilevel"/>
    <w:tmpl w:val="D16EF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272DE8"/>
    <w:multiLevelType w:val="hybridMultilevel"/>
    <w:tmpl w:val="C5F49490"/>
    <w:lvl w:ilvl="0" w:tplc="10A4E320">
      <w:start w:val="6"/>
      <w:numFmt w:val="lowerLetter"/>
      <w:lvlText w:val="%1."/>
      <w:lvlJc w:val="left"/>
      <w:pPr>
        <w:ind w:left="720" w:hanging="360"/>
      </w:pPr>
      <w:rPr>
        <w:rFonts w:hint="eastAsia"/>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num>
  <w:num w:numId="3">
    <w:abstractNumId w:val="1"/>
  </w:num>
  <w:num w:numId="4">
    <w:abstractNumId w:val="0"/>
  </w:num>
  <w:num w:numId="5">
    <w:abstractNumId w:val="0"/>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Ref{021109E3-D611-477D-AD11-1C7F188479DB}" w:val=" ADDIN NE.Ref.{021109E3-D611-477D-AD11-1C7F188479DB}&lt;Citation&gt;&lt;Group&gt;&lt;References&gt;&lt;Item&gt;&lt;ID&gt;4074&lt;/ID&gt;&lt;UID&gt;{DA2840F6-0031-4099-853E-75B484C51FF2}&lt;/UID&gt;&lt;Title&gt;m(6)A-dependent glycolysis enhances colorectal cancer progression&lt;/Title&gt;&lt;Template&gt;Journal Article&lt;/Template&gt;&lt;Star&gt;0&lt;/Star&gt;&lt;Tag&gt;0&lt;/Tag&gt;&lt;Author&gt;Shen, C; Xuan, B; Yan, T; Ma, Y; Xu, P; Tian, X; Zhang, X; Cao, Y; Ma, D; Zhu, X; Zhang, Y; Fang, J Y; Chen, H; Hong, J&lt;/Author&gt;&lt;Year&gt;2020&lt;/Year&gt;&lt;Details&gt;&lt;_accessed&gt;63342249&lt;/_accessed&gt;&lt;_accession_num&gt;32245489&lt;/_accession_num&gt;&lt;_author_adr&gt;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Department of Medical Oncology, Xuzhou Central Hospital, Xuzhou Medical University, Xuzhou, 221009, China.; 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jingyuanfang@sjtu.edu.cn.; 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haoyanchen@sjtu.edu.cn.; State Key Laboratory for Oncogenes and Related Genes; Key Laboratory of Gastroenterology &amp;amp;amp; Hepatology, Ministry of Health; Division of Gastroenterology and Hepatology; Shanghai Cancer Institute; Shanghai Institute of Digestive Disease; Renji Hospital, Shanghai Jiao Tong University School of Medicine, 145 Middle Shandong Road, Shanghai, 200001, China. jiehong97@sjtu.edu.cn.&lt;/_author_adr&gt;&lt;_collection_scope&gt;SCIE&lt;/_collection_scope&gt;&lt;_created&gt;63291725&lt;/_created&gt;&lt;_date&gt;2020-04-03&lt;/_date&gt;&lt;_date_display&gt;2020 Apr 3&lt;/_date_display&gt;&lt;_db_updated&gt;PubMed&lt;/_db_updated&gt;&lt;_doi&gt;10.1186/s12943-020-01190-w&lt;/_doi&gt;&lt;_impact_factor&gt;  15.302&lt;/_impact_factor&gt;&lt;_isbn&gt;1476-4598 (Electronic); 1476-4598 (Linking)&lt;/_isbn&gt;&lt;_issue&gt;1&lt;/_issue&gt;&lt;_journal&gt;Mol Cancer&lt;/_journal&gt;&lt;_keywords&gt;*Colorectal cancer; *GLUT1; *Glycolysis; *HK2; *METTL3; *m6A modification&lt;/_keywords&gt;&lt;_language&gt;eng&lt;/_language&gt;&lt;_modified&gt;63342249&lt;/_modified&gt;&lt;_pages&gt;72&lt;/_pages&gt;&lt;_tertiary_title&gt;Molecular cancer&lt;/_tertiary_title&gt;&lt;_type_work&gt;Journal Article; Research Support, Non-U.S. Gov&amp;apos;t&lt;/_type_work&gt;&lt;_url&gt;http://www.ncbi.nlm.nih.gov/entrez/query.fcgi?cmd=Retrieve&amp;amp;db=pubmed&amp;amp;dopt=Abstract&amp;amp;list_uids=32245489&amp;amp;query_hl=1&lt;/_url&gt;&lt;_volume&gt;19&lt;/_volume&gt;&lt;/Details&gt;&lt;Extra&gt;&lt;DBUID&gt;{C245E302-DE7A-4E87-927A-58BAED09E43C}&lt;/DBUID&gt;&lt;/Extra&gt;&lt;/Item&gt;&lt;/References&gt;&lt;/Group&gt;&lt;/Citation&gt;_x000a_"/>
    <w:docVar w:name="NE.Ref{492FCDED-6BE9-4ACC-8488-99B4A729F84C}" w:val=" ADDIN NE.Ref.{492FCDED-6BE9-4ACC-8488-99B4A729F84C}&lt;Citation&gt;&lt;Group&gt;&lt;References&gt;&lt;Item&gt;&lt;ID&gt;4090&lt;/ID&gt;&lt;UID&gt;{7311F395-BFDF-46C6-8196-C71B07756A09}&lt;/UID&gt;&lt;Title&gt;MRI R2 and R2* mapping accurately estimates hepatic iron concentration in transfusion-dependent thalassemia and sickle cell disease patients&lt;/Title&gt;&lt;Template&gt;Journal Article&lt;/Template&gt;&lt;Star&gt;0&lt;/Star&gt;&lt;Tag&gt;0&lt;/Tag&gt;&lt;Author&gt;Wood, J C; Enriquez, C; Ghugre, N; Tyzka, J M; Carson, S; Nelson, M D; Coates, T D&lt;/Author&gt;&lt;Year&gt;2005&lt;/Year&gt;&lt;Details&gt;&lt;_accession_num&gt;15860670&lt;/_accession_num&gt;&lt;_author_adr&gt;Department of Pediatrics, Children&amp;apos;s Hospital Los Angeles, 4650 Sunset Blvd, Los  Angeles, CA 90027-0034, USA. jwood@chla.usc.edu&lt;/_author_adr&gt;&lt;_date_display&gt;2005 Aug 15&lt;/_date_display&gt;&lt;_date&gt;2005-08-15&lt;/_date&gt;&lt;_doi&gt;10.1182/blood-2004-10-3982&lt;/_doi&gt;&lt;_isbn&gt;0006-4971 (Print); 0006-4971 (Linking)&lt;/_isbn&gt;&lt;_issue&gt;4&lt;/_issue&gt;&lt;_journal&gt;Blood&lt;/_journal&gt;&lt;_language&gt;eng&lt;/_language&gt;&lt;_pages&gt;1460-5&lt;/_pages&gt;&lt;_subject_headings&gt;Adolescent; Adult; Anemia, Sickle Cell/*metabolism/therapy; Blood Transfusion; Case-Control Studies; Child; Female; Humans; Iron/*analysis; Iron Overload; Liver/*metabolism/pathology; Magnetic Resonance Imaging/*methods/standards; Male; Middle Aged; Prognosis; Thalassemia/*metabolism/therapy&lt;/_subject_headings&gt;&lt;_tertiary_title&gt;Blood&lt;/_tertiary_title&gt;&lt;_type_work&gt;Journal Article; Research Support, N.I.H., Extramural; Research Support, Non-U.S. Gov&amp;apos;t; Research Support, U.S. Gov&amp;apos;t, P.H.S.; Validation Study&lt;/_type_work&gt;&lt;_url&gt;http://www.ncbi.nlm.nih.gov/entrez/query.fcgi?cmd=Retrieve&amp;amp;db=pubmed&amp;amp;dopt=Abstract&amp;amp;list_uids=15860670&amp;amp;query_hl=1&lt;/_url&gt;&lt;_volume&gt;106&lt;/_volume&gt;&lt;_created&gt;63320713&lt;/_created&gt;&lt;_modified&gt;63320714&lt;/_modified&gt;&lt;_db_updated&gt;PubMed&lt;/_db_updated&gt;&lt;_impact_factor&gt;  16.562&lt;/_impact_factor&gt;&lt;_collection_scope&gt;SCI;SCIE&lt;/_collection_scope&gt;&lt;/Details&gt;&lt;Extra&gt;&lt;DBUID&gt;{C245E302-DE7A-4E87-927A-58BAED09E43C}&lt;/DBUID&gt;&lt;/Extra&gt;&lt;/Item&gt;&lt;/References&gt;&lt;/Group&gt;&lt;/Citation&gt;_x000a_"/>
    <w:docVar w:name="NE.Ref{95C2E64D-9397-4FD8-8BB2-7A67444C242F}" w:val=" ADDIN NE.Ref.{95C2E64D-9397-4FD8-8BB2-7A67444C242F}&lt;Citation&gt;&lt;Group&gt;&lt;References&gt;&lt;Item&gt;&lt;ID&gt;4101&lt;/ID&gt;&lt;UID&gt;{78B42599-6286-4F35-8BE8-357765F6B74E}&lt;/UID&gt;&lt;Title&gt;N(6)-methyladenosine Modulates Messenger RNA Translation Efficiency&lt;/Title&gt;&lt;Template&gt;Journal Article&lt;/Template&gt;&lt;Star&gt;0&lt;/Star&gt;&lt;Tag&gt;0&lt;/Tag&gt;&lt;Author&gt;Wang, X; Zhao, B S; Roundtree, I A; Lu, Z; Han, D; Ma, H; Weng, X; Chen, K; Shi, H; He, C&lt;/Author&gt;&lt;Year&gt;2015&lt;/Year&gt;&lt;Details&gt;&lt;_accession_num&gt;26046440&lt;/_accession_num&gt;&lt;_author_adr&gt;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Howard Hughes Medical Institute, The University of Chicago, 929 East 57th Street, Chicago, IL 60637, USA; Department of Biochemistry and Molecular Biology,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Biochemistry and Molecular Biology, The University of Chicago, 929 East 57th Street, Chicago, IL 60637, USA. Electronic address: chuanhe@uchicago.edu.&lt;/_author_adr&gt;&lt;_date_display&gt;2015 Jun 4&lt;/_date_display&gt;&lt;_date&gt;2015-06-04&lt;/_date&gt;&lt;_doi&gt;10.1016/j.cell.2015.05.014&lt;/_doi&gt;&lt;_isbn&gt;1097-4172 (Electronic); 0092-8674 (Linking)&lt;/_isbn&gt;&lt;_issue&gt;6&lt;/_issue&gt;&lt;_journal&gt;Cell&lt;/_journal&gt;&lt;_language&gt;eng&lt;/_language&gt;&lt;_ori_publication&gt;Copyright (c) 2015 Elsevier Inc. All rights reserved.&lt;/_ori_publication&gt;&lt;_pages&gt;1388-99&lt;/_pages&gt;&lt;_subject_headings&gt;Adenosine/*analogs &amp;amp; derivatives/*metabolism; *Gene Expression Regulation; Humans; Peptide Initiation Factors/metabolism; *Protein Biosynthesis; RNA Stability; RNA, Messenger/metabolism; RNA-Binding Proteins/genetics/metabolism; Ribosomes/metabolism&lt;/_subject_headings&gt;&lt;_tertiary_title&gt;Cell&lt;/_tertiary_title&gt;&lt;_type_work&gt;Journal Article; Research Support, Non-U.S. Gov&amp;apos;t; Research Support, U.S. Gov&amp;apos;t, Non-P.H.S.&lt;/_type_work&gt;&lt;_url&gt;http://www.ncbi.nlm.nih.gov/entrez/query.fcgi?cmd=Retrieve&amp;amp;db=pubmed&amp;amp;dopt=Abstract&amp;amp;list_uids=26046440&amp;amp;query_hl=1&lt;/_url&gt;&lt;_volume&gt;161&lt;/_volume&gt;&lt;_created&gt;63336766&lt;/_created&gt;&lt;_modified&gt;63336768&lt;/_modified&gt;&lt;_db_updated&gt;PubMed&lt;/_db_updated&gt;&lt;_impact_factor&gt;  36.216&lt;/_impact_factor&gt;&lt;_collection_scope&gt;SCI;SCIE&lt;/_collection_scope&gt;&lt;/Details&gt;&lt;Extra&gt;&lt;DBUID&gt;{C245E302-DE7A-4E87-927A-58BAED09E43C}&lt;/DBUID&gt;&lt;/Extra&gt;&lt;/Item&gt;&lt;/References&gt;&lt;/Group&gt;&lt;/Citation&gt;_x000a_"/>
    <w:docVar w:name="NE.Ref{C8596F4E-6421-470C-A266-0A0C11F1419D}" w:val=" ADDIN NE.Ref.{C8596F4E-6421-470C-A266-0A0C11F1419D}&lt;Citation&gt;&lt;Group&gt;&lt;References&gt;&lt;Item&gt;&lt;ID&gt;4134&lt;/ID&gt;&lt;UID&gt;{2AD9EC9D-77C1-438D-BCFD-8BAA37A2B5D5}&lt;/UID&gt;&lt;Title&gt;GEPIA: a web server for cancer and normal gene expression profiling and interactive analyses&lt;/Title&gt;&lt;Template&gt;Journal Article&lt;/Template&gt;&lt;Star&gt;0&lt;/Star&gt;&lt;Tag&gt;0&lt;/Tag&gt;&lt;Author&gt;Tang, Z; Li, C; Kang, B; Gao, G; Li, C; Zhang, Z&lt;/Author&gt;&lt;Year&gt;2017&lt;/Year&gt;&lt;Details&gt;&lt;_accession_num&gt;28407145&lt;/_accession_num&gt;&lt;_author_adr&gt;BIOPIC, School of Life Sciences, Peking University, Beijing 100871, China.; BIOPIC, School of Life Sciences, Peking University, Beijing 100871, China.; Peking-Tsinghua Center for Life Sciences, Academy for Advanced Interdisciplinary  Studies, Peking University, Beijing 100871, China.; BIOPIC, School of Life Sciences, Peking University, Beijing 100871, China.; School of Life Sciences, Peking University, Beijing 100871, China.; Peking-Tsinghua Center for Life Sciences, Academy for Advanced Interdisciplinary  Studies, Peking University, Beijing 100871, China.; School of Life Sciences, Peking University, Beijing 100871, China.; BIOPIC, School of Life Sciences, Peking University, Beijing 100871, China.; Peking-Tsinghua Center for Life Sciences, Academy for Advanced Interdisciplinary  Studies, Peking University, Beijing 100871, China.; Department of Biomolecular Engineering, University of California, Santa Cruz, CA  95064, USA.; Beijing Advanced Innovation Center for Genomics, Peking University, Beijing 100871, China.&lt;/_author_adr&gt;&lt;_collection_scope&gt;SCI;SCIE&lt;/_collection_scope&gt;&lt;_created&gt;63360592&lt;/_created&gt;&lt;_date&gt;2017-07-03&lt;/_date&gt;&lt;_date_display&gt;2017 Jul 3&lt;/_date_display&gt;&lt;_db_updated&gt;PubMed&lt;/_db_updated&gt;&lt;_doi&gt;10.1093/nar/gkx247&lt;/_doi&gt;&lt;_impact_factor&gt;  11.501&lt;/_impact_factor&gt;&lt;_isbn&gt;1362-4962 (Electronic); 0305-1048 (Linking)&lt;/_isbn&gt;&lt;_issue&gt;W1&lt;/_issue&gt;&lt;_journal&gt;Nucleic Acids Res&lt;/_journal&gt;&lt;_language&gt;eng&lt;/_language&gt;&lt;_modified&gt;63774086&lt;/_modified&gt;&lt;_ori_publication&gt;(c) The Author(s) 2017. Published by Oxford University Press on behalf of Nucleic_x000d__x000a_      Acids Research.&lt;/_ori_publication&gt;&lt;_pages&gt;W98-W102&lt;/_pages&gt;&lt;_subject_headings&gt;Data Mining; Gene Expression Profiling; *Gene Expression Regulation, Neoplastic; Humans; Internet; Multifactor Dimensionality Reduction; Neoplasm Proteins/*genetics/metabolism; Neoplasms/*genetics/mortality/pathology; Survival Analysis; *User-Computer Interface&lt;/_subject_headings&gt;&lt;_tertiary_title&gt;Nucleic acids research&lt;/_tertiary_title&gt;&lt;_type_work&gt;Journal Article; Research Support, Non-U.S. Gov&amp;apos;t&lt;/_type_work&gt;&lt;_url&gt;http://www.ncbi.nlm.nih.gov/entrez/query.fcgi?cmd=Retrieve&amp;amp;db=pubmed&amp;amp;dopt=Abstract&amp;amp;list_uids=28407145&amp;amp;query_hl=1&lt;/_url&gt;&lt;_volume&gt;45&lt;/_volume&gt;&lt;/Details&gt;&lt;Extra&gt;&lt;DBUID&gt;{C245E302-DE7A-4E87-927A-58BAED09E43C}&lt;/DBUID&gt;&lt;/Extra&gt;&lt;/Item&gt;&lt;/References&gt;&lt;/Group&gt;&lt;/Citation&gt;_x000a_"/>
    <w:docVar w:name="NE.Ref{EB24114B-D926-4FDF-9399-3A5A42847778}" w:val=" ADDIN NE.Ref.{EB24114B-D926-4FDF-9399-3A5A42847778}&lt;Citation&gt;&lt;Group&gt;&lt;References&gt;&lt;Item&gt;&lt;ID&gt;4101&lt;/ID&gt;&lt;UID&gt;{78B42599-6286-4F35-8BE8-357765F6B74E}&lt;/UID&gt;&lt;Title&gt;N(6)-methyladenosine Modulates Messenger RNA Translation Efficiency&lt;/Title&gt;&lt;Template&gt;Journal Article&lt;/Template&gt;&lt;Star&gt;0&lt;/Star&gt;&lt;Tag&gt;0&lt;/Tag&gt;&lt;Author&gt;Wang, X; Zhao, B S; Roundtree, I A; Lu, Z; Han, D; Ma, H; Weng, X; Chen, K; Shi, H; He, C&lt;/Author&gt;&lt;Year&gt;2015&lt;/Year&gt;&lt;Details&gt;&lt;_accession_num&gt;26046440&lt;/_accession_num&gt;&lt;_author_adr&gt;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Howard Hughes Medical Institute, The University of Chicago, 929 East 57th Street, Chicago, IL 60637, USA; Department of Biochemistry and Molecular Biology,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Chemistry and Institute for Biophysical Dynamics, The University of Chicago, 929 East 57th Street, Chicago, IL 60637, USA; Howard Hughes Medical Institute, The University of Chicago, 929 East 57th Street, Chicago, IL 60637, USA; Department of Biochemistry and Molecular Biology, The University of Chicago, 929 East 57th Street, Chicago, IL 60637, USA. Electronic address: chuanhe@uchicago.edu.&lt;/_author_adr&gt;&lt;_date_display&gt;2015 Jun 4&lt;/_date_display&gt;&lt;_date&gt;2015-06-04&lt;/_date&gt;&lt;_doi&gt;10.1016/j.cell.2015.05.014&lt;/_doi&gt;&lt;_isbn&gt;1097-4172 (Electronic); 0092-8674 (Linking)&lt;/_isbn&gt;&lt;_issue&gt;6&lt;/_issue&gt;&lt;_journal&gt;Cell&lt;/_journal&gt;&lt;_language&gt;eng&lt;/_language&gt;&lt;_ori_publication&gt;Copyright (c) 2015 Elsevier Inc. All rights reserved.&lt;/_ori_publication&gt;&lt;_pages&gt;1388-99&lt;/_pages&gt;&lt;_subject_headings&gt;Adenosine/*analogs &amp;amp; derivatives/*metabolism; *Gene Expression Regulation; Humans; Peptide Initiation Factors/metabolism; *Protein Biosynthesis; RNA Stability; RNA, Messenger/metabolism; RNA-Binding Proteins/genetics/metabolism; Ribosomes/metabolism&lt;/_subject_headings&gt;&lt;_tertiary_title&gt;Cell&lt;/_tertiary_title&gt;&lt;_type_work&gt;Journal Article; Research Support, Non-U.S. Gov&amp;apos;t; Research Support, U.S. Gov&amp;apos;t, Non-P.H.S.&lt;/_type_work&gt;&lt;_url&gt;http://www.ncbi.nlm.nih.gov/entrez/query.fcgi?cmd=Retrieve&amp;amp;db=pubmed&amp;amp;dopt=Abstract&amp;amp;list_uids=26046440&amp;amp;query_hl=1&lt;/_url&gt;&lt;_volume&gt;161&lt;/_volume&gt;&lt;_created&gt;63336766&lt;/_created&gt;&lt;_modified&gt;63336768&lt;/_modified&gt;&lt;_db_updated&gt;PubMed&lt;/_db_updated&gt;&lt;_impact_factor&gt;  36.216&lt;/_impact_factor&gt;&lt;_collection_scope&gt;SCI;SCIE&lt;/_collection_scope&gt;&lt;/Details&gt;&lt;Extra&gt;&lt;DBUID&gt;{C245E302-DE7A-4E87-927A-58BAED09E43C}&lt;/DBUID&gt;&lt;/Extra&gt;&lt;/Item&gt;&lt;/References&gt;&lt;/Group&gt;&lt;/Citation&gt;_x000a_"/>
    <w:docVar w:name="NE.Ref{EC8252B2-CBAA-4CC7-9DFC-7254DFB0524B}" w:val=" ADDIN NE.Ref.{EC8252B2-CBAA-4CC7-9DFC-7254DFB0524B} ADDIN NE.Ref.{EC8252B2-CBAA-4CC7-9DFC-7254DFB0524B}&lt;Citation&gt;&lt;Group&gt;&lt;References&gt;&lt;Item&gt;&lt;ID&gt;3877&lt;/ID&gt;&lt;UID&gt;{9D453840-9129-4F56-A2A7-AB8A2478F6B0}&lt;/UID&gt;&lt;Title&gt;Low-Concentration PTX And RSL3 Inhibits Tumor Cell Growth Synergistically By Inducing Ferroptosis In Mutant p53 Hypopharyngeal Squamous Carcinoma&lt;/Title&gt;&lt;Template&gt;Journal Article&lt;/Template&gt;&lt;Star&gt;0&lt;/Star&gt;&lt;Tag&gt;0&lt;/Tag&gt;&lt;Author&gt;Ye, J; Jiang, X; Dong, Z; Hu, S; Xiao, M&lt;/Author&gt;&lt;Year&gt;2019&lt;/Year&gt;&lt;Details&gt;&lt;_accession_num&gt;31819616&lt;/_accession_num&gt;&lt;_author_adr&gt;Department of Otolaryngology Head and Neck Surgery, Sir Run Run Shaw Hospital, College of Medicine, Zhejiang University, Hangzhou, Zhejiang, People&amp;apos;s Republic of China.; Department of Otolaryngology Head and Neck Surgery, Sir Run Run Shaw Hospital, College of Medicine, Zhejiang University, Hangzhou, Zhejiang, People&amp;apos;s Republic of China.; Department of Otolaryngology Head and Neck Surgery, Sir Run Run Shaw Hospital, College of Medicine, Zhejiang University, Hangzhou, Zhejiang, People&amp;apos;s Republic of China.; Department of Otolaryngology Head and Neck Surgery, Sir Run Run Shaw Hospital, College of Medicine, Zhejiang University, Hangzhou, Zhejiang, People&amp;apos;s Republic of China.; Department of Otolaryngology Head and Neck Surgery, Sir Run Run Shaw Hospital, College of Medicine, Zhejiang University, Hangzhou, Zhejiang, People&amp;apos;s Republic of China.&lt;/_author_adr&gt;&lt;_collection_scope&gt;SCIE&lt;/_collection_scope&gt;&lt;_created&gt;63156546&lt;/_created&gt;&lt;_date&gt;2019-01-20&lt;/_date&gt;&lt;_date_display&gt;2019&lt;/_date_display&gt;&lt;_db_updated&gt;PubMed&lt;/_db_updated&gt;&lt;_doi&gt;10.2147/CMAR.S217944&lt;/_doi&gt;&lt;_impact_factor&gt;   2.243&lt;/_impact_factor&gt;&lt;_isbn&gt;1179-1322 (Print); 1179-1322 (Linking)&lt;/_isbn&gt;&lt;_journal&gt;Cancer Manag Res&lt;/_journal&gt;&lt;_keywords&gt;GOF p53 variants; HPSCC; RSL3; SLC7A11; ferroptosis; low-concentration paclitaxel; mtp53; synthetic cell death&lt;/_keywords&gt;&lt;_language&gt;eng&lt;/_language&gt;&lt;_modified&gt;63156547&lt;/_modified&gt;&lt;_ori_publication&gt;(c) 2019 Ye et al.&lt;/_ori_publication&gt;&lt;_pages&gt;9783-9792&lt;/_pages&gt;&lt;_tertiary_title&gt;Cancer management and research&lt;/_tertiary_title&gt;&lt;_type_work&gt;Journal Article&lt;/_type_work&gt;&lt;_url&gt;http://www.ncbi.nlm.nih.gov/entrez/query.fcgi?cmd=Retrieve&amp;amp;db=pubmed&amp;amp;dopt=Abstract&amp;amp;list_uids=31819616&amp;amp;query_hl=1&lt;/_url&gt;&lt;_volume&gt;11&lt;/_volume&gt;&lt;/Details&gt;&lt;Extra&gt;&lt;DBUID&gt;{C245E302-DE7A-4E87-927A-58BAED09E43C}&lt;/DBUID&gt;&lt;/Extra&gt;&lt;/Item&gt;&lt;/References&gt;&lt;/Group&gt;&lt;/Citation&gt;_x000a_"/>
    <w:docVar w:name="ne_docsoft" w:val="MSWord"/>
    <w:docVar w:name="ne_docversion" w:val="NoteExpress 2.0"/>
    <w:docVar w:name="ne_stylename" w:val="Molecular Cancer"/>
  </w:docVars>
  <w:rsids>
    <w:rsidRoot w:val="00D30E5C"/>
    <w:rsid w:val="0000663C"/>
    <w:rsid w:val="0002769E"/>
    <w:rsid w:val="00046F92"/>
    <w:rsid w:val="00081834"/>
    <w:rsid w:val="000E732A"/>
    <w:rsid w:val="000F2025"/>
    <w:rsid w:val="00130A41"/>
    <w:rsid w:val="00141033"/>
    <w:rsid w:val="001D10D4"/>
    <w:rsid w:val="00257609"/>
    <w:rsid w:val="002662B7"/>
    <w:rsid w:val="00271EA8"/>
    <w:rsid w:val="00275ED9"/>
    <w:rsid w:val="00280FF4"/>
    <w:rsid w:val="00283783"/>
    <w:rsid w:val="002A35D5"/>
    <w:rsid w:val="002A706C"/>
    <w:rsid w:val="002B2617"/>
    <w:rsid w:val="002E561A"/>
    <w:rsid w:val="00351925"/>
    <w:rsid w:val="003852BC"/>
    <w:rsid w:val="0038742E"/>
    <w:rsid w:val="00391147"/>
    <w:rsid w:val="00396661"/>
    <w:rsid w:val="003C6C14"/>
    <w:rsid w:val="00402009"/>
    <w:rsid w:val="00407D61"/>
    <w:rsid w:val="00420353"/>
    <w:rsid w:val="00426533"/>
    <w:rsid w:val="00452A8F"/>
    <w:rsid w:val="00473E91"/>
    <w:rsid w:val="00486656"/>
    <w:rsid w:val="00493B80"/>
    <w:rsid w:val="004A2177"/>
    <w:rsid w:val="0050225E"/>
    <w:rsid w:val="005A21BD"/>
    <w:rsid w:val="00604D90"/>
    <w:rsid w:val="00611A0C"/>
    <w:rsid w:val="006140A7"/>
    <w:rsid w:val="00621B6C"/>
    <w:rsid w:val="00626756"/>
    <w:rsid w:val="00627969"/>
    <w:rsid w:val="0064514C"/>
    <w:rsid w:val="00653675"/>
    <w:rsid w:val="006822CB"/>
    <w:rsid w:val="00691CBF"/>
    <w:rsid w:val="006B172B"/>
    <w:rsid w:val="00730087"/>
    <w:rsid w:val="00741CC9"/>
    <w:rsid w:val="00745237"/>
    <w:rsid w:val="007A7E45"/>
    <w:rsid w:val="007D0D26"/>
    <w:rsid w:val="007E2C07"/>
    <w:rsid w:val="007E4726"/>
    <w:rsid w:val="007E4A1B"/>
    <w:rsid w:val="00824CB5"/>
    <w:rsid w:val="0083011A"/>
    <w:rsid w:val="00856924"/>
    <w:rsid w:val="00874D1F"/>
    <w:rsid w:val="00897BEC"/>
    <w:rsid w:val="008C2742"/>
    <w:rsid w:val="008F749F"/>
    <w:rsid w:val="00922A7E"/>
    <w:rsid w:val="00960578"/>
    <w:rsid w:val="0096167C"/>
    <w:rsid w:val="00965ACD"/>
    <w:rsid w:val="00997670"/>
    <w:rsid w:val="009D2019"/>
    <w:rsid w:val="009D44FA"/>
    <w:rsid w:val="009E683D"/>
    <w:rsid w:val="00A04BE8"/>
    <w:rsid w:val="00A1077C"/>
    <w:rsid w:val="00A75DCB"/>
    <w:rsid w:val="00A76AF7"/>
    <w:rsid w:val="00A96554"/>
    <w:rsid w:val="00AC5B88"/>
    <w:rsid w:val="00AC6EAE"/>
    <w:rsid w:val="00AF4204"/>
    <w:rsid w:val="00B11E57"/>
    <w:rsid w:val="00B370BE"/>
    <w:rsid w:val="00B408E2"/>
    <w:rsid w:val="00B41D9B"/>
    <w:rsid w:val="00B8411D"/>
    <w:rsid w:val="00BC1B33"/>
    <w:rsid w:val="00C3332B"/>
    <w:rsid w:val="00C44715"/>
    <w:rsid w:val="00C61116"/>
    <w:rsid w:val="00C62D8C"/>
    <w:rsid w:val="00C847FE"/>
    <w:rsid w:val="00C95BD9"/>
    <w:rsid w:val="00CB034C"/>
    <w:rsid w:val="00CD2BF6"/>
    <w:rsid w:val="00CD6BE1"/>
    <w:rsid w:val="00CE502B"/>
    <w:rsid w:val="00D30E5C"/>
    <w:rsid w:val="00D55FBE"/>
    <w:rsid w:val="00DC1ECF"/>
    <w:rsid w:val="00E2224B"/>
    <w:rsid w:val="00E27187"/>
    <w:rsid w:val="00E27B37"/>
    <w:rsid w:val="00E53E32"/>
    <w:rsid w:val="00E93F5D"/>
    <w:rsid w:val="00E95C32"/>
    <w:rsid w:val="00EC494E"/>
    <w:rsid w:val="00ED5201"/>
    <w:rsid w:val="00F42E3D"/>
    <w:rsid w:val="00F9113F"/>
    <w:rsid w:val="00F93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11DF6"/>
  <w15:chartTrackingRefBased/>
  <w15:docId w15:val="{819F4EED-7D10-494B-BAD7-428BB78A5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华文仿宋"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0E5C"/>
    <w:pPr>
      <w:pBdr>
        <w:top w:val="nil"/>
        <w:left w:val="nil"/>
        <w:bottom w:val="nil"/>
        <w:right w:val="nil"/>
        <w:between w:val="nil"/>
        <w:bar w:val="nil"/>
      </w:pBdr>
      <w:spacing w:after="0" w:line="360" w:lineRule="auto"/>
    </w:pPr>
    <w:rPr>
      <w:rFonts w:ascii="Arial" w:eastAsia="Arial Unicode MS" w:hAnsi="Arial" w:cs="Arial Unicode MS"/>
      <w:color w:val="000000"/>
      <w:sz w:val="20"/>
      <w:szCs w:val="20"/>
      <w:u w:color="000000"/>
      <w:bdr w:val="nil"/>
    </w:rPr>
  </w:style>
  <w:style w:type="paragraph" w:styleId="Heading1">
    <w:name w:val="heading 1"/>
    <w:next w:val="Normal"/>
    <w:link w:val="Heading1Char"/>
    <w:uiPriority w:val="9"/>
    <w:qFormat/>
    <w:rsid w:val="00D30E5C"/>
    <w:pPr>
      <w:keepNext/>
      <w:keepLines/>
      <w:numPr>
        <w:numId w:val="1"/>
      </w:numPr>
      <w:pBdr>
        <w:top w:val="nil"/>
        <w:left w:val="nil"/>
        <w:bottom w:val="nil"/>
        <w:right w:val="nil"/>
        <w:between w:val="nil"/>
        <w:bar w:val="nil"/>
      </w:pBdr>
      <w:spacing w:before="240" w:after="0" w:line="264" w:lineRule="auto"/>
      <w:outlineLvl w:val="0"/>
    </w:pPr>
    <w:rPr>
      <w:rFonts w:ascii="Calibri Light" w:eastAsia="Calibri Light" w:hAnsi="Calibri Light" w:cs="Calibri Light"/>
      <w:color w:val="2F5496"/>
      <w:sz w:val="32"/>
      <w:szCs w:val="32"/>
      <w:u w:color="2F5496"/>
      <w:bdr w:val="nil"/>
    </w:rPr>
  </w:style>
  <w:style w:type="paragraph" w:styleId="Heading2">
    <w:name w:val="heading 2"/>
    <w:next w:val="Normal"/>
    <w:link w:val="Heading2Char"/>
    <w:uiPriority w:val="9"/>
    <w:unhideWhenUsed/>
    <w:qFormat/>
    <w:rsid w:val="00D30E5C"/>
    <w:pPr>
      <w:keepNext/>
      <w:keepLines/>
      <w:numPr>
        <w:ilvl w:val="1"/>
        <w:numId w:val="1"/>
      </w:numPr>
      <w:pBdr>
        <w:top w:val="nil"/>
        <w:left w:val="nil"/>
        <w:bottom w:val="nil"/>
        <w:right w:val="nil"/>
        <w:between w:val="nil"/>
        <w:bar w:val="nil"/>
      </w:pBdr>
      <w:spacing w:before="40" w:after="0" w:line="264" w:lineRule="auto"/>
      <w:outlineLvl w:val="1"/>
    </w:pPr>
    <w:rPr>
      <w:rFonts w:ascii="Calibri Light" w:eastAsia="Calibri Light" w:hAnsi="Calibri Light" w:cs="Calibri Light"/>
      <w:color w:val="2F5496"/>
      <w:sz w:val="26"/>
      <w:szCs w:val="26"/>
      <w:u w:color="2F5496"/>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0E5C"/>
    <w:rPr>
      <w:rFonts w:ascii="Calibri Light" w:eastAsia="Calibri Light" w:hAnsi="Calibri Light" w:cs="Calibri Light"/>
      <w:color w:val="2F5496"/>
      <w:sz w:val="32"/>
      <w:szCs w:val="32"/>
      <w:u w:color="2F5496"/>
      <w:bdr w:val="nil"/>
    </w:rPr>
  </w:style>
  <w:style w:type="character" w:customStyle="1" w:styleId="Heading2Char">
    <w:name w:val="Heading 2 Char"/>
    <w:basedOn w:val="DefaultParagraphFont"/>
    <w:link w:val="Heading2"/>
    <w:uiPriority w:val="9"/>
    <w:rsid w:val="00D30E5C"/>
    <w:rPr>
      <w:rFonts w:ascii="Calibri Light" w:eastAsia="Calibri Light" w:hAnsi="Calibri Light" w:cs="Calibri Light"/>
      <w:color w:val="2F5496"/>
      <w:sz w:val="26"/>
      <w:szCs w:val="26"/>
      <w:u w:color="2F5496"/>
      <w:bdr w:val="nil"/>
    </w:rPr>
  </w:style>
  <w:style w:type="character" w:customStyle="1" w:styleId="highlight">
    <w:name w:val="highlight"/>
    <w:rsid w:val="00D30E5C"/>
    <w:rPr>
      <w:lang w:val="en-US"/>
    </w:rPr>
  </w:style>
  <w:style w:type="character" w:customStyle="1" w:styleId="a">
    <w:name w:val="无"/>
    <w:rsid w:val="00D30E5C"/>
  </w:style>
  <w:style w:type="paragraph" w:styleId="BalloonText">
    <w:name w:val="Balloon Text"/>
    <w:basedOn w:val="Normal"/>
    <w:link w:val="BalloonTextChar"/>
    <w:uiPriority w:val="99"/>
    <w:semiHidden/>
    <w:unhideWhenUsed/>
    <w:rsid w:val="000E732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732A"/>
    <w:rPr>
      <w:rFonts w:ascii="Segoe UI" w:eastAsia="Arial Unicode MS" w:hAnsi="Segoe UI" w:cs="Segoe UI"/>
      <w:color w:val="000000"/>
      <w:sz w:val="18"/>
      <w:szCs w:val="18"/>
      <w:u w:color="000000"/>
      <w:bdr w:val="nil"/>
    </w:rPr>
  </w:style>
  <w:style w:type="character" w:customStyle="1" w:styleId="A11">
    <w:name w:val="A11"/>
    <w:uiPriority w:val="99"/>
    <w:rsid w:val="00730087"/>
    <w:rPr>
      <w:color w:val="000000"/>
      <w:sz w:val="11"/>
      <w:szCs w:val="11"/>
    </w:rPr>
  </w:style>
  <w:style w:type="character" w:styleId="IntenseEmphasis">
    <w:name w:val="Intense Emphasis"/>
    <w:basedOn w:val="DefaultParagraphFont"/>
    <w:uiPriority w:val="21"/>
    <w:qFormat/>
    <w:rsid w:val="00426533"/>
    <w:rPr>
      <w:i/>
      <w:iCs/>
      <w:color w:val="4472C4" w:themeColor="accent1"/>
    </w:rPr>
  </w:style>
  <w:style w:type="character" w:styleId="Hyperlink">
    <w:name w:val="Hyperlink"/>
    <w:rsid w:val="00426533"/>
    <w:rPr>
      <w:u w:val="single"/>
    </w:rPr>
  </w:style>
  <w:style w:type="character" w:styleId="UnresolvedMention">
    <w:name w:val="Unresolved Mention"/>
    <w:basedOn w:val="DefaultParagraphFont"/>
    <w:uiPriority w:val="99"/>
    <w:semiHidden/>
    <w:unhideWhenUsed/>
    <w:rsid w:val="006B172B"/>
    <w:rPr>
      <w:color w:val="605E5C"/>
      <w:shd w:val="clear" w:color="auto" w:fill="E1DFDD"/>
    </w:rPr>
  </w:style>
  <w:style w:type="paragraph" w:customStyle="1" w:styleId="p1">
    <w:name w:val="p1"/>
    <w:basedOn w:val="Normal"/>
    <w:rsid w:val="00960578"/>
    <w:pPr>
      <w:pBdr>
        <w:top w:val="none" w:sz="0" w:space="0" w:color="auto"/>
        <w:left w:val="none" w:sz="0" w:space="0" w:color="auto"/>
        <w:bottom w:val="none" w:sz="0" w:space="0" w:color="auto"/>
        <w:right w:val="none" w:sz="0" w:space="0" w:color="auto"/>
        <w:between w:val="none" w:sz="0" w:space="0" w:color="auto"/>
        <w:bar w:val="none" w:sz="0" w:color="auto"/>
      </w:pBdr>
      <w:spacing w:line="240" w:lineRule="auto"/>
    </w:pPr>
    <w:rPr>
      <w:rFonts w:ascii="Helvetica" w:eastAsiaTheme="minorEastAsia" w:hAnsi="Helvetica" w:cs="Times New Roman"/>
      <w:color w:val="auto"/>
      <w:sz w:val="13"/>
      <w:szCs w:val="13"/>
      <w:bdr w:val="none" w:sz="0" w:space="0" w:color="auto"/>
    </w:rPr>
  </w:style>
  <w:style w:type="paragraph" w:styleId="ListParagraph">
    <w:name w:val="List Paragraph"/>
    <w:basedOn w:val="Normal"/>
    <w:uiPriority w:val="1"/>
    <w:qFormat/>
    <w:rsid w:val="00493B80"/>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left="720" w:firstLine="418"/>
      <w:contextualSpacing/>
      <w:jc w:val="both"/>
    </w:pPr>
    <w:rPr>
      <w:rFonts w:eastAsia="华文仿宋" w:cs="Times New Roman"/>
      <w:color w:val="auto"/>
      <w:kern w:val="2"/>
      <w:szCs w:val="24"/>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9059294">
      <w:bodyDiv w:val="1"/>
      <w:marLeft w:val="0"/>
      <w:marRight w:val="0"/>
      <w:marTop w:val="0"/>
      <w:marBottom w:val="0"/>
      <w:divBdr>
        <w:top w:val="none" w:sz="0" w:space="0" w:color="auto"/>
        <w:left w:val="none" w:sz="0" w:space="0" w:color="auto"/>
        <w:bottom w:val="none" w:sz="0" w:space="0" w:color="auto"/>
        <w:right w:val="none" w:sz="0" w:space="0" w:color="auto"/>
      </w:divBdr>
    </w:div>
    <w:div w:id="1526677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omicstudio.cn/too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nsembl.org" TargetMode="External"/><Relationship Id="rId5" Type="http://schemas.openxmlformats.org/officeDocument/2006/relationships/hyperlink" Target="http://www.ensembl.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TotalTime>
  <Pages>5</Pages>
  <Words>2133</Words>
  <Characters>12161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dc:creator>
  <cp:keywords/>
  <dc:description>NE.Rep</dc:description>
  <cp:lastModifiedBy>jing</cp:lastModifiedBy>
  <cp:revision>19</cp:revision>
  <dcterms:created xsi:type="dcterms:W3CDTF">2021-03-27T05:13:00Z</dcterms:created>
  <dcterms:modified xsi:type="dcterms:W3CDTF">2021-05-15T13:37:00Z</dcterms:modified>
</cp:coreProperties>
</file>