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CBE02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 Bold" w:hAnsi="Times New Roman Bold" w:cs="Times New Roman Bold"/>
          <w:b/>
          <w:bCs/>
          <w:sz w:val="22"/>
          <w:szCs w:val="22"/>
        </w:rPr>
      </w:pPr>
      <w:bookmarkStart w:id="0" w:name="OLE_LINK118"/>
      <w:bookmarkStart w:id="1" w:name="OLE_LINK117"/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Supplementary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 xml:space="preserve">Table </w:t>
      </w:r>
      <w:r>
        <w:rPr>
          <w:rFonts w:ascii="Times New Roman Bold" w:hAnsi="Times New Roman Bold" w:cs="Times New Roman Bold" w:hint="eastAsia"/>
          <w:b/>
          <w:bCs/>
          <w:sz w:val="22"/>
          <w:szCs w:val="22"/>
        </w:rPr>
        <w:t>1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. Response rates in surgical patients treated with neoadjuvant camrelizumab-based regimens</w:t>
      </w:r>
    </w:p>
    <w:tbl>
      <w:tblPr>
        <w:tblW w:w="8539" w:type="dxa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2"/>
        <w:gridCol w:w="2188"/>
        <w:gridCol w:w="2189"/>
      </w:tblGrid>
      <w:tr w:rsidR="00ED381F" w14:paraId="7041EC20" w14:textId="77777777" w:rsidTr="0040484B">
        <w:trPr>
          <w:trHeight w:val="431"/>
        </w:trPr>
        <w:tc>
          <w:tcPr>
            <w:tcW w:w="416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20" w:type="dxa"/>
              <w:left w:w="104" w:type="dxa"/>
              <w:right w:w="104" w:type="dxa"/>
            </w:tcMar>
            <w:vAlign w:val="center"/>
          </w:tcPr>
          <w:p w14:paraId="28822453" w14:textId="77777777" w:rsidR="00ED381F" w:rsidRDefault="00ED381F" w:rsidP="0040484B">
            <w:pPr>
              <w:pStyle w:val="NormalWeb"/>
              <w:widowControl/>
              <w:jc w:val="both"/>
              <w:rPr>
                <w:sz w:val="22"/>
                <w:szCs w:val="22"/>
              </w:rPr>
            </w:pPr>
            <w:bookmarkStart w:id="2" w:name="_Hlk192147239"/>
            <w:bookmarkStart w:id="3" w:name="OLE_LINK191"/>
            <w:bookmarkStart w:id="4" w:name="OLE_LINK192"/>
            <w:bookmarkStart w:id="5" w:name="OLE_LINK190"/>
            <w:bookmarkStart w:id="6" w:name="OLE_LINK188"/>
            <w:bookmarkStart w:id="7" w:name="OLE_LINK189"/>
            <w:bookmarkEnd w:id="0"/>
            <w:bookmarkEnd w:id="1"/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 xml:space="preserve">  Efficacy outcomes</w:t>
            </w:r>
          </w:p>
        </w:tc>
        <w:tc>
          <w:tcPr>
            <w:tcW w:w="2188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20" w:type="dxa"/>
              <w:left w:w="104" w:type="dxa"/>
              <w:right w:w="104" w:type="dxa"/>
            </w:tcMar>
            <w:vAlign w:val="center"/>
          </w:tcPr>
          <w:p w14:paraId="23B85693" w14:textId="77777777" w:rsidR="00ED381F" w:rsidRDefault="00ED381F" w:rsidP="0040484B">
            <w:pPr>
              <w:pStyle w:val="NormalWeb"/>
              <w:widowControl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Arm-AR (n = 22)</w:t>
            </w:r>
          </w:p>
        </w:tc>
        <w:tc>
          <w:tcPr>
            <w:tcW w:w="2189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20" w:type="dxa"/>
              <w:left w:w="104" w:type="dxa"/>
              <w:right w:w="104" w:type="dxa"/>
            </w:tcMar>
            <w:vAlign w:val="center"/>
          </w:tcPr>
          <w:p w14:paraId="71DE17BF" w14:textId="77777777" w:rsidR="00ED381F" w:rsidRDefault="00ED381F" w:rsidP="0040484B">
            <w:pPr>
              <w:pStyle w:val="NormalWeb"/>
              <w:widowControl/>
              <w:jc w:val="both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Arm-BR (n = 9)</w:t>
            </w:r>
          </w:p>
        </w:tc>
      </w:tr>
      <w:tr w:rsidR="00ED381F" w14:paraId="0E015135" w14:textId="77777777" w:rsidTr="0040484B">
        <w:trPr>
          <w:trHeight w:val="431"/>
        </w:trPr>
        <w:tc>
          <w:tcPr>
            <w:tcW w:w="4162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2C0C7DA3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Pathological response, n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(%, 95% CI)</w:t>
            </w:r>
          </w:p>
        </w:tc>
        <w:tc>
          <w:tcPr>
            <w:tcW w:w="2188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763CB359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89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11B95512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5AE44F25" w14:textId="77777777" w:rsidTr="0040484B">
        <w:trPr>
          <w:trHeight w:val="431"/>
        </w:trPr>
        <w:tc>
          <w:tcPr>
            <w:tcW w:w="4162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63952489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Major pathological response</w:t>
            </w:r>
          </w:p>
        </w:tc>
        <w:tc>
          <w:tcPr>
            <w:tcW w:w="2188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6BA78424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7 (31.8, 13.9-54.9)</w:t>
            </w:r>
          </w:p>
        </w:tc>
        <w:tc>
          <w:tcPr>
            <w:tcW w:w="2189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14855A42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6 (</w:t>
            </w:r>
            <w:r>
              <w:rPr>
                <w:rFonts w:ascii="Times New Roman" w:eastAsia="DengXian" w:hAnsi="Times New Roman"/>
                <w:color w:val="000000"/>
                <w:sz w:val="22"/>
                <w:szCs w:val="22"/>
              </w:rPr>
              <w:t>66.7, 29.9-92.5</w:t>
            </w: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)</w:t>
            </w:r>
          </w:p>
        </w:tc>
      </w:tr>
      <w:tr w:rsidR="00ED381F" w14:paraId="6E81E271" w14:textId="77777777" w:rsidTr="0040484B">
        <w:trPr>
          <w:trHeight w:val="431"/>
        </w:trPr>
        <w:tc>
          <w:tcPr>
            <w:tcW w:w="4162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03BD2EFD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Pathological complete response</w:t>
            </w:r>
          </w:p>
        </w:tc>
        <w:tc>
          <w:tcPr>
            <w:tcW w:w="2188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0BC04CA5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5 (22.7, 7.8-45.4)</w:t>
            </w:r>
          </w:p>
        </w:tc>
        <w:tc>
          <w:tcPr>
            <w:tcW w:w="2189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6B491A46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(11.1, 0.3-48.2)</w:t>
            </w:r>
          </w:p>
        </w:tc>
      </w:tr>
      <w:tr w:rsidR="00ED381F" w14:paraId="7811C91A" w14:textId="77777777" w:rsidTr="0040484B">
        <w:trPr>
          <w:trHeight w:val="431"/>
        </w:trPr>
        <w:tc>
          <w:tcPr>
            <w:tcW w:w="4162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07D9025D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 Best overall response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, n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(%)</w:t>
            </w:r>
          </w:p>
        </w:tc>
        <w:tc>
          <w:tcPr>
            <w:tcW w:w="2188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2B3C6042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89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46459FD7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038B99F9" w14:textId="77777777" w:rsidTr="0040484B">
        <w:trPr>
          <w:trHeight w:val="431"/>
        </w:trPr>
        <w:tc>
          <w:tcPr>
            <w:tcW w:w="4162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5D5CEE05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Complete response</w:t>
            </w:r>
          </w:p>
        </w:tc>
        <w:tc>
          <w:tcPr>
            <w:tcW w:w="2188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51240E28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(9.1)</w:t>
            </w:r>
          </w:p>
        </w:tc>
        <w:tc>
          <w:tcPr>
            <w:tcW w:w="2189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6F3FF449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4D065CC4" w14:textId="77777777" w:rsidTr="0040484B">
        <w:trPr>
          <w:trHeight w:val="431"/>
        </w:trPr>
        <w:tc>
          <w:tcPr>
            <w:tcW w:w="4162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1D9E85E7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Partial response</w:t>
            </w:r>
          </w:p>
        </w:tc>
        <w:tc>
          <w:tcPr>
            <w:tcW w:w="2188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6583BB58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16 (72.7)</w:t>
            </w:r>
          </w:p>
        </w:tc>
        <w:tc>
          <w:tcPr>
            <w:tcW w:w="2189" w:type="dxa"/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09B7034D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7 (77.8)</w:t>
            </w:r>
          </w:p>
        </w:tc>
      </w:tr>
      <w:tr w:rsidR="00ED381F" w14:paraId="7E16E78A" w14:textId="77777777" w:rsidTr="0040484B">
        <w:trPr>
          <w:trHeight w:val="431"/>
        </w:trPr>
        <w:tc>
          <w:tcPr>
            <w:tcW w:w="416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0821A319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Stable disease</w:t>
            </w:r>
          </w:p>
        </w:tc>
        <w:tc>
          <w:tcPr>
            <w:tcW w:w="21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0D7AAC09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4 (18.2)</w:t>
            </w:r>
          </w:p>
        </w:tc>
        <w:tc>
          <w:tcPr>
            <w:tcW w:w="218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3626805B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(22.2)</w:t>
            </w:r>
          </w:p>
        </w:tc>
      </w:tr>
      <w:tr w:rsidR="00ED381F" w14:paraId="7DCFF632" w14:textId="77777777" w:rsidTr="0040484B">
        <w:trPr>
          <w:trHeight w:val="431"/>
        </w:trPr>
        <w:tc>
          <w:tcPr>
            <w:tcW w:w="4162" w:type="dxa"/>
            <w:tcBorders>
              <w:bottom w:val="nil"/>
              <w:right w:val="nil"/>
            </w:tcBorders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4FBD9A15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 Pathological Downstaging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, n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(%)</w:t>
            </w:r>
          </w:p>
        </w:tc>
        <w:tc>
          <w:tcPr>
            <w:tcW w:w="2188" w:type="dxa"/>
            <w:tcBorders>
              <w:left w:val="nil"/>
              <w:bottom w:val="nil"/>
              <w:right w:val="nil"/>
            </w:tcBorders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37CD08B2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2189" w:type="dxa"/>
            <w:tcBorders>
              <w:left w:val="nil"/>
              <w:bottom w:val="nil"/>
            </w:tcBorders>
            <w:shd w:val="clear" w:color="auto" w:fill="E9EBF5"/>
            <w:tcMar>
              <w:top w:w="19" w:type="dxa"/>
              <w:left w:w="19" w:type="dxa"/>
              <w:right w:w="19" w:type="dxa"/>
            </w:tcMar>
            <w:vAlign w:val="center"/>
          </w:tcPr>
          <w:p w14:paraId="4FD3722D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1E0DA0A1" w14:textId="77777777" w:rsidTr="0040484B">
        <w:trPr>
          <w:trHeight w:val="431"/>
        </w:trPr>
        <w:tc>
          <w:tcPr>
            <w:tcW w:w="4162" w:type="dxa"/>
            <w:tcBorders>
              <w:top w:val="nil"/>
              <w:bottom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2E24D1CE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T stage downstaging</w:t>
            </w:r>
          </w:p>
        </w:tc>
        <w:tc>
          <w:tcPr>
            <w:tcW w:w="2188" w:type="dxa"/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55918634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16 (72.7, 49.8-89.3)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4AD665D6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7 (77.8, 40.0-97.2)</w:t>
            </w:r>
          </w:p>
        </w:tc>
      </w:tr>
      <w:tr w:rsidR="00ED381F" w14:paraId="5E7E856B" w14:textId="77777777" w:rsidTr="0040484B">
        <w:trPr>
          <w:trHeight w:val="431"/>
        </w:trPr>
        <w:tc>
          <w:tcPr>
            <w:tcW w:w="4162" w:type="dxa"/>
            <w:tcBorders>
              <w:top w:val="nil"/>
              <w:bottom w:val="nil"/>
              <w:right w:val="nil"/>
            </w:tcBorders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0BD80AD2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N stage downstaging</w:t>
            </w:r>
          </w:p>
        </w:tc>
        <w:tc>
          <w:tcPr>
            <w:tcW w:w="2188" w:type="dxa"/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7A23D4F4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10 (45.5, 24.4-67.8)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</w:tcBorders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4BAD9D76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6 (66.7, 29.9-92.5)</w:t>
            </w:r>
          </w:p>
        </w:tc>
      </w:tr>
      <w:tr w:rsidR="00ED381F" w14:paraId="7C5F1DF3" w14:textId="77777777" w:rsidTr="0040484B">
        <w:trPr>
          <w:trHeight w:val="431"/>
        </w:trPr>
        <w:tc>
          <w:tcPr>
            <w:tcW w:w="4162" w:type="dxa"/>
            <w:tcBorders>
              <w:top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36D133A3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Overall stage downstaging</w:t>
            </w:r>
          </w:p>
        </w:tc>
        <w:tc>
          <w:tcPr>
            <w:tcW w:w="218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12B6BEEC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17 (77.3, 54.6-92.2)</w:t>
            </w:r>
          </w:p>
        </w:tc>
        <w:tc>
          <w:tcPr>
            <w:tcW w:w="2189" w:type="dxa"/>
            <w:tcBorders>
              <w:top w:val="nil"/>
              <w:left w:val="nil"/>
            </w:tcBorders>
            <w:shd w:val="clear" w:color="auto" w:fill="auto"/>
            <w:tcMar>
              <w:top w:w="19" w:type="dxa"/>
              <w:left w:w="19" w:type="dxa"/>
              <w:right w:w="19" w:type="dxa"/>
            </w:tcMar>
            <w:vAlign w:val="center"/>
          </w:tcPr>
          <w:p w14:paraId="07C71AE3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8 (88.9, 51.8-99.7)</w:t>
            </w:r>
            <w:bookmarkEnd w:id="2"/>
          </w:p>
        </w:tc>
      </w:tr>
      <w:tr w:rsidR="00ED381F" w14:paraId="7A8BBC31" w14:textId="77777777" w:rsidTr="0040484B">
        <w:trPr>
          <w:trHeight w:val="431"/>
        </w:trPr>
        <w:tc>
          <w:tcPr>
            <w:tcW w:w="4162" w:type="dxa"/>
            <w:tcBorders>
              <w:left w:val="nil"/>
              <w:bottom w:val="single" w:sz="8" w:space="0" w:color="4472C4"/>
              <w:right w:val="nil"/>
            </w:tcBorders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680CE8EA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bookmarkStart w:id="8" w:name="_Hlk192149200"/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 </w:t>
            </w:r>
            <w:r>
              <w:rPr>
                <w:rFonts w:ascii="Times New Roman" w:eastAsia="DengXian" w:hAnsi="Times New Roman"/>
                <w:b/>
                <w:bCs/>
                <w:color w:val="000000"/>
                <w:sz w:val="22"/>
                <w:szCs w:val="22"/>
              </w:rPr>
              <w:t xml:space="preserve">Objective response rate, 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24"/>
                <w:sz w:val="22"/>
                <w:szCs w:val="22"/>
              </w:rPr>
              <w:t>% ( 95% CI)</w:t>
            </w:r>
          </w:p>
        </w:tc>
        <w:tc>
          <w:tcPr>
            <w:tcW w:w="2188" w:type="dxa"/>
            <w:tcBorders>
              <w:left w:val="nil"/>
              <w:bottom w:val="single" w:sz="8" w:space="0" w:color="4472C4"/>
              <w:right w:val="nil"/>
            </w:tcBorders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525039BD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81.8 (59.7-94.8)</w:t>
            </w:r>
          </w:p>
        </w:tc>
        <w:tc>
          <w:tcPr>
            <w:tcW w:w="2189" w:type="dxa"/>
            <w:tcBorders>
              <w:left w:val="nil"/>
              <w:bottom w:val="single" w:sz="8" w:space="0" w:color="4472C4"/>
              <w:right w:val="nil"/>
            </w:tcBorders>
            <w:shd w:val="clear" w:color="auto" w:fill="E9ECF5"/>
            <w:tcMar>
              <w:top w:w="19" w:type="dxa"/>
              <w:left w:w="19" w:type="dxa"/>
              <w:right w:w="19" w:type="dxa"/>
            </w:tcMar>
            <w:vAlign w:val="center"/>
          </w:tcPr>
          <w:p w14:paraId="6AC3F49B" w14:textId="77777777" w:rsidR="00ED381F" w:rsidRDefault="00ED381F" w:rsidP="0040484B">
            <w:pPr>
              <w:pStyle w:val="NormalWeb"/>
              <w:widowControl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77.8 (40-97.2)</w:t>
            </w:r>
            <w:bookmarkEnd w:id="3"/>
            <w:bookmarkEnd w:id="4"/>
            <w:bookmarkEnd w:id="8"/>
          </w:p>
        </w:tc>
      </w:tr>
    </w:tbl>
    <w:p w14:paraId="5DBF947E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" w:hAnsi="Times New Roman" w:cs="Times New Roman"/>
          <w:sz w:val="20"/>
          <w:szCs w:val="20"/>
          <w:lang w:bidi="ar"/>
        </w:rPr>
      </w:pPr>
      <w:bookmarkStart w:id="9" w:name="OLE_LINK196"/>
      <w:bookmarkStart w:id="10" w:name="OLE_LINK197"/>
      <w:r>
        <w:rPr>
          <w:rFonts w:ascii="Times New Roman" w:hAnsi="Times New Roman" w:cs="Times New Roman"/>
          <w:sz w:val="20"/>
          <w:szCs w:val="20"/>
          <w:lang w:bidi="ar"/>
        </w:rPr>
        <w:t xml:space="preserve">Abbreviations: </w:t>
      </w:r>
      <w:bookmarkEnd w:id="9"/>
      <w:bookmarkEnd w:id="10"/>
      <w:r>
        <w:rPr>
          <w:rFonts w:ascii="Times New Roman" w:hAnsi="Times New Roman" w:cs="Times New Roman"/>
          <w:sz w:val="20"/>
          <w:szCs w:val="20"/>
          <w:lang w:bidi="ar"/>
        </w:rPr>
        <w:t>CI, Confidence Interval.</w:t>
      </w:r>
      <w:bookmarkEnd w:id="5"/>
      <w:bookmarkEnd w:id="6"/>
      <w:bookmarkEnd w:id="7"/>
    </w:p>
    <w:p w14:paraId="19B086CF" w14:textId="77777777" w:rsidR="00ED381F" w:rsidRDefault="00ED381F" w:rsidP="00ED381F">
      <w:pPr>
        <w:ind w:leftChars="100" w:left="240"/>
        <w:jc w:val="both"/>
        <w:rPr>
          <w:rFonts w:ascii="Times New Roman Bold" w:hAnsi="Times New Roman Bold" w:cs="Times New Roman Bold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Supplementary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 xml:space="preserve">Table 2. </w:t>
      </w:r>
      <w:r>
        <w:rPr>
          <w:rFonts w:ascii="Times New Roman Bold" w:hAnsi="Times New Roman Bold" w:cs="Times New Roman Bold" w:hint="eastAsia"/>
          <w:b/>
          <w:bCs/>
          <w:sz w:val="22"/>
          <w:szCs w:val="22"/>
        </w:rPr>
        <w:t>Association Between Clinical Characteristics and MPR in Arm-AR</w:t>
      </w:r>
    </w:p>
    <w:tbl>
      <w:tblPr>
        <w:tblW w:w="8241" w:type="dxa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0"/>
        <w:gridCol w:w="2022"/>
        <w:gridCol w:w="2023"/>
        <w:gridCol w:w="666"/>
      </w:tblGrid>
      <w:tr w:rsidR="00ED381F" w14:paraId="03887C60" w14:textId="77777777" w:rsidTr="0040484B">
        <w:trPr>
          <w:trHeight w:val="371"/>
        </w:trPr>
        <w:tc>
          <w:tcPr>
            <w:tcW w:w="3530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24306F4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FFFFFF"/>
                <w:kern w:val="2"/>
                <w:sz w:val="22"/>
                <w:szCs w:val="22"/>
              </w:rPr>
              <w:t xml:space="preserve">  Characteristics</w:t>
            </w:r>
          </w:p>
        </w:tc>
        <w:tc>
          <w:tcPr>
            <w:tcW w:w="202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712A5DA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bCs/>
                <w:color w:val="FFFFFF"/>
                <w:kern w:val="24"/>
                <w:sz w:val="22"/>
                <w:szCs w:val="22"/>
              </w:rPr>
              <w:t xml:space="preserve">MPR 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 xml:space="preserve">(n = </w:t>
            </w:r>
            <w:r>
              <w:rPr>
                <w:rFonts w:ascii="Times New Roman" w:hAnsi="Times New Roman" w:hint="eastAsia"/>
                <w:b/>
                <w:bCs/>
                <w:color w:val="FFFFFF"/>
                <w:kern w:val="24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>)</w:t>
            </w:r>
          </w:p>
        </w:tc>
        <w:tc>
          <w:tcPr>
            <w:tcW w:w="2023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0157752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" w:hAnsi="Times New Roman" w:hint="eastAsia"/>
                <w:b/>
                <w:bCs/>
                <w:color w:val="FFFFFF"/>
                <w:kern w:val="24"/>
                <w:sz w:val="22"/>
                <w:szCs w:val="22"/>
              </w:rPr>
              <w:t xml:space="preserve">non-MPR 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>(n = 1</w:t>
            </w:r>
            <w:r>
              <w:rPr>
                <w:rFonts w:ascii="Times New Roman" w:hAnsi="Times New Roman" w:hint="eastAsia"/>
                <w:b/>
                <w:bCs/>
                <w:color w:val="FFFFFF"/>
                <w:kern w:val="24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>)</w:t>
            </w:r>
          </w:p>
        </w:tc>
        <w:tc>
          <w:tcPr>
            <w:tcW w:w="666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13356C4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b/>
                <w:bCs/>
                <w:color w:val="FFFFFF"/>
                <w:kern w:val="2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 w:hint="eastAsia"/>
                <w:b/>
                <w:bCs/>
                <w:color w:val="FFFFFF"/>
                <w:kern w:val="2"/>
                <w:sz w:val="22"/>
                <w:szCs w:val="22"/>
              </w:rPr>
              <w:t>p</w:t>
            </w:r>
          </w:p>
        </w:tc>
      </w:tr>
      <w:tr w:rsidR="00ED381F" w14:paraId="1C142CF7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61828E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Age (median [IQR])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7E62D0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63.14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[62.50, 67.50]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45B28F9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64.53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[62.00, 68.50]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83FA119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0.634</w:t>
            </w:r>
          </w:p>
        </w:tc>
      </w:tr>
      <w:tr w:rsidR="00ED381F" w14:paraId="689B59E7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D0DB8A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Sex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272A07D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2839482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CE50270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11EA9C4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AD4DD3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33863B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7 (100.0)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5558B23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14 (93.3)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DC7B80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>1.000</w:t>
            </w:r>
          </w:p>
        </w:tc>
      </w:tr>
      <w:tr w:rsidR="00ED381F" w14:paraId="409C81D4" w14:textId="77777777" w:rsidTr="0040484B">
        <w:trPr>
          <w:trHeight w:val="306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0797C0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Female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F97C92B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D0D7279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7ED95E7" w14:textId="77777777" w:rsidR="00ED381F" w:rsidRDefault="00ED381F" w:rsidP="0040484B">
            <w:pPr>
              <w:pStyle w:val="NormalWeb"/>
              <w:widowControl/>
              <w:spacing w:beforeAutospacing="0" w:afterAutospacing="0"/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3A23DF50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F2D83B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ECOG performance status, n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02324A7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F41E957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EA1A42C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5013F76F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D3AC3C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2764AB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 (85.7)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F1E288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11 (73.3)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304894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1.000</w:t>
            </w:r>
          </w:p>
        </w:tc>
      </w:tr>
      <w:tr w:rsidR="00ED381F" w14:paraId="7C204238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9083A7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BB7923D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(14.3)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C72120B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4 (26.7)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F2AE858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4ED6638C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C995EC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Smoking, n 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2D5924C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65A2248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AE21897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38F2DA2A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1B5D41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Former/Current smoker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7965538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 (85.7)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D4FF72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12 (80.0)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FCA24C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1.000</w:t>
            </w:r>
          </w:p>
        </w:tc>
      </w:tr>
      <w:tr w:rsidR="00ED381F" w14:paraId="5D933F90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7A8435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Non-smoker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6D2B4DE5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(14.3)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158315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(20.0)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F6AC1A3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6DD16A4F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4FA5DB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Clinical stage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3EB011D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9968D47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FB6AB2C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13D1A670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5E842C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IIA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A576DBF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719DF8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6A0044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0.589</w:t>
            </w:r>
          </w:p>
        </w:tc>
      </w:tr>
      <w:tr w:rsidR="00ED381F" w14:paraId="4DCC1901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CEACD7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lastRenderedPageBreak/>
              <w:t xml:space="preserve">      IIB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6D8F93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4 (57.1)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CDE7D3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E758716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2E0079F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9E8162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IIIA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7A79BE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(42.9)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413F749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9 (60.0)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D025841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276CF140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3532BE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Clinical nodal status, n (%)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8C91C56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650BEAC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2AFA581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5DDF82D8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96FDE4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3ADF7F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(42.9)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40FB4B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9940063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0.724</w:t>
            </w:r>
          </w:p>
        </w:tc>
      </w:tr>
      <w:tr w:rsidR="00ED381F" w14:paraId="26E42EDA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2AB911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AEA7D37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(42.9)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0D2A0F7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B75F27A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027C036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AE636D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N2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CD2A13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(14.3)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77E6211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684DF6D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3B15C1E2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A9A959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Histological type, n (%)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769137A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51D0F75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6E6B0B3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21CA526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CBBC26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Squamous cell carcinoma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A1EF32A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 (85.7)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063801A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9 (60.0)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4364A3A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0.350</w:t>
            </w:r>
          </w:p>
        </w:tc>
      </w:tr>
      <w:tr w:rsidR="00ED381F" w14:paraId="5FB35FD4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9C7661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Non-squamous cell carcinoma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1A4A78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(14.3)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4BB7C5F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 (40.0)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79F274B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3EEEE10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F70445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PD-L1 expression</w:t>
            </w:r>
            <w:r>
              <w:rPr>
                <w:rFonts w:ascii="Times New Roman Regular" w:eastAsia="DengXian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>, n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0F9E4BE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DC916AD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677D9E5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0AFB130A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D3AFA1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&lt;1%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A9A3C6D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A0CC7E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4 (26.7)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75D225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0.350</w:t>
            </w:r>
          </w:p>
        </w:tc>
      </w:tr>
      <w:tr w:rsidR="00ED381F" w14:paraId="2C77A280" w14:textId="77777777" w:rsidTr="0040484B">
        <w:trPr>
          <w:trHeight w:val="90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D16194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1% - 49%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3D4D74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(28.6)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7532C11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(13.3)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CCE2BEB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272BEB1F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4A1D0F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≥50%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EDA1348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(42.9)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F22878D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(20.0)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AB6F043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6A5932DC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AE7C14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Unknown</w:t>
            </w:r>
          </w:p>
        </w:tc>
        <w:tc>
          <w:tcPr>
            <w:tcW w:w="2022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7EDAEE9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(28.6)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45BE16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 (40.0)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3E2440C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</w:tbl>
    <w:p w14:paraId="7B010C18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" w:hAnsi="Times New Roman" w:cs="Times New Roman"/>
          <w:sz w:val="20"/>
          <w:szCs w:val="20"/>
          <w:lang w:bidi="ar"/>
        </w:rPr>
      </w:pPr>
      <w:bookmarkStart w:id="11" w:name="OLE_LINK203"/>
      <w:bookmarkStart w:id="12" w:name="OLE_LINK204"/>
      <w:bookmarkStart w:id="13" w:name="OLE_LINK199"/>
      <w:bookmarkStart w:id="14" w:name="OLE_LINK200"/>
      <w:bookmarkStart w:id="15" w:name="OLE_LINK198"/>
      <w:r>
        <w:rPr>
          <w:rFonts w:ascii="Times New Roman" w:hAnsi="Times New Roman" w:cs="Times New Roman"/>
          <w:sz w:val="20"/>
          <w:szCs w:val="20"/>
          <w:lang w:bidi="ar"/>
        </w:rPr>
        <w:t>Ab</w:t>
      </w:r>
      <w:bookmarkStart w:id="16" w:name="OLE_LINK201"/>
      <w:bookmarkStart w:id="17" w:name="OLE_LINK202"/>
      <w:r>
        <w:rPr>
          <w:rFonts w:ascii="Times New Roman" w:hAnsi="Times New Roman" w:cs="Times New Roman"/>
          <w:sz w:val="20"/>
          <w:szCs w:val="20"/>
          <w:lang w:bidi="ar"/>
        </w:rPr>
        <w:t>breviations</w:t>
      </w:r>
      <w:bookmarkEnd w:id="11"/>
      <w:bookmarkEnd w:id="12"/>
      <w:r>
        <w:rPr>
          <w:rFonts w:ascii="Times New Roman" w:hAnsi="Times New Roman" w:cs="Times New Roman"/>
          <w:sz w:val="20"/>
          <w:szCs w:val="20"/>
          <w:lang w:bidi="ar"/>
        </w:rPr>
        <w:t>: IQR, Interquartile Range; ECOG, Eastern Cooperative Oncology Group; PD-L1, programmed death ligand 1.</w:t>
      </w:r>
    </w:p>
    <w:bookmarkEnd w:id="13"/>
    <w:bookmarkEnd w:id="14"/>
    <w:bookmarkEnd w:id="15"/>
    <w:p w14:paraId="7239DD51" w14:textId="77777777" w:rsidR="00ED381F" w:rsidRDefault="00ED381F" w:rsidP="00ED381F">
      <w:pPr>
        <w:ind w:leftChars="100" w:left="240"/>
        <w:jc w:val="both"/>
        <w:rPr>
          <w:rFonts w:ascii="DengXian" w:eastAsia="宋体-简" w:hAnsi="DengXian" w:cs="Times New Roman"/>
          <w:szCs w:val="22"/>
          <w:vertAlign w:val="superscript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Supplemen</w:t>
      </w:r>
      <w:bookmarkEnd w:id="16"/>
      <w:bookmarkEnd w:id="17"/>
      <w:r>
        <w:rPr>
          <w:rFonts w:ascii="Times New Roman" w:hAnsi="Times New Roman" w:cs="Times New Roman"/>
          <w:b/>
          <w:bCs/>
          <w:sz w:val="22"/>
          <w:szCs w:val="22"/>
        </w:rPr>
        <w:t xml:space="preserve">tary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 xml:space="preserve">Table 3. </w:t>
      </w:r>
      <w:r>
        <w:rPr>
          <w:rFonts w:ascii="Times New Roman Bold" w:hAnsi="Times New Roman Bold" w:cs="Times New Roman Bold" w:hint="eastAsia"/>
          <w:b/>
          <w:bCs/>
          <w:sz w:val="22"/>
          <w:szCs w:val="22"/>
        </w:rPr>
        <w:t>Association Between Clinical Characteristics and MPR in Arm-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B</w:t>
      </w:r>
      <w:r>
        <w:rPr>
          <w:rFonts w:ascii="Times New Roman Bold" w:hAnsi="Times New Roman Bold" w:cs="Times New Roman Bold" w:hint="eastAsia"/>
          <w:b/>
          <w:bCs/>
          <w:sz w:val="22"/>
          <w:szCs w:val="22"/>
        </w:rPr>
        <w:t>R</w:t>
      </w:r>
    </w:p>
    <w:tbl>
      <w:tblPr>
        <w:tblW w:w="8241" w:type="dxa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0"/>
        <w:gridCol w:w="2022"/>
        <w:gridCol w:w="2023"/>
        <w:gridCol w:w="666"/>
      </w:tblGrid>
      <w:tr w:rsidR="00ED381F" w14:paraId="7EC6BFE7" w14:textId="77777777" w:rsidTr="0040484B">
        <w:trPr>
          <w:trHeight w:val="371"/>
        </w:trPr>
        <w:tc>
          <w:tcPr>
            <w:tcW w:w="3530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30EC5C2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FFFFFF"/>
                <w:kern w:val="2"/>
                <w:sz w:val="22"/>
                <w:szCs w:val="22"/>
              </w:rPr>
              <w:t xml:space="preserve">  Characteristics</w:t>
            </w:r>
          </w:p>
        </w:tc>
        <w:tc>
          <w:tcPr>
            <w:tcW w:w="2022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7697CAA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FFFFFF"/>
                <w:kern w:val="24"/>
                <w:sz w:val="22"/>
                <w:szCs w:val="22"/>
              </w:rPr>
              <w:t>MPR (n = 6)</w:t>
            </w:r>
          </w:p>
        </w:tc>
        <w:tc>
          <w:tcPr>
            <w:tcW w:w="2023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3847943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FFFFFF"/>
                <w:kern w:val="24"/>
                <w:sz w:val="22"/>
                <w:szCs w:val="22"/>
              </w:rPr>
              <w:t>non-MPR (n = 3)</w:t>
            </w:r>
          </w:p>
        </w:tc>
        <w:tc>
          <w:tcPr>
            <w:tcW w:w="666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2D0DA02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rFonts w:ascii="Times New Roman Regular" w:hAnsi="Times New Roman Regular" w:cs="Times New Roman Regular"/>
                <w:b/>
                <w:bCs/>
                <w:color w:val="FFFFFF"/>
                <w:kern w:val="2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FFFFFF"/>
                <w:kern w:val="2"/>
                <w:sz w:val="22"/>
                <w:szCs w:val="22"/>
              </w:rPr>
              <w:t>p</w:t>
            </w:r>
          </w:p>
        </w:tc>
      </w:tr>
      <w:tr w:rsidR="00ED381F" w14:paraId="2FA8F516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9BCEDC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Age (median [IQR])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FFB356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67.00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[66.00, 69.50]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33B794A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67.33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[64.00, 71.50]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BA90EC8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0.929</w:t>
            </w:r>
          </w:p>
        </w:tc>
      </w:tr>
      <w:tr w:rsidR="00ED381F" w14:paraId="3E2CC8C1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FCF0C1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Sex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50F5938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8DEA038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FB56D3F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16C549E2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71E56C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1F4C34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(83.3)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5F4353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(100.0)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4AB32B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>.000</w:t>
            </w:r>
          </w:p>
        </w:tc>
      </w:tr>
      <w:tr w:rsidR="00ED381F" w14:paraId="057115EB" w14:textId="77777777" w:rsidTr="0040484B">
        <w:trPr>
          <w:trHeight w:val="306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9B02DC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Female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66DA1558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771C52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2A66B59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5E06D664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E62910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ECOG performance status, n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6622C96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F5519B4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EC81CD3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769DACB5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75BB16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3B114D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(33.3)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B79F2F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(66.7)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06BE78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0.524</w:t>
            </w:r>
          </w:p>
        </w:tc>
      </w:tr>
      <w:tr w:rsidR="00ED381F" w14:paraId="21AEDEA8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9F7A26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C1E0CA1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4 (66.7)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7D753B5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AB30AB6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3D1989FD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CA0942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Smoking, n 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760235C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E396B0B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BCC710C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01B690AE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7CF845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Former/Current smoker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F14670E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(83.3)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CC2441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(100.0)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3BA6B63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>.000</w:t>
            </w:r>
          </w:p>
        </w:tc>
      </w:tr>
      <w:tr w:rsidR="00ED381F" w14:paraId="32AEF6D0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3D9234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Non-smoker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C2B19E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C8CE1B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3BB4767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3E31864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D3F4C7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Clinical stage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0659FAB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5AB1133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EBFC692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2ABBCA88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0CF88D2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IIB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364C290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22CF925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(66.7)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102D08EB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0.226</w:t>
            </w:r>
          </w:p>
        </w:tc>
      </w:tr>
      <w:tr w:rsidR="00ED381F" w14:paraId="61F44D92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1558ED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IIIA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A56646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5 (83.3)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F561B5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(33.3)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5636A5D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4378AD96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7450C76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Clinical nodal status, n (%)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59FFCEA8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45A7DB12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538C2BC9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7AE5E68B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7A83F1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N0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C8928E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(33.3)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4F2EDB4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695C651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0.143</w:t>
            </w:r>
          </w:p>
        </w:tc>
      </w:tr>
      <w:tr w:rsidR="00ED381F" w14:paraId="5B568C0E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60CA498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lastRenderedPageBreak/>
              <w:t xml:space="preserve">      N1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4B736A3A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1 (16.7)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25BF1707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(100.0)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2EE326DC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425C5423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247CF8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N2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7F12ABC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(50.0)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A014D15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EF6EFDA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761EE417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6B14A9A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Histological type, n (%)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12BDCEA1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16ACB14F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7A1AEDBA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4EFAB1B4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A21395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Squamous cell carcinoma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7A2C476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4 (66.7)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A579945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(100.0)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D9F9A98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0.5</w:t>
            </w:r>
            <w:r>
              <w:rPr>
                <w:rFonts w:ascii="Times New Roman Regular" w:hAnsi="Times New Roman Regular" w:cs="Times New Roman Regular" w:hint="eastAsia"/>
                <w:color w:val="000000"/>
                <w:sz w:val="22"/>
                <w:szCs w:val="22"/>
                <w:lang w:bidi="ar"/>
              </w:rPr>
              <w:t>00</w:t>
            </w:r>
          </w:p>
        </w:tc>
      </w:tr>
      <w:tr w:rsidR="00ED381F" w14:paraId="715A1EE8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0280233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Non-squamous cell carcinoma 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08D443F0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2 (33.3)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523EF5D3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CF5"/>
            <w:tcMar>
              <w:top w:w="16" w:type="dxa"/>
              <w:left w:w="16" w:type="dxa"/>
              <w:right w:w="16" w:type="dxa"/>
            </w:tcMar>
            <w:vAlign w:val="center"/>
          </w:tcPr>
          <w:p w14:paraId="546993DB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  <w:tr w:rsidR="00ED381F" w14:paraId="1897DB04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6" w:type="dxa"/>
              <w:left w:w="16" w:type="dxa"/>
              <w:right w:w="16" w:type="dxa"/>
            </w:tcMar>
            <w:vAlign w:val="center"/>
          </w:tcPr>
          <w:p w14:paraId="2960AF2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 PD-L1 expression</w:t>
            </w:r>
            <w:r>
              <w:rPr>
                <w:rFonts w:ascii="Times New Roman Regular" w:eastAsia="DengXian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>, n</w:t>
            </w:r>
            <w:r>
              <w:rPr>
                <w:rFonts w:ascii="Times New Roman Regular" w:hAnsi="Times New Roman Regular" w:cs="Times New Roman Regular"/>
                <w:b/>
                <w:bCs/>
                <w:color w:val="000000"/>
                <w:kern w:val="24"/>
                <w:sz w:val="22"/>
                <w:szCs w:val="22"/>
              </w:rPr>
              <w:t xml:space="preserve"> (%)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6" w:type="dxa"/>
              <w:left w:w="16" w:type="dxa"/>
              <w:right w:w="16" w:type="dxa"/>
            </w:tcMar>
            <w:vAlign w:val="center"/>
          </w:tcPr>
          <w:p w14:paraId="7D2B60C6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6" w:type="dxa"/>
              <w:left w:w="16" w:type="dxa"/>
              <w:right w:w="16" w:type="dxa"/>
            </w:tcMar>
            <w:vAlign w:val="center"/>
          </w:tcPr>
          <w:p w14:paraId="042C7954" w14:textId="77777777" w:rsidR="00ED381F" w:rsidRDefault="00ED381F" w:rsidP="0040484B">
            <w:pPr>
              <w:jc w:val="both"/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16" w:type="dxa"/>
              <w:left w:w="16" w:type="dxa"/>
              <w:right w:w="16" w:type="dxa"/>
            </w:tcMar>
            <w:vAlign w:val="center"/>
          </w:tcPr>
          <w:p w14:paraId="3937467C" w14:textId="77777777" w:rsidR="00ED381F" w:rsidRDefault="00ED381F" w:rsidP="0040484B">
            <w:pPr>
              <w:rPr>
                <w:rFonts w:ascii="Times New Roman Regular" w:hAnsi="Times New Roman Regular" w:cs="Times New Roman Regular"/>
                <w:sz w:val="22"/>
                <w:szCs w:val="22"/>
              </w:rPr>
            </w:pPr>
          </w:p>
        </w:tc>
      </w:tr>
      <w:tr w:rsidR="00ED381F" w14:paraId="5B779E7F" w14:textId="77777777" w:rsidTr="0040484B">
        <w:trPr>
          <w:trHeight w:val="90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4B9E55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1% - 49%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AA13AD7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(50.0)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65B0EF7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(100.0)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E59F0CB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0.464</w:t>
            </w:r>
          </w:p>
        </w:tc>
      </w:tr>
      <w:tr w:rsidR="00ED381F" w14:paraId="37FD8329" w14:textId="77777777" w:rsidTr="0040484B">
        <w:trPr>
          <w:trHeight w:val="371"/>
        </w:trPr>
        <w:tc>
          <w:tcPr>
            <w:tcW w:w="3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70846A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  <w:t xml:space="preserve">      ≥50%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38A55D2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3 (50.0)</w:t>
            </w: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D0B3021" w14:textId="77777777" w:rsidR="00ED381F" w:rsidRDefault="00ED381F" w:rsidP="0040484B">
            <w:pPr>
              <w:textAlignment w:val="center"/>
              <w:rPr>
                <w:rFonts w:ascii="Times New Roman Regular" w:hAnsi="Times New Roman Regular" w:cs="Times New Roman Regular"/>
                <w:sz w:val="22"/>
                <w:szCs w:val="22"/>
              </w:rPr>
            </w:pPr>
            <w:r>
              <w:rPr>
                <w:rFonts w:ascii="Times New Roman Regular" w:hAnsi="Times New Roman Regular" w:cs="Times New Roman Regular"/>
                <w:color w:val="000000"/>
                <w:sz w:val="22"/>
                <w:szCs w:val="22"/>
                <w:lang w:bidi="ar"/>
              </w:rPr>
              <w:t>0 (0.0)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1424FD6" w14:textId="77777777" w:rsidR="00ED381F" w:rsidRDefault="00ED381F" w:rsidP="0040484B">
            <w:pPr>
              <w:rPr>
                <w:rFonts w:ascii="Times New Roman Regular" w:hAnsi="Times New Roman Regular" w:cs="Times New Roman Regular"/>
                <w:color w:val="000000"/>
                <w:kern w:val="24"/>
                <w:sz w:val="22"/>
                <w:szCs w:val="22"/>
              </w:rPr>
            </w:pPr>
          </w:p>
        </w:tc>
      </w:tr>
    </w:tbl>
    <w:p w14:paraId="139D7B23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 Bold" w:hAnsi="Times New Roman Bold" w:cs="Times New Roman Bold"/>
          <w:sz w:val="20"/>
          <w:szCs w:val="20"/>
        </w:rPr>
      </w:pPr>
      <w:r>
        <w:rPr>
          <w:rFonts w:ascii="Times New Roman Bold" w:hAnsi="Times New Roman Bold" w:cs="Times New Roman Bold"/>
          <w:sz w:val="20"/>
          <w:szCs w:val="20"/>
        </w:rPr>
        <w:t>Abbreviations: IQR, Interquartile Range; ECOG, Eastern Cooperative Oncology Group; PD-L1, programmed death ligand 1.</w:t>
      </w:r>
    </w:p>
    <w:p w14:paraId="1B89ACE2" w14:textId="77777777" w:rsidR="004E780C" w:rsidRDefault="004E780C"/>
    <w:p w14:paraId="24118E06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 Bold" w:hAnsi="Times New Roman Bold" w:cs="Times New Roman Bold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Supplementary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Table 4. Immune-related adverse events (irAEs)</w:t>
      </w:r>
      <w:bookmarkStart w:id="18" w:name="OLE_LINK122"/>
      <w:bookmarkStart w:id="19" w:name="OLE_LINK121"/>
      <w:r>
        <w:rPr>
          <w:rFonts w:ascii="Times New Roman Bold" w:hAnsi="Times New Roman Bold" w:cs="Times New Roman Bold"/>
          <w:b/>
          <w:bCs/>
          <w:sz w:val="22"/>
          <w:szCs w:val="22"/>
        </w:rPr>
        <w:t xml:space="preserve"> in patients treated with neoadjuvant camrelizumab-based regimens​</w:t>
      </w:r>
      <w:bookmarkEnd w:id="18"/>
      <w:bookmarkEnd w:id="19"/>
    </w:p>
    <w:tbl>
      <w:tblPr>
        <w:tblW w:w="5312" w:type="pct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1316"/>
        <w:gridCol w:w="1319"/>
        <w:gridCol w:w="1317"/>
        <w:gridCol w:w="1315"/>
      </w:tblGrid>
      <w:tr w:rsidR="00ED381F" w14:paraId="2F6A6F9E" w14:textId="77777777" w:rsidTr="0040484B">
        <w:trPr>
          <w:trHeight w:val="488"/>
        </w:trPr>
        <w:tc>
          <w:tcPr>
            <w:tcW w:w="2352" w:type="pct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9" w:type="dxa"/>
              <w:left w:w="9" w:type="dxa"/>
              <w:right w:w="9" w:type="dxa"/>
            </w:tcMar>
            <w:vAlign w:val="center"/>
          </w:tcPr>
          <w:p w14:paraId="5082438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DengXian" w:hAnsi="Times New Roman"/>
                <w:b/>
                <w:bCs/>
                <w:color w:val="FFFFFF"/>
                <w:kern w:val="24"/>
                <w:sz w:val="22"/>
                <w:szCs w:val="22"/>
              </w:rPr>
              <w:t xml:space="preserve">    Events, n (%) </w:t>
            </w:r>
            <w:r>
              <w:rPr>
                <w:rFonts w:ascii="Times New Roman" w:eastAsia="DengXian" w:hAnsi="Times New Roman"/>
                <w:b/>
                <w:bCs/>
                <w:color w:val="FFFFFF"/>
                <w:kern w:val="24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325" w:type="pct"/>
            <w:gridSpan w:val="2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0" w:type="dxa"/>
              <w:left w:w="10" w:type="dxa"/>
              <w:right w:w="10" w:type="dxa"/>
            </w:tcMar>
            <w:vAlign w:val="center"/>
          </w:tcPr>
          <w:p w14:paraId="3064CF6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Arm</w:t>
            </w:r>
            <w:r>
              <w:rPr>
                <w:rFonts w:ascii="Times New Roman" w:hAnsi="Times New Roman" w:hint="eastAsia"/>
                <w:b/>
                <w:bCs/>
                <w:color w:val="FFFFFF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A</w:t>
            </w:r>
            <w:r>
              <w:rPr>
                <w:rFonts w:ascii="Times New Roman" w:hAnsi="Times New Roman" w:hint="eastAsia"/>
                <w:b/>
                <w:bCs/>
                <w:color w:val="FFFFFF"/>
                <w:sz w:val="22"/>
                <w:szCs w:val="22"/>
              </w:rPr>
              <w:t>R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>(n = 28)</w:t>
            </w:r>
          </w:p>
        </w:tc>
        <w:tc>
          <w:tcPr>
            <w:tcW w:w="1324" w:type="pct"/>
            <w:gridSpan w:val="2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0" w:type="dxa"/>
              <w:left w:w="10" w:type="dxa"/>
              <w:right w:w="10" w:type="dxa"/>
            </w:tcMar>
            <w:vAlign w:val="center"/>
          </w:tcPr>
          <w:p w14:paraId="26769CC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Arm</w:t>
            </w:r>
            <w:r>
              <w:rPr>
                <w:rFonts w:ascii="Times New Roman" w:hAnsi="Times New Roman" w:hint="eastAsia"/>
                <w:b/>
                <w:bCs/>
                <w:color w:val="FFFFFF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B</w:t>
            </w:r>
            <w:r>
              <w:rPr>
                <w:rFonts w:ascii="Times New Roman" w:hAnsi="Times New Roman" w:hint="eastAsia"/>
                <w:b/>
                <w:bCs/>
                <w:color w:val="FFFFFF"/>
                <w:sz w:val="22"/>
                <w:szCs w:val="22"/>
              </w:rPr>
              <w:t>R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FFFFFF"/>
                <w:kern w:val="24"/>
                <w:sz w:val="22"/>
                <w:szCs w:val="22"/>
              </w:rPr>
              <w:t>(n = 10)</w:t>
            </w:r>
          </w:p>
        </w:tc>
      </w:tr>
      <w:tr w:rsidR="00ED381F" w14:paraId="7746D778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148BFA4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EECB5B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All grade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A05189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Grade ≥3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08CEEF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All grade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09B81D4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Grade ≥3</w:t>
            </w:r>
          </w:p>
        </w:tc>
      </w:tr>
      <w:tr w:rsidR="00ED381F" w14:paraId="22C0AD56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73C511C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Any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6A47CA7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8 (28.6)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5F2E587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(7.1)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1003EFE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(20.0)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02160B6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74D48D55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4C68F3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Reactive capillary endothelial hyperplasia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070183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3 (10.7)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75D4EB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1A1BBC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4AE112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6F7E4715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193EEE5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Gamma glutamyl transferase increased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1E4B42A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3 (10.7)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4847A9A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00432D2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2C2701D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57E1E85A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A79DEC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Alanine aminotransferase increased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0642C5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E06F53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BF9AAAD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5415802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7FE7B29B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109BA78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White blood cell count decreased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3E76AFE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6A47CE5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5FC2F49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552ECFD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1BDF9DCC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6BBE62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</w:t>
            </w:r>
            <w:bookmarkStart w:id="20" w:name="OLE_LINK4"/>
            <w:bookmarkStart w:id="21" w:name="OLE_LINK3"/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Erythra</w:t>
            </w:r>
            <w:bookmarkEnd w:id="20"/>
            <w:bookmarkEnd w:id="21"/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179847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DDCA84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530386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5EFCED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378005BF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6CB566B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Autoimmune myocarditis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0632388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4FAF2F7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0EBBD5D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5706B5F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7ADE2314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56946A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Neutrophil count decreased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72C76AF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75ECBA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(3.6)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AB7F51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E41BC3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37FB70FD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36F4B0B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Blood bilirubin increased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642B955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770E4F4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7B03401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(10.0)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9" w:type="dxa"/>
              <w:left w:w="9" w:type="dxa"/>
              <w:right w:w="9" w:type="dxa"/>
            </w:tcMar>
            <w:vAlign w:val="center"/>
          </w:tcPr>
          <w:p w14:paraId="46BF67B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2453045B" w14:textId="77777777" w:rsidTr="0040484B">
        <w:trPr>
          <w:trHeight w:val="488"/>
        </w:trPr>
        <w:tc>
          <w:tcPr>
            <w:tcW w:w="2352" w:type="pct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442A5DA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Hyperthyroidism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2857649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3BBA28E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6FBF128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(10.0)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9" w:type="dxa"/>
              <w:left w:w="9" w:type="dxa"/>
              <w:right w:w="9" w:type="dxa"/>
            </w:tcMar>
            <w:vAlign w:val="center"/>
          </w:tcPr>
          <w:p w14:paraId="1036E09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</w:tbl>
    <w:p w14:paraId="1FDAE86F" w14:textId="77777777" w:rsidR="00ED381F" w:rsidRDefault="00ED381F" w:rsidP="00ED381F">
      <w:pPr>
        <w:pStyle w:val="NormalWeb"/>
        <w:widowControl/>
        <w:spacing w:beforeAutospacing="0" w:afterAutospacing="0"/>
        <w:ind w:leftChars="100" w:left="240"/>
        <w:jc w:val="both"/>
        <w:rPr>
          <w:rFonts w:ascii="Times New Roman Bold" w:hAnsi="Times New Roman Bold" w:cs="Times New Roman Bold"/>
          <w:b/>
          <w:bCs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lang w:bidi="ar"/>
        </w:rPr>
        <w:t>*The data presented all occurring irAEs (immune-related adverse events).</w:t>
      </w:r>
    </w:p>
    <w:p w14:paraId="56C02328" w14:textId="77777777" w:rsidR="00ED381F" w:rsidRDefault="00ED381F"/>
    <w:p w14:paraId="5852A2BC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 Bold" w:hAnsi="Times New Roman Bold" w:cs="Times New Roman Bold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Supplementary </w:t>
      </w:r>
      <w:r>
        <w:rPr>
          <w:rFonts w:ascii="Times New Roman Bold" w:hAnsi="Times New Roman Bold" w:cs="Times New Roman Bold"/>
          <w:b/>
          <w:bCs/>
          <w:sz w:val="22"/>
          <w:szCs w:val="22"/>
        </w:rPr>
        <w:t>Table 5. Surgical outcomes in patients treated with neoadjuvant camrelizumab-based regimens</w:t>
      </w:r>
    </w:p>
    <w:tbl>
      <w:tblPr>
        <w:tblW w:w="8994" w:type="dxa"/>
        <w:tblInd w:w="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4"/>
        <w:gridCol w:w="1955"/>
        <w:gridCol w:w="1955"/>
      </w:tblGrid>
      <w:tr w:rsidR="00ED381F" w14:paraId="64918F44" w14:textId="77777777" w:rsidTr="0040484B">
        <w:trPr>
          <w:trHeight w:val="374"/>
        </w:trPr>
        <w:tc>
          <w:tcPr>
            <w:tcW w:w="5084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7539D86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kern w:val="2"/>
                <w:sz w:val="22"/>
                <w:szCs w:val="22"/>
              </w:rPr>
              <w:lastRenderedPageBreak/>
              <w:t xml:space="preserve">  Characteristics</w:t>
            </w:r>
          </w:p>
        </w:tc>
        <w:tc>
          <w:tcPr>
            <w:tcW w:w="1955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47305DB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kern w:val="2"/>
                <w:sz w:val="22"/>
                <w:szCs w:val="22"/>
              </w:rPr>
              <w:t>Arm</w:t>
            </w:r>
            <w:r>
              <w:rPr>
                <w:rFonts w:ascii="Times New Roman" w:hAnsi="Times New Roman" w:hint="eastAsia"/>
                <w:b/>
                <w:bCs/>
                <w:color w:val="FFFFFF"/>
                <w:kern w:val="2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b/>
                <w:bCs/>
                <w:color w:val="FFFFFF"/>
                <w:kern w:val="2"/>
                <w:sz w:val="22"/>
                <w:szCs w:val="22"/>
              </w:rPr>
              <w:t xml:space="preserve">AR 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(n = 22)</w:t>
            </w:r>
          </w:p>
        </w:tc>
        <w:tc>
          <w:tcPr>
            <w:tcW w:w="1955" w:type="dxa"/>
            <w:tcBorders>
              <w:top w:val="single" w:sz="8" w:space="0" w:color="4472C4"/>
              <w:left w:val="nil"/>
              <w:bottom w:val="nil"/>
              <w:right w:val="nil"/>
            </w:tcBorders>
            <w:shd w:val="clear" w:color="auto" w:fill="4472C4"/>
            <w:tcMar>
              <w:top w:w="16" w:type="dxa"/>
              <w:left w:w="16" w:type="dxa"/>
              <w:right w:w="16" w:type="dxa"/>
            </w:tcMar>
            <w:vAlign w:val="center"/>
          </w:tcPr>
          <w:p w14:paraId="2587C4B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FFFFFF"/>
                <w:kern w:val="2"/>
                <w:sz w:val="22"/>
                <w:szCs w:val="22"/>
              </w:rPr>
              <w:t>Arm</w:t>
            </w:r>
            <w:r>
              <w:rPr>
                <w:rFonts w:ascii="Times New Roman" w:hAnsi="Times New Roman" w:hint="eastAsia"/>
                <w:b/>
                <w:bCs/>
                <w:color w:val="FFFFFF"/>
                <w:kern w:val="2"/>
                <w:sz w:val="22"/>
                <w:szCs w:val="22"/>
              </w:rPr>
              <w:t>-</w:t>
            </w:r>
            <w:r>
              <w:rPr>
                <w:rFonts w:ascii="Times New Roman" w:hAnsi="Times New Roman"/>
                <w:b/>
                <w:bCs/>
                <w:color w:val="FFFFFF"/>
                <w:kern w:val="2"/>
                <w:sz w:val="22"/>
                <w:szCs w:val="22"/>
              </w:rPr>
              <w:t xml:space="preserve">BR </w:t>
            </w:r>
            <w:r>
              <w:rPr>
                <w:rFonts w:ascii="Times New Roman" w:hAnsi="Times New Roman"/>
                <w:b/>
                <w:bCs/>
                <w:color w:val="FFFFFF"/>
                <w:sz w:val="22"/>
                <w:szCs w:val="22"/>
              </w:rPr>
              <w:t>(n = 9)</w:t>
            </w:r>
          </w:p>
        </w:tc>
      </w:tr>
      <w:tr w:rsidR="00ED381F" w14:paraId="15720D1C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3F32232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Surgery rate, n/N (%)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17B8E4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kern w:val="24"/>
                <w:sz w:val="22"/>
                <w:szCs w:val="22"/>
              </w:rPr>
              <w:t>22/28 (78.6)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C0CE31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kern w:val="24"/>
                <w:sz w:val="22"/>
                <w:szCs w:val="22"/>
              </w:rPr>
              <w:t>9/10 (90)</w:t>
            </w:r>
          </w:p>
        </w:tc>
      </w:tr>
      <w:tr w:rsidR="00ED381F" w14:paraId="2B6D356F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36D98F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DengXi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R0 resection rate, </w:t>
            </w:r>
            <w:r>
              <w:rPr>
                <w:rFonts w:ascii="Times New Roman" w:eastAsia="SimSun" w:hAnsi="Times New Roman"/>
                <w:b/>
                <w:bCs/>
                <w:i/>
                <w:iCs/>
                <w:color w:val="000000"/>
                <w:kern w:val="24"/>
                <w:sz w:val="22"/>
                <w:szCs w:val="22"/>
              </w:rPr>
              <w:t>n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(%)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E91A1CF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3F93B85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263C14DE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7A7AE2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R0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6D1DFC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21 (95.5)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C835AB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9 (100.0)</w:t>
            </w:r>
          </w:p>
        </w:tc>
      </w:tr>
      <w:tr w:rsidR="00ED381F" w14:paraId="38D38F3B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69F9622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R1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F38A79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(4.5)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B82827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180B20F8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72AA44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Delayed surgery,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n (%)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9ECE31A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FD135D5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122700E4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DFC95D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No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E0D71C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21 (95.5)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4D3F33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5 (55.6)</w:t>
            </w:r>
          </w:p>
        </w:tc>
      </w:tr>
      <w:tr w:rsidR="00ED381F" w14:paraId="5609E95B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D59F83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Yes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F94BB4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(4.5)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7E0CC4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4 (44.4)</w:t>
            </w:r>
          </w:p>
        </w:tc>
      </w:tr>
      <w:tr w:rsidR="00ED381F" w14:paraId="7CBA0A90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54A23E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Surgical approach,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n (%)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850E2BD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2172381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5EB4E64A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8343C83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VATS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7022D5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16 (72.7)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992C5A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6 (66.7)</w:t>
            </w:r>
          </w:p>
        </w:tc>
      </w:tr>
      <w:tr w:rsidR="00ED381F" w14:paraId="79062C3C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CF38A2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</w:t>
            </w:r>
            <w:r>
              <w:rPr>
                <w:rFonts w:ascii="Times New Roman" w:hAnsi="Times New Roman" w:hint="eastAsia"/>
                <w:color w:val="000000"/>
                <w:kern w:val="24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Thoracotomy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6091D1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6 (27.3)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6ADEA6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3 (33.3)</w:t>
            </w:r>
          </w:p>
        </w:tc>
      </w:tr>
      <w:tr w:rsidR="00ED381F" w14:paraId="77E5E2AF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CDBEA3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Type of surgery,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n (%)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BB41EF6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8149004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52E2D56D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9364FB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Lobectomy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39D920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16 (72.7)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0EF7C8E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5 (55.6)</w:t>
            </w:r>
          </w:p>
        </w:tc>
      </w:tr>
      <w:tr w:rsidR="00ED381F" w14:paraId="0785BC0A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322A77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Bilobectomy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437E62A8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3 (13.6)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29BA13E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(11.1)</w:t>
            </w:r>
          </w:p>
        </w:tc>
      </w:tr>
      <w:tr w:rsidR="00ED381F" w14:paraId="5224F5FC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08B906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Sleeve lobectomy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53028F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(9.1)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3A0929A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 (22.2)</w:t>
            </w:r>
          </w:p>
        </w:tc>
      </w:tr>
      <w:tr w:rsidR="00ED381F" w14:paraId="26C327D0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EFDAECB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Pneumonectomy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527915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(4.5)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9FE95B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(11.1)</w:t>
            </w:r>
          </w:p>
        </w:tc>
      </w:tr>
      <w:tr w:rsidR="00ED381F" w14:paraId="43EDE998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7DB1A39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</w:t>
            </w:r>
            <w:r>
              <w:rPr>
                <w:rFonts w:ascii="Times New Roman" w:eastAsia="DengXian" w:hAnsi="Times New Roman"/>
                <w:b/>
                <w:bCs/>
                <w:color w:val="000000"/>
                <w:kern w:val="24"/>
                <w:sz w:val="22"/>
                <w:szCs w:val="22"/>
              </w:rPr>
              <w:t>Intraoperative blood transfusion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n (%)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B89D75F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218291D" w14:textId="77777777" w:rsidR="00ED381F" w:rsidRDefault="00ED381F" w:rsidP="0040484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D381F" w14:paraId="2B3AFD9E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9273E9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No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1980C0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21 (95.5)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1113449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9 (100.0)</w:t>
            </w:r>
          </w:p>
        </w:tc>
      </w:tr>
      <w:tr w:rsidR="00ED381F" w14:paraId="25280154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1120690C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 xml:space="preserve">        Yes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236AB240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 (4.5)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4F45004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0 (0.0)</w:t>
            </w:r>
          </w:p>
        </w:tc>
      </w:tr>
      <w:tr w:rsidR="00ED381F" w14:paraId="01DB5CCC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0AC7B814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Estimated blood loss (mL),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(median [IQR])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2AED9276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50.00 [50.0, 100.0]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77187F5F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50.00 [50.0, 75.0]</w:t>
            </w:r>
          </w:p>
        </w:tc>
      </w:tr>
      <w:tr w:rsidR="00ED381F" w14:paraId="6341BD01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5783A63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Drainage tube removal time (days), median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[IQR])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708BACD2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9.00 [5.0, 13.0]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E9EBF5"/>
            <w:tcMar>
              <w:top w:w="16" w:type="dxa"/>
              <w:left w:w="16" w:type="dxa"/>
              <w:right w:w="16" w:type="dxa"/>
            </w:tcMar>
            <w:vAlign w:val="center"/>
          </w:tcPr>
          <w:p w14:paraId="3971F14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6.00 [5.8, 9.3]</w:t>
            </w:r>
          </w:p>
        </w:tc>
      </w:tr>
      <w:tr w:rsidR="00ED381F" w14:paraId="3DE1788C" w14:textId="77777777" w:rsidTr="0040484B">
        <w:trPr>
          <w:trHeight w:val="374"/>
        </w:trPr>
        <w:tc>
          <w:tcPr>
            <w:tcW w:w="5084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BFCC081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  </w:t>
            </w:r>
            <w:r>
              <w:rPr>
                <w:rFonts w:ascii="Times New Roman" w:eastAsia="SimSun" w:hAnsi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Length of stay (days), median </w:t>
            </w:r>
            <w:r>
              <w:rPr>
                <w:rFonts w:ascii="Times New Roman" w:hAnsi="Times New Roman"/>
                <w:b/>
                <w:bCs/>
                <w:color w:val="000000"/>
                <w:kern w:val="24"/>
                <w:sz w:val="22"/>
                <w:szCs w:val="22"/>
              </w:rPr>
              <w:t>(median [IQR])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5A71F957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10.00 [7.3, 12.8]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4472C4"/>
              <w:right w:val="nil"/>
            </w:tcBorders>
            <w:shd w:val="clear" w:color="auto" w:fill="auto"/>
            <w:tcMar>
              <w:top w:w="16" w:type="dxa"/>
              <w:left w:w="16" w:type="dxa"/>
              <w:right w:w="16" w:type="dxa"/>
            </w:tcMar>
            <w:vAlign w:val="center"/>
          </w:tcPr>
          <w:p w14:paraId="61776EC5" w14:textId="77777777" w:rsidR="00ED381F" w:rsidRDefault="00ED381F" w:rsidP="0040484B">
            <w:pPr>
              <w:pStyle w:val="NormalWeb"/>
              <w:widowControl/>
              <w:spacing w:beforeAutospacing="0" w:afterAutospacing="0"/>
              <w:jc w:val="both"/>
              <w:textAlignment w:val="center"/>
              <w:rPr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24"/>
                <w:sz w:val="22"/>
                <w:szCs w:val="22"/>
              </w:rPr>
              <w:t>7.00 [7.0, 9.5]</w:t>
            </w:r>
          </w:p>
        </w:tc>
      </w:tr>
    </w:tbl>
    <w:p w14:paraId="0DDA6BCD" w14:textId="77777777" w:rsidR="00ED381F" w:rsidRDefault="00ED381F" w:rsidP="00ED381F">
      <w:pPr>
        <w:spacing w:line="480" w:lineRule="auto"/>
        <w:ind w:leftChars="100" w:left="240"/>
        <w:jc w:val="both"/>
        <w:rPr>
          <w:rFonts w:ascii="Times New Roman" w:hAnsi="Times New Roman" w:cs="Times New Roman"/>
          <w:sz w:val="20"/>
          <w:szCs w:val="20"/>
        </w:rPr>
      </w:pPr>
      <w:bookmarkStart w:id="22" w:name="OLE_LINK114"/>
      <w:bookmarkStart w:id="23" w:name="OLE_LINK115"/>
      <w:r>
        <w:rPr>
          <w:rFonts w:ascii="Times New Roman" w:hAnsi="Times New Roman" w:cs="Times New Roman" w:hint="eastAsia"/>
          <w:sz w:val="20"/>
          <w:szCs w:val="20"/>
        </w:rPr>
        <w:t xml:space="preserve">Abbreviations: </w:t>
      </w:r>
      <w:bookmarkEnd w:id="22"/>
      <w:bookmarkEnd w:id="23"/>
      <w:r>
        <w:rPr>
          <w:rFonts w:ascii="Times New Roman" w:hAnsi="Times New Roman" w:cs="Times New Roman" w:hint="eastAsia"/>
          <w:sz w:val="20"/>
          <w:szCs w:val="20"/>
        </w:rPr>
        <w:t>VATS, Video-assisted thoracoscopic surgery; IQR, Interquartile Range.</w:t>
      </w:r>
    </w:p>
    <w:p w14:paraId="057799C4" w14:textId="77777777" w:rsidR="00ED381F" w:rsidRDefault="00ED381F"/>
    <w:sectPr w:rsidR="00ED38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Bold">
    <w:altName w:val="Times New Roman"/>
    <w:panose1 w:val="02020803070505020304"/>
    <w:charset w:val="00"/>
    <w:family w:val="roman"/>
    <w:pitch w:val="default"/>
    <w:sig w:usb0="E0000AFF" w:usb1="00007843" w:usb2="00000001" w:usb3="00000000" w:csb0="400001BF" w:csb1="DFF7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宋体-简">
    <w:altName w:val="SimSun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81F"/>
    <w:rsid w:val="00113B67"/>
    <w:rsid w:val="002978F5"/>
    <w:rsid w:val="003852CF"/>
    <w:rsid w:val="004E780C"/>
    <w:rsid w:val="00ED381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7E22A"/>
  <w15:chartTrackingRefBased/>
  <w15:docId w15:val="{1C0E9C5D-209F-43B9-AB41-D9E29C93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81F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38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38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381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81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381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381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381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381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381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38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38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38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38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38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38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38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38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38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381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3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381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3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381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38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381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38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38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38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381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D381F"/>
    <w:pPr>
      <w:widowControl w:val="0"/>
      <w:spacing w:beforeAutospacing="1" w:afterAutospacing="1"/>
    </w:pPr>
    <w:rPr>
      <w:rFonts w:asciiTheme="minorHAnsi" w:eastAsiaTheme="minorEastAsia" w:hAnsiTheme="minorHAnsi" w:cs="Times New Roma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771</Words>
  <Characters>4400</Characters>
  <Application>Microsoft Office Word</Application>
  <DocSecurity>0</DocSecurity>
  <Lines>36</Lines>
  <Paragraphs>10</Paragraphs>
  <ScaleCrop>false</ScaleCrop>
  <Company/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2025-04-15T17:46:00Z</dcterms:created>
  <dcterms:modified xsi:type="dcterms:W3CDTF">2025-04-15T17:47:00Z</dcterms:modified>
</cp:coreProperties>
</file>