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LightShading1"/>
        <w:tblW w:w="7230" w:type="dxa"/>
        <w:jc w:val="center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024"/>
        <w:gridCol w:w="112"/>
        <w:gridCol w:w="2117"/>
      </w:tblGrid>
      <w:tr w:rsidR="00C533B4" w:rsidRPr="002C297D" w14:paraId="760CE60A" w14:textId="77777777" w:rsidTr="00C533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Merge w:val="restart"/>
            <w:vAlign w:val="center"/>
          </w:tcPr>
          <w:p w14:paraId="29CA90E1" w14:textId="23A9F3D6" w:rsidR="00C533B4" w:rsidRPr="00627D29" w:rsidRDefault="00C533B4" w:rsidP="006E1D34">
            <w:pPr>
              <w:widowControl/>
            </w:pPr>
            <w:r>
              <w:rPr>
                <w:rFonts w:hint="eastAsia"/>
              </w:rPr>
              <w:t>Models</w:t>
            </w:r>
          </w:p>
        </w:tc>
        <w:tc>
          <w:tcPr>
            <w:tcW w:w="4253" w:type="dxa"/>
            <w:gridSpan w:val="3"/>
            <w:tcBorders>
              <w:bottom w:val="single" w:sz="8" w:space="0" w:color="auto"/>
            </w:tcBorders>
            <w:vAlign w:val="center"/>
          </w:tcPr>
          <w:p w14:paraId="2BCD178A" w14:textId="16D26B07" w:rsidR="00C533B4" w:rsidRPr="00627D29" w:rsidRDefault="00C533B4" w:rsidP="00627D29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533B4">
              <w:rPr>
                <w:rFonts w:hint="eastAsia"/>
              </w:rPr>
              <w:t>Per-unit increase</w:t>
            </w:r>
          </w:p>
        </w:tc>
      </w:tr>
      <w:tr w:rsidR="00C533B4" w:rsidRPr="002C297D" w14:paraId="03603743" w14:textId="77777777" w:rsidTr="00C533B4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Merge/>
            <w:tcBorders>
              <w:bottom w:val="single" w:sz="8" w:space="0" w:color="auto"/>
            </w:tcBorders>
            <w:vAlign w:val="center"/>
          </w:tcPr>
          <w:p w14:paraId="3A35A84B" w14:textId="53674314" w:rsidR="00C533B4" w:rsidRPr="00627D29" w:rsidRDefault="00C533B4" w:rsidP="006E1D34">
            <w:pPr>
              <w:widowControl/>
            </w:pPr>
          </w:p>
        </w:tc>
        <w:tc>
          <w:tcPr>
            <w:tcW w:w="202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78615A5" w14:textId="2767C7C3" w:rsidR="00C533B4" w:rsidRPr="00C533B4" w:rsidRDefault="00C533B4" w:rsidP="00627D2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533B4">
              <w:rPr>
                <w:rFonts w:hint="eastAsia"/>
                <w:b/>
                <w:bCs/>
              </w:rPr>
              <w:t>OR (95%CI)</w:t>
            </w:r>
          </w:p>
        </w:tc>
        <w:tc>
          <w:tcPr>
            <w:tcW w:w="222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5BE4AA" w14:textId="649C932B" w:rsidR="00C533B4" w:rsidRPr="00C533B4" w:rsidRDefault="00C533B4" w:rsidP="00627D2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/>
                <w:bCs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C533B4">
              <w:rPr>
                <w:rFonts w:eastAsiaTheme="minorEastAsia" w:hint="eastAsia"/>
                <w:b/>
                <w:bCs/>
                <w:color w:val="auto"/>
                <w:kern w:val="2"/>
                <w:sz w:val="21"/>
                <w:szCs w:val="22"/>
                <w14:ligatures w14:val="standardContextual"/>
              </w:rPr>
              <w:t>P value</w:t>
            </w:r>
          </w:p>
        </w:tc>
      </w:tr>
      <w:tr w:rsidR="00627D29" w:rsidRPr="002C297D" w14:paraId="11732EF5" w14:textId="77777777" w:rsidTr="00C533B4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gridSpan w:val="4"/>
            <w:tcBorders>
              <w:top w:val="single" w:sz="8" w:space="0" w:color="auto"/>
            </w:tcBorders>
            <w:vAlign w:val="center"/>
          </w:tcPr>
          <w:p w14:paraId="542102BF" w14:textId="0F32CE4A" w:rsidR="00627D29" w:rsidRPr="001F047E" w:rsidRDefault="00627D29" w:rsidP="00627D29">
            <w:pPr>
              <w:widowControl/>
            </w:pPr>
            <w:r w:rsidRPr="00627D29"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  <w:t>Model I</w:t>
            </w:r>
          </w:p>
        </w:tc>
      </w:tr>
      <w:tr w:rsidR="00627D29" w:rsidRPr="002C297D" w14:paraId="1AD11679" w14:textId="77777777" w:rsidTr="000A442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1D34AF3A" w14:textId="77777777" w:rsidR="00627D29" w:rsidRPr="002C297D" w:rsidRDefault="00627D29" w:rsidP="006E1D34">
            <w:pPr>
              <w:widowControl/>
              <w:ind w:firstLineChars="100" w:firstLine="210"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One line effect</w:t>
            </w:r>
          </w:p>
        </w:tc>
        <w:tc>
          <w:tcPr>
            <w:tcW w:w="2136" w:type="dxa"/>
            <w:gridSpan w:val="2"/>
            <w:vAlign w:val="center"/>
          </w:tcPr>
          <w:p w14:paraId="066603F8" w14:textId="567EAC61" w:rsidR="00627D29" w:rsidRPr="002C297D" w:rsidRDefault="00FF4E6D" w:rsidP="00627D2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1</w:t>
            </w:r>
            <w:r w:rsidR="002B0437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.</w:t>
            </w: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</w:t>
            </w:r>
            <w:r w:rsidR="006C1D13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4</w:t>
            </w:r>
            <w:r w:rsidR="00627D29" w:rsidRPr="00627D29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 xml:space="preserve"> (</w:t>
            </w: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1.0</w:t>
            </w:r>
            <w:r w:rsidR="006C1D13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1</w:t>
            </w:r>
            <w:r w:rsidR="00627D29" w:rsidRPr="00627D29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 xml:space="preserve">, </w:t>
            </w: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1.</w:t>
            </w:r>
            <w:r w:rsidR="006C1D13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06</w:t>
            </w:r>
            <w:r w:rsidR="00627D29" w:rsidRPr="00627D29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)</w:t>
            </w:r>
          </w:p>
        </w:tc>
        <w:tc>
          <w:tcPr>
            <w:tcW w:w="2117" w:type="dxa"/>
            <w:vAlign w:val="center"/>
          </w:tcPr>
          <w:p w14:paraId="78EF9918" w14:textId="79AB92BD" w:rsidR="00627D29" w:rsidRPr="002C297D" w:rsidRDefault="006C1D13" w:rsidP="00627D2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0.0013</w:t>
            </w:r>
          </w:p>
        </w:tc>
      </w:tr>
      <w:tr w:rsidR="00627D29" w:rsidRPr="002C297D" w14:paraId="5DFB1F22" w14:textId="77777777" w:rsidTr="000A442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gridSpan w:val="4"/>
            <w:vAlign w:val="center"/>
          </w:tcPr>
          <w:p w14:paraId="6257D109" w14:textId="77777777" w:rsidR="00627D29" w:rsidRPr="00627D29" w:rsidRDefault="00627D29" w:rsidP="00627D29">
            <w:pPr>
              <w:widowControl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627D29"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  <w:t>Model II</w:t>
            </w:r>
          </w:p>
        </w:tc>
      </w:tr>
      <w:tr w:rsidR="00627D29" w:rsidRPr="002C297D" w14:paraId="3F99D9D6" w14:textId="77777777" w:rsidTr="000A442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05E64587" w14:textId="77777777" w:rsidR="00627D29" w:rsidRPr="002C297D" w:rsidRDefault="00627D29" w:rsidP="006E1D34">
            <w:pPr>
              <w:widowControl/>
              <w:ind w:firstLineChars="100" w:firstLine="210"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Turning point (K)</w:t>
            </w:r>
          </w:p>
        </w:tc>
        <w:tc>
          <w:tcPr>
            <w:tcW w:w="4253" w:type="dxa"/>
            <w:gridSpan w:val="3"/>
            <w:vAlign w:val="center"/>
          </w:tcPr>
          <w:p w14:paraId="795EA982" w14:textId="70161CE4" w:rsidR="00627D29" w:rsidRPr="002C297D" w:rsidRDefault="006C1D13" w:rsidP="00627D2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29.23</w:t>
            </w:r>
          </w:p>
        </w:tc>
      </w:tr>
      <w:tr w:rsidR="00627D29" w:rsidRPr="002C297D" w14:paraId="229D884E" w14:textId="77777777" w:rsidTr="000A4428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0C46B918" w14:textId="000C708D" w:rsidR="00627D29" w:rsidRPr="002C297D" w:rsidRDefault="00627D29" w:rsidP="006E1D34">
            <w:pPr>
              <w:widowControl/>
              <w:ind w:firstLineChars="100" w:firstLine="210"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>
              <w:rPr>
                <w:rFonts w:eastAsiaTheme="minorEastAsia" w:hint="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NHHR</w:t>
            </w:r>
            <w:r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 xml:space="preserve"> &lt; K</w:t>
            </w:r>
          </w:p>
        </w:tc>
        <w:tc>
          <w:tcPr>
            <w:tcW w:w="2136" w:type="dxa"/>
            <w:gridSpan w:val="2"/>
            <w:vAlign w:val="center"/>
          </w:tcPr>
          <w:p w14:paraId="3A3965CC" w14:textId="2219E296" w:rsidR="00627D29" w:rsidRPr="002C297D" w:rsidRDefault="00FF4E6D" w:rsidP="00627D2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0.9</w:t>
            </w:r>
            <w:r w:rsidR="006C1D13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6</w:t>
            </w:r>
            <w:r w:rsidR="00627D29" w:rsidRPr="00627D29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 xml:space="preserve"> (</w:t>
            </w: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</w:t>
            </w:r>
            <w:r w:rsidR="006C1D13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92</w:t>
            </w:r>
            <w:r w:rsidR="00627D29" w:rsidRPr="00627D29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,</w:t>
            </w:r>
            <w:r w:rsidR="002B0437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 xml:space="preserve"> </w:t>
            </w: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1.0</w:t>
            </w:r>
            <w:r w:rsidR="006C1D13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</w:t>
            </w:r>
            <w:r w:rsidR="00627D29" w:rsidRPr="00627D29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)</w:t>
            </w:r>
          </w:p>
        </w:tc>
        <w:tc>
          <w:tcPr>
            <w:tcW w:w="2117" w:type="dxa"/>
            <w:vAlign w:val="center"/>
          </w:tcPr>
          <w:p w14:paraId="5BDF5A71" w14:textId="37C1E105" w:rsidR="00627D29" w:rsidRPr="002C297D" w:rsidRDefault="00FF4E6D" w:rsidP="00627D2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</w:t>
            </w:r>
            <w:r w:rsidR="006C1D13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0687</w:t>
            </w:r>
          </w:p>
        </w:tc>
      </w:tr>
      <w:tr w:rsidR="00627D29" w:rsidRPr="002C297D" w14:paraId="1903A429" w14:textId="77777777" w:rsidTr="00C7411B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vAlign w:val="center"/>
          </w:tcPr>
          <w:p w14:paraId="1082D75B" w14:textId="4B7FAC59" w:rsidR="00627D29" w:rsidRPr="002C297D" w:rsidRDefault="00627D29" w:rsidP="006E1D34">
            <w:pPr>
              <w:widowControl/>
              <w:ind w:firstLineChars="100" w:firstLine="210"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>
              <w:rPr>
                <w:rFonts w:eastAsiaTheme="minorEastAsia" w:hint="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NHHR</w:t>
            </w:r>
            <w:r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 xml:space="preserve"> ≥ K</w:t>
            </w:r>
          </w:p>
        </w:tc>
        <w:tc>
          <w:tcPr>
            <w:tcW w:w="2136" w:type="dxa"/>
            <w:gridSpan w:val="2"/>
            <w:vAlign w:val="center"/>
          </w:tcPr>
          <w:p w14:paraId="538AD659" w14:textId="1A71612E" w:rsidR="00627D29" w:rsidRPr="002C297D" w:rsidRDefault="00FF4E6D" w:rsidP="00627D2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1.0</w:t>
            </w:r>
            <w:r w:rsidR="006C1D13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5</w:t>
            </w:r>
            <w:r w:rsidR="00627D29" w:rsidRPr="00627D29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 xml:space="preserve"> (</w:t>
            </w: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1.0</w:t>
            </w:r>
            <w:r w:rsidR="006C1D13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2</w:t>
            </w:r>
            <w:r w:rsidR="00627D29" w:rsidRPr="00627D29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 xml:space="preserve">, </w:t>
            </w: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1.</w:t>
            </w:r>
            <w:r w:rsidR="006C1D13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07</w:t>
            </w:r>
            <w:r w:rsidR="00627D29" w:rsidRPr="00627D29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)</w:t>
            </w:r>
          </w:p>
        </w:tc>
        <w:tc>
          <w:tcPr>
            <w:tcW w:w="2117" w:type="dxa"/>
            <w:vAlign w:val="center"/>
          </w:tcPr>
          <w:p w14:paraId="19DEF257" w14:textId="46C10BAD" w:rsidR="00627D29" w:rsidRPr="002C297D" w:rsidRDefault="00277146" w:rsidP="00627D2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0.0002</w:t>
            </w:r>
          </w:p>
        </w:tc>
      </w:tr>
      <w:tr w:rsidR="00627D29" w:rsidRPr="002C297D" w14:paraId="4CF58D2A" w14:textId="77777777" w:rsidTr="00C7411B">
        <w:trPr>
          <w:trHeight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Borders>
              <w:bottom w:val="single" w:sz="8" w:space="0" w:color="auto"/>
            </w:tcBorders>
            <w:vAlign w:val="center"/>
          </w:tcPr>
          <w:p w14:paraId="3BBD8758" w14:textId="77777777" w:rsidR="00627D29" w:rsidRPr="000A4428" w:rsidRDefault="00627D29" w:rsidP="006E1D34">
            <w:pPr>
              <w:widowControl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0A4428"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  <w:t>P value for LRT test</w:t>
            </w:r>
            <w:r w:rsidRPr="000A4428">
              <w:rPr>
                <w:rFonts w:eastAsiaTheme="minorEastAsia"/>
                <w:color w:val="auto"/>
                <w:kern w:val="2"/>
                <w:sz w:val="21"/>
                <w:szCs w:val="22"/>
                <w:vertAlign w:val="superscript"/>
                <w14:ligatures w14:val="standardContextual"/>
              </w:rPr>
              <w:t>*</w:t>
            </w:r>
          </w:p>
        </w:tc>
        <w:tc>
          <w:tcPr>
            <w:tcW w:w="4253" w:type="dxa"/>
            <w:gridSpan w:val="3"/>
            <w:tcBorders>
              <w:bottom w:val="single" w:sz="8" w:space="0" w:color="auto"/>
            </w:tcBorders>
            <w:vAlign w:val="center"/>
          </w:tcPr>
          <w:p w14:paraId="1225BDF8" w14:textId="73209ACE" w:rsidR="00627D29" w:rsidRPr="002C297D" w:rsidRDefault="006C1D13" w:rsidP="00627D2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&lt;0.001</w:t>
            </w:r>
          </w:p>
        </w:tc>
      </w:tr>
    </w:tbl>
    <w:p w14:paraId="36356AC1" w14:textId="77777777" w:rsidR="00911CF6" w:rsidRDefault="00911CF6">
      <w:pPr>
        <w:rPr>
          <w:rFonts w:hint="eastAsia"/>
        </w:rPr>
      </w:pPr>
    </w:p>
    <w:p w14:paraId="74683CDD" w14:textId="7E5A7CAB" w:rsidR="00F94324" w:rsidRPr="00764F08" w:rsidRDefault="00F94324" w:rsidP="00764F08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764F08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Table </w:t>
      </w:r>
      <w:r w:rsidR="004B7DF0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="006C1D13">
        <w:rPr>
          <w:rFonts w:ascii="Times New Roman" w:hAnsi="Times New Roman" w:cs="Times New Roman" w:hint="eastAsia"/>
          <w:b/>
          <w:bCs/>
          <w:sz w:val="24"/>
          <w:szCs w:val="28"/>
        </w:rPr>
        <w:t>3</w:t>
      </w:r>
      <w:r w:rsidRPr="00764F08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. </w:t>
      </w:r>
      <w:r w:rsidR="00EB1506" w:rsidRPr="00764F08">
        <w:rPr>
          <w:rFonts w:ascii="Times New Roman" w:hAnsi="Times New Roman" w:cs="Times New Roman" w:hint="eastAsia"/>
          <w:sz w:val="24"/>
          <w:szCs w:val="28"/>
        </w:rPr>
        <w:t xml:space="preserve">Threshold effect analysis of the PhenoAge and </w:t>
      </w:r>
      <w:r w:rsidR="006C1D13">
        <w:rPr>
          <w:rFonts w:ascii="Times New Roman" w:hAnsi="Times New Roman" w:cs="Times New Roman" w:hint="eastAsia"/>
          <w:sz w:val="24"/>
          <w:szCs w:val="28"/>
        </w:rPr>
        <w:t>erectile dysfunction</w:t>
      </w:r>
      <w:r w:rsidR="00EB1506" w:rsidRPr="00764F08">
        <w:rPr>
          <w:rFonts w:ascii="Times New Roman" w:hAnsi="Times New Roman" w:cs="Times New Roman" w:hint="eastAsia"/>
          <w:sz w:val="24"/>
          <w:szCs w:val="28"/>
        </w:rPr>
        <w:t xml:space="preserve"> by using the two-piecewise linear regression model</w:t>
      </w:r>
      <w:r w:rsidRPr="00764F08">
        <w:rPr>
          <w:rFonts w:ascii="Times New Roman" w:hAnsi="Times New Roman" w:cs="Times New Roman" w:hint="eastAsia"/>
          <w:sz w:val="24"/>
          <w:szCs w:val="28"/>
        </w:rPr>
        <w:t>. Data were presented as OR (95% CI) P value</w:t>
      </w:r>
      <w:r w:rsidR="00A038CC" w:rsidRPr="00764F08">
        <w:rPr>
          <w:rFonts w:ascii="Times New Roman" w:hAnsi="Times New Roman" w:cs="Times New Roman" w:hint="eastAsia"/>
          <w:sz w:val="24"/>
          <w:szCs w:val="28"/>
        </w:rPr>
        <w:t>.</w:t>
      </w:r>
      <w:r w:rsidRPr="00764F0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A038CC" w:rsidRPr="00764F08">
        <w:rPr>
          <w:rFonts w:ascii="Times New Roman" w:hAnsi="Times New Roman" w:cs="Times New Roman" w:hint="eastAsia"/>
          <w:sz w:val="24"/>
          <w:szCs w:val="28"/>
          <w:vertAlign w:val="superscript"/>
        </w:rPr>
        <w:t>*</w:t>
      </w:r>
      <w:r w:rsidR="00A038CC" w:rsidRPr="00764F08">
        <w:rPr>
          <w:rFonts w:ascii="Times New Roman" w:hAnsi="Times New Roman" w:cs="Times New Roman" w:hint="eastAsia"/>
          <w:sz w:val="24"/>
          <w:szCs w:val="28"/>
        </w:rPr>
        <w:t xml:space="preserve"> P&lt;0.05 indicates that model II is significantly different from Model I. </w:t>
      </w:r>
      <w:r w:rsidRPr="00764F08">
        <w:rPr>
          <w:rFonts w:ascii="Times New Roman" w:hAnsi="Times New Roman" w:cs="Times New Roman" w:hint="eastAsia"/>
          <w:sz w:val="24"/>
          <w:szCs w:val="28"/>
        </w:rPr>
        <w:t>Model I, linear analysis; Model II, non-linear analysis.</w:t>
      </w:r>
      <w:r w:rsidRPr="00764F08">
        <w:rPr>
          <w:rFonts w:hint="eastAsia"/>
        </w:rPr>
        <w:t xml:space="preserve"> </w:t>
      </w:r>
      <w:r w:rsidRPr="00764F08">
        <w:rPr>
          <w:rFonts w:ascii="Times New Roman" w:hAnsi="Times New Roman" w:cs="Times New Roman" w:hint="eastAsia"/>
          <w:sz w:val="24"/>
          <w:szCs w:val="28"/>
        </w:rPr>
        <w:t xml:space="preserve">CI, </w:t>
      </w:r>
      <w:r w:rsidR="00851EE4" w:rsidRPr="00764F08">
        <w:rPr>
          <w:rFonts w:ascii="Times New Roman" w:hAnsi="Times New Roman" w:cs="Times New Roman" w:hint="eastAsia"/>
          <w:sz w:val="24"/>
          <w:szCs w:val="28"/>
        </w:rPr>
        <w:t>C</w:t>
      </w:r>
      <w:r w:rsidRPr="00764F08">
        <w:rPr>
          <w:rFonts w:ascii="Times New Roman" w:hAnsi="Times New Roman" w:cs="Times New Roman" w:hint="eastAsia"/>
          <w:sz w:val="24"/>
          <w:szCs w:val="28"/>
        </w:rPr>
        <w:t xml:space="preserve">onfidence </w:t>
      </w:r>
      <w:r w:rsidR="00851EE4" w:rsidRPr="00764F08">
        <w:rPr>
          <w:rFonts w:ascii="Times New Roman" w:hAnsi="Times New Roman" w:cs="Times New Roman" w:hint="eastAsia"/>
          <w:sz w:val="24"/>
          <w:szCs w:val="28"/>
        </w:rPr>
        <w:t>I</w:t>
      </w:r>
      <w:r w:rsidRPr="00764F08">
        <w:rPr>
          <w:rFonts w:ascii="Times New Roman" w:hAnsi="Times New Roman" w:cs="Times New Roman" w:hint="eastAsia"/>
          <w:sz w:val="24"/>
          <w:szCs w:val="28"/>
        </w:rPr>
        <w:t xml:space="preserve">nterval; OR, </w:t>
      </w:r>
      <w:r w:rsidR="00851EE4" w:rsidRPr="00764F08">
        <w:rPr>
          <w:rFonts w:ascii="Times New Roman" w:hAnsi="Times New Roman" w:cs="Times New Roman" w:hint="eastAsia"/>
          <w:sz w:val="24"/>
          <w:szCs w:val="28"/>
        </w:rPr>
        <w:t>O</w:t>
      </w:r>
      <w:r w:rsidRPr="00764F08">
        <w:rPr>
          <w:rFonts w:ascii="Times New Roman" w:hAnsi="Times New Roman" w:cs="Times New Roman" w:hint="eastAsia"/>
          <w:sz w:val="24"/>
          <w:szCs w:val="28"/>
        </w:rPr>
        <w:t xml:space="preserve">dds </w:t>
      </w:r>
      <w:r w:rsidR="00851EE4" w:rsidRPr="00764F08">
        <w:rPr>
          <w:rFonts w:ascii="Times New Roman" w:hAnsi="Times New Roman" w:cs="Times New Roman" w:hint="eastAsia"/>
          <w:sz w:val="24"/>
          <w:szCs w:val="28"/>
        </w:rPr>
        <w:t>R</w:t>
      </w:r>
      <w:r w:rsidRPr="00764F08">
        <w:rPr>
          <w:rFonts w:ascii="Times New Roman" w:hAnsi="Times New Roman" w:cs="Times New Roman" w:hint="eastAsia"/>
          <w:sz w:val="24"/>
          <w:szCs w:val="28"/>
        </w:rPr>
        <w:t xml:space="preserve">atio; LRT, </w:t>
      </w:r>
      <w:r w:rsidR="00851EE4" w:rsidRPr="00764F08">
        <w:rPr>
          <w:rFonts w:ascii="Times New Roman" w:hAnsi="Times New Roman" w:cs="Times New Roman" w:hint="eastAsia"/>
          <w:sz w:val="24"/>
          <w:szCs w:val="28"/>
        </w:rPr>
        <w:t>L</w:t>
      </w:r>
      <w:r w:rsidRPr="00764F08">
        <w:rPr>
          <w:rFonts w:ascii="Times New Roman" w:hAnsi="Times New Roman" w:cs="Times New Roman" w:hint="eastAsia"/>
          <w:sz w:val="24"/>
          <w:szCs w:val="28"/>
        </w:rPr>
        <w:t xml:space="preserve">ogarithm </w:t>
      </w:r>
      <w:r w:rsidR="00851EE4" w:rsidRPr="00764F08">
        <w:rPr>
          <w:rFonts w:ascii="Times New Roman" w:hAnsi="Times New Roman" w:cs="Times New Roman" w:hint="eastAsia"/>
          <w:sz w:val="24"/>
          <w:szCs w:val="28"/>
        </w:rPr>
        <w:t>L</w:t>
      </w:r>
      <w:r w:rsidRPr="00764F08">
        <w:rPr>
          <w:rFonts w:ascii="Times New Roman" w:hAnsi="Times New Roman" w:cs="Times New Roman" w:hint="eastAsia"/>
          <w:sz w:val="24"/>
          <w:szCs w:val="28"/>
        </w:rPr>
        <w:t xml:space="preserve">ikelihood </w:t>
      </w:r>
      <w:r w:rsidR="00851EE4" w:rsidRPr="00764F08">
        <w:rPr>
          <w:rFonts w:ascii="Times New Roman" w:hAnsi="Times New Roman" w:cs="Times New Roman" w:hint="eastAsia"/>
          <w:sz w:val="24"/>
          <w:szCs w:val="28"/>
        </w:rPr>
        <w:t>R</w:t>
      </w:r>
      <w:r w:rsidRPr="00764F08">
        <w:rPr>
          <w:rFonts w:ascii="Times New Roman" w:hAnsi="Times New Roman" w:cs="Times New Roman" w:hint="eastAsia"/>
          <w:sz w:val="24"/>
          <w:szCs w:val="28"/>
        </w:rPr>
        <w:t xml:space="preserve">atio </w:t>
      </w:r>
      <w:r w:rsidR="00851EE4" w:rsidRPr="00764F08">
        <w:rPr>
          <w:rFonts w:ascii="Times New Roman" w:hAnsi="Times New Roman" w:cs="Times New Roman" w:hint="eastAsia"/>
          <w:sz w:val="24"/>
          <w:szCs w:val="28"/>
        </w:rPr>
        <w:t>T</w:t>
      </w:r>
      <w:r w:rsidRPr="00764F08">
        <w:rPr>
          <w:rFonts w:ascii="Times New Roman" w:hAnsi="Times New Roman" w:cs="Times New Roman" w:hint="eastAsia"/>
          <w:sz w:val="24"/>
          <w:szCs w:val="28"/>
        </w:rPr>
        <w:t>est</w:t>
      </w:r>
      <w:r w:rsidR="000A4428" w:rsidRPr="00764F08">
        <w:rPr>
          <w:rFonts w:ascii="Times New Roman" w:hAnsi="Times New Roman" w:cs="Times New Roman" w:hint="eastAsia"/>
          <w:sz w:val="24"/>
          <w:szCs w:val="28"/>
        </w:rPr>
        <w:t xml:space="preserve">; </w:t>
      </w:r>
      <w:r w:rsidR="003E391A" w:rsidRPr="00764F08">
        <w:rPr>
          <w:rFonts w:ascii="Times New Roman" w:hAnsi="Times New Roman" w:cs="Times New Roman" w:hint="eastAsia"/>
          <w:sz w:val="24"/>
          <w:szCs w:val="28"/>
        </w:rPr>
        <w:t>PhenoAge</w:t>
      </w:r>
      <w:r w:rsidR="000A4428" w:rsidRPr="00764F08">
        <w:rPr>
          <w:rFonts w:ascii="Times New Roman" w:hAnsi="Times New Roman" w:cs="Times New Roman" w:hint="eastAsia"/>
          <w:sz w:val="24"/>
          <w:szCs w:val="28"/>
        </w:rPr>
        <w:t xml:space="preserve">: </w:t>
      </w:r>
      <w:r w:rsidR="00851EE4" w:rsidRPr="00764F08">
        <w:rPr>
          <w:rFonts w:ascii="Times New Roman" w:hAnsi="Times New Roman" w:cs="Times New Roman" w:hint="eastAsia"/>
          <w:sz w:val="24"/>
          <w:szCs w:val="28"/>
        </w:rPr>
        <w:t>P</w:t>
      </w:r>
      <w:r w:rsidR="003E391A" w:rsidRPr="00764F08">
        <w:rPr>
          <w:rFonts w:ascii="Times New Roman" w:hAnsi="Times New Roman" w:cs="Times New Roman" w:hint="eastAsia"/>
          <w:sz w:val="24"/>
          <w:szCs w:val="28"/>
        </w:rPr>
        <w:t xml:space="preserve">henotypic </w:t>
      </w:r>
      <w:r w:rsidR="00851EE4" w:rsidRPr="00764F08">
        <w:rPr>
          <w:rFonts w:ascii="Times New Roman" w:hAnsi="Times New Roman" w:cs="Times New Roman" w:hint="eastAsia"/>
          <w:sz w:val="24"/>
          <w:szCs w:val="28"/>
        </w:rPr>
        <w:t>A</w:t>
      </w:r>
      <w:r w:rsidR="003E391A" w:rsidRPr="00764F08">
        <w:rPr>
          <w:rFonts w:ascii="Times New Roman" w:hAnsi="Times New Roman" w:cs="Times New Roman" w:hint="eastAsia"/>
          <w:sz w:val="24"/>
          <w:szCs w:val="28"/>
        </w:rPr>
        <w:t>ge</w:t>
      </w:r>
      <w:r w:rsidR="000A4428" w:rsidRPr="00764F08">
        <w:rPr>
          <w:rFonts w:ascii="Times New Roman" w:hAnsi="Times New Roman" w:cs="Times New Roman" w:hint="eastAsia"/>
          <w:sz w:val="24"/>
          <w:szCs w:val="28"/>
        </w:rPr>
        <w:t>; PIR: Poverty Income Ratio; BMI: Body Mass Index; DM: Diabetes Mellitus; CVD: Cardiovascular Disease</w:t>
      </w:r>
      <w:r w:rsidR="00F05A72" w:rsidRPr="00764F08">
        <w:rPr>
          <w:rFonts w:ascii="Times New Roman" w:hAnsi="Times New Roman" w:cs="Times New Roman" w:hint="eastAsia"/>
          <w:sz w:val="24"/>
          <w:szCs w:val="28"/>
        </w:rPr>
        <w:t>.</w:t>
      </w:r>
    </w:p>
    <w:p w14:paraId="793CB7F6" w14:textId="77777777" w:rsidR="00F94324" w:rsidRPr="00764F08" w:rsidRDefault="00F94324" w:rsidP="00764F08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6C93104A" w14:textId="6E3E4F09" w:rsidR="00F94324" w:rsidRPr="00764F08" w:rsidRDefault="00F94324" w:rsidP="00764F08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764F08">
        <w:rPr>
          <w:rFonts w:ascii="Times New Roman" w:hAnsi="Times New Roman" w:cs="Times New Roman" w:hint="eastAsia"/>
          <w:sz w:val="24"/>
          <w:szCs w:val="28"/>
        </w:rPr>
        <w:t>Adjusted for: age, race; education level, marital status, PIR, BMI, smoking status, alcohol consumption, hypertension; hyper</w:t>
      </w:r>
      <w:r w:rsidR="005E3E41">
        <w:rPr>
          <w:rFonts w:ascii="Times New Roman" w:hAnsi="Times New Roman" w:cs="Times New Roman" w:hint="eastAsia"/>
          <w:sz w:val="24"/>
          <w:szCs w:val="28"/>
        </w:rPr>
        <w:t>lipide</w:t>
      </w:r>
      <w:r w:rsidRPr="00764F08">
        <w:rPr>
          <w:rFonts w:ascii="Times New Roman" w:hAnsi="Times New Roman" w:cs="Times New Roman" w:hint="eastAsia"/>
          <w:sz w:val="24"/>
          <w:szCs w:val="28"/>
        </w:rPr>
        <w:t>mia, DM and CVD.</w:t>
      </w:r>
    </w:p>
    <w:sectPr w:rsidR="00F94324" w:rsidRPr="00764F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256FAC" w14:textId="77777777" w:rsidR="0054181B" w:rsidRDefault="0054181B" w:rsidP="00627D29">
      <w:pPr>
        <w:rPr>
          <w:rFonts w:hint="eastAsia"/>
        </w:rPr>
      </w:pPr>
      <w:r>
        <w:separator/>
      </w:r>
    </w:p>
  </w:endnote>
  <w:endnote w:type="continuationSeparator" w:id="0">
    <w:p w14:paraId="372469BB" w14:textId="77777777" w:rsidR="0054181B" w:rsidRDefault="0054181B" w:rsidP="00627D2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914EF3" w14:textId="77777777" w:rsidR="0054181B" w:rsidRDefault="0054181B" w:rsidP="00627D29">
      <w:pPr>
        <w:rPr>
          <w:rFonts w:hint="eastAsia"/>
        </w:rPr>
      </w:pPr>
      <w:r>
        <w:separator/>
      </w:r>
    </w:p>
  </w:footnote>
  <w:footnote w:type="continuationSeparator" w:id="0">
    <w:p w14:paraId="19950AC7" w14:textId="77777777" w:rsidR="0054181B" w:rsidRDefault="0054181B" w:rsidP="00627D2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CF6"/>
    <w:rsid w:val="00056F27"/>
    <w:rsid w:val="000576EB"/>
    <w:rsid w:val="00097887"/>
    <w:rsid w:val="000A4428"/>
    <w:rsid w:val="00111E90"/>
    <w:rsid w:val="00155705"/>
    <w:rsid w:val="00277146"/>
    <w:rsid w:val="002B0437"/>
    <w:rsid w:val="003E391A"/>
    <w:rsid w:val="0042768E"/>
    <w:rsid w:val="004419AF"/>
    <w:rsid w:val="00467554"/>
    <w:rsid w:val="004A054A"/>
    <w:rsid w:val="004B7DF0"/>
    <w:rsid w:val="004E32AE"/>
    <w:rsid w:val="0054181B"/>
    <w:rsid w:val="005E3E41"/>
    <w:rsid w:val="00600D74"/>
    <w:rsid w:val="00627D29"/>
    <w:rsid w:val="00650F67"/>
    <w:rsid w:val="006C1D13"/>
    <w:rsid w:val="006E0D1D"/>
    <w:rsid w:val="006E609D"/>
    <w:rsid w:val="006F7404"/>
    <w:rsid w:val="00764F08"/>
    <w:rsid w:val="00773106"/>
    <w:rsid w:val="00851EE4"/>
    <w:rsid w:val="008543BA"/>
    <w:rsid w:val="00911CF6"/>
    <w:rsid w:val="0095076E"/>
    <w:rsid w:val="009C06AC"/>
    <w:rsid w:val="00A038CC"/>
    <w:rsid w:val="00AC54CB"/>
    <w:rsid w:val="00AC61C0"/>
    <w:rsid w:val="00B9004F"/>
    <w:rsid w:val="00C035E7"/>
    <w:rsid w:val="00C25D13"/>
    <w:rsid w:val="00C37CB3"/>
    <w:rsid w:val="00C533B4"/>
    <w:rsid w:val="00C7411B"/>
    <w:rsid w:val="00C95698"/>
    <w:rsid w:val="00D66B78"/>
    <w:rsid w:val="00DD2FCA"/>
    <w:rsid w:val="00DE6B59"/>
    <w:rsid w:val="00E85D58"/>
    <w:rsid w:val="00EB1506"/>
    <w:rsid w:val="00EB34C3"/>
    <w:rsid w:val="00EB7F7A"/>
    <w:rsid w:val="00ED5C8B"/>
    <w:rsid w:val="00F05A72"/>
    <w:rsid w:val="00F94324"/>
    <w:rsid w:val="00FF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F930F6"/>
  <w15:chartTrackingRefBased/>
  <w15:docId w15:val="{7F72B37C-DE5E-4B8F-B6BB-2B5BE68F3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D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7D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7D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7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7D29"/>
    <w:rPr>
      <w:sz w:val="18"/>
      <w:szCs w:val="18"/>
    </w:rPr>
  </w:style>
  <w:style w:type="table" w:customStyle="1" w:styleId="LightShading1">
    <w:name w:val="Light Shading1"/>
    <w:basedOn w:val="a1"/>
    <w:uiPriority w:val="60"/>
    <w:qFormat/>
    <w:rsid w:val="00627D29"/>
    <w:rPr>
      <w:rFonts w:ascii="Times New Roman" w:eastAsia="宋体" w:hAnsi="Times New Roman" w:cs="Times New Roman"/>
      <w:color w:val="000000" w:themeColor="text1" w:themeShade="BF"/>
      <w:kern w:val="0"/>
      <w:sz w:val="20"/>
      <w:szCs w:val="20"/>
      <w14:ligatures w14:val="none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逸文 周</dc:creator>
  <cp:keywords/>
  <dc:description/>
  <cp:lastModifiedBy>逸文 周</cp:lastModifiedBy>
  <cp:revision>22</cp:revision>
  <dcterms:created xsi:type="dcterms:W3CDTF">2024-11-14T09:15:00Z</dcterms:created>
  <dcterms:modified xsi:type="dcterms:W3CDTF">2024-11-25T11:16:00Z</dcterms:modified>
</cp:coreProperties>
</file>