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drawing>
          <wp:inline distT="0" distB="0" distL="114300" distR="114300">
            <wp:extent cx="3074670" cy="2969895"/>
            <wp:effectExtent l="0" t="0" r="24130" b="1905"/>
            <wp:docPr id="1" name="图片 1" descr="血平板培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血平板培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</w:rPr>
        <w:t xml:space="preserve">Figure 1: The culturing of fecal sample from germ-free mice after </w:t>
      </w:r>
      <w:r>
        <w:rPr>
          <w:rFonts w:ascii="Times New Roman Regular" w:hAnsi="Times New Roman Regular" w:eastAsia="宋体" w:cs="Times New Roman Regular"/>
          <w:sz w:val="20"/>
          <w:szCs w:val="20"/>
          <w:lang w:bidi="ar"/>
        </w:rPr>
        <w:t>FRT-CS and T-CS.</w:t>
      </w:r>
      <w:r>
        <w:rPr>
          <w:rFonts w:ascii="Times New Roman Regular" w:hAnsi="Times New Roman Regular" w:cs="Times New Roman Regular"/>
          <w:sz w:val="20"/>
          <w:szCs w:val="20"/>
        </w:rPr>
        <w:t xml:space="preserve"> (A) Fecal of GF weanling pups obtained from FRT-CS was cultured in a Columbia blood agar plate under aerobic conditions for 48h. (B) Fecal of GF weanling pups obtained from FRT-CS was cultured in a Columbia blood agar plate under anaerobic conditions for 48h. (C) Fecal of GF weanling pups obtained from T-CS was cultured in a Columbia blood agar plate under aerobic conditions for 48h. (D) Fecal of GF weanling pups obtained from T-CS was cultured in a Columbia blood agar plate under anaerobic conditions for 48h.</w:t>
      </w: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tbl>
      <w:tblPr>
        <w:tblStyle w:val="3"/>
        <w:tblW w:w="101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448"/>
        <w:gridCol w:w="776"/>
        <w:gridCol w:w="961"/>
        <w:gridCol w:w="979"/>
        <w:gridCol w:w="722"/>
        <w:gridCol w:w="1173"/>
        <w:gridCol w:w="630"/>
        <w:gridCol w:w="630"/>
        <w:gridCol w:w="810"/>
        <w:gridCol w:w="639"/>
      </w:tblGrid>
      <w:tr>
        <w:trPr>
          <w:trHeight w:val="947" w:hRule="atLeast"/>
          <w:jc w:val="center"/>
        </w:trPr>
        <w:tc>
          <w:tcPr>
            <w:tcW w:w="1336" w:type="dxa"/>
            <w:tcBorders>
              <w:top w:val="single" w:color="000000" w:sz="1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Mode of fertilization</w:t>
            </w:r>
          </w:p>
        </w:tc>
        <w:tc>
          <w:tcPr>
            <w:tcW w:w="1448" w:type="dxa"/>
            <w:tcBorders>
              <w:top w:val="single" w:color="000000" w:sz="1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Number of female mice</w:t>
            </w:r>
          </w:p>
        </w:tc>
        <w:tc>
          <w:tcPr>
            <w:tcW w:w="3438" w:type="dxa"/>
            <w:gridSpan w:val="4"/>
            <w:tcBorders>
              <w:top w:val="single" w:color="000000" w:sz="1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 xml:space="preserve">Form of copulatory plug </w:t>
            </w:r>
          </w:p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(G0.5)</w:t>
            </w:r>
          </w:p>
        </w:tc>
        <w:tc>
          <w:tcPr>
            <w:tcW w:w="1173" w:type="dxa"/>
            <w:tcBorders>
              <w:top w:val="single" w:color="000000" w:sz="1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EDD</w:t>
            </w:r>
          </w:p>
        </w:tc>
        <w:tc>
          <w:tcPr>
            <w:tcW w:w="2709" w:type="dxa"/>
            <w:gridSpan w:val="4"/>
            <w:tcBorders>
              <w:top w:val="single" w:color="000000" w:sz="1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ADD</w:t>
            </w:r>
          </w:p>
        </w:tc>
      </w:tr>
      <w:tr>
        <w:trPr>
          <w:trHeight w:val="458" w:hRule="atLeast"/>
          <w:jc w:val="center"/>
        </w:trPr>
        <w:tc>
          <w:tcPr>
            <w:tcW w:w="1336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</w:p>
        </w:tc>
        <w:tc>
          <w:tcPr>
            <w:tcW w:w="776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0-24h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24-48h</w:t>
            </w:r>
          </w:p>
        </w:tc>
        <w:tc>
          <w:tcPr>
            <w:tcW w:w="979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48-72h</w:t>
            </w:r>
          </w:p>
        </w:tc>
        <w:tc>
          <w:tcPr>
            <w:tcW w:w="722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NA</w:t>
            </w:r>
          </w:p>
        </w:tc>
        <w:tc>
          <w:tcPr>
            <w:tcW w:w="1173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G18</w:t>
            </w:r>
          </w:p>
        </w:tc>
        <w:tc>
          <w:tcPr>
            <w:tcW w:w="63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G19</w:t>
            </w:r>
          </w:p>
        </w:tc>
        <w:tc>
          <w:tcPr>
            <w:tcW w:w="81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G19.5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NA</w:t>
            </w:r>
          </w:p>
        </w:tc>
      </w:tr>
      <w:tr>
        <w:trPr>
          <w:trHeight w:val="639" w:hRule="atLeast"/>
          <w:jc w:val="center"/>
        </w:trPr>
        <w:tc>
          <w:tcPr>
            <w:tcW w:w="1336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NM</w:t>
            </w:r>
          </w:p>
        </w:tc>
        <w:tc>
          <w:tcPr>
            <w:tcW w:w="1448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30</w:t>
            </w:r>
          </w:p>
        </w:tc>
        <w:tc>
          <w:tcPr>
            <w:tcW w:w="776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5</w:t>
            </w:r>
          </w:p>
        </w:tc>
        <w:tc>
          <w:tcPr>
            <w:tcW w:w="96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7</w:t>
            </w:r>
          </w:p>
        </w:tc>
        <w:tc>
          <w:tcPr>
            <w:tcW w:w="979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11</w:t>
            </w:r>
          </w:p>
        </w:tc>
        <w:tc>
          <w:tcPr>
            <w:tcW w:w="722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7</w:t>
            </w:r>
          </w:p>
        </w:tc>
        <w:tc>
          <w:tcPr>
            <w:tcW w:w="1173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G19.5</w:t>
            </w:r>
          </w:p>
        </w:tc>
        <w:tc>
          <w:tcPr>
            <w:tcW w:w="6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5</w:t>
            </w:r>
          </w:p>
        </w:tc>
        <w:tc>
          <w:tcPr>
            <w:tcW w:w="63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6</w:t>
            </w:r>
          </w:p>
        </w:tc>
        <w:tc>
          <w:tcPr>
            <w:tcW w:w="810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12</w:t>
            </w:r>
          </w:p>
        </w:tc>
        <w:tc>
          <w:tcPr>
            <w:tcW w:w="639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7</w:t>
            </w:r>
          </w:p>
        </w:tc>
      </w:tr>
      <w:tr>
        <w:trPr>
          <w:trHeight w:val="661" w:hRule="atLeast"/>
          <w:jc w:val="center"/>
        </w:trPr>
        <w:tc>
          <w:tcPr>
            <w:tcW w:w="1336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IVF</w:t>
            </w:r>
          </w:p>
        </w:tc>
        <w:tc>
          <w:tcPr>
            <w:tcW w:w="1448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 bold" w:hAnsi="Times New Roman bold" w:eastAsia="Times New Roman bold" w:cs="Times New Roman bold"/>
                <w:sz w:val="24"/>
              </w:rPr>
            </w:pPr>
            <w:r>
              <w:rPr>
                <w:rFonts w:ascii="Times New Roman bold" w:hAnsi="Times New Roman bold" w:eastAsia="Times New Roman bold" w:cs="Times New Roman bold"/>
                <w:sz w:val="24"/>
                <w:lang w:bidi="ar"/>
              </w:rPr>
              <w:t>30</w:t>
            </w:r>
          </w:p>
        </w:tc>
        <w:tc>
          <w:tcPr>
            <w:tcW w:w="3438" w:type="dxa"/>
            <w:gridSpan w:val="4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/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E19.5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  <w:lang w:bidi="ar"/>
              </w:rPr>
              <w:t>0</w:t>
            </w:r>
          </w:p>
        </w:tc>
      </w:tr>
    </w:tbl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  <w:r>
        <w:rPr>
          <w:rFonts w:ascii="Times New Roman Regular" w:hAnsi="Times New Roman Regular" w:cs="Times New Roman Regular"/>
          <w:sz w:val="20"/>
          <w:szCs w:val="20"/>
        </w:rPr>
        <w:t xml:space="preserve">Table 1: Predication of actual delivery date (ADD) for different fertilization models. NA for not available. </w:t>
      </w: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jc w:val="center"/>
        <w:rPr>
          <w:rFonts w:hint="eastAsia" w:ascii="Times New Roman Regular" w:hAnsi="Times New Roman Regular" w:cs="Times New Roman Regular" w:eastAsiaTheme="minorEastAsia"/>
          <w:sz w:val="20"/>
          <w:szCs w:val="20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sz w:val="20"/>
          <w:szCs w:val="20"/>
          <w:lang w:eastAsia="zh-CN"/>
        </w:rPr>
        <w:drawing>
          <wp:inline distT="0" distB="0" distL="114300" distR="114300">
            <wp:extent cx="4363085" cy="3422650"/>
            <wp:effectExtent l="0" t="0" r="0" b="0"/>
            <wp:docPr id="3" name="图片 3" descr="WechatIMG1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3870"/>
                    <pic:cNvPicPr>
                      <a:picLocks noChangeAspect="1"/>
                    </pic:cNvPicPr>
                  </pic:nvPicPr>
                  <pic:blipFill>
                    <a:blip r:embed="rId5"/>
                    <a:srcRect l="5558" r="11599" b="13358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2：The complete membrane image depicting the detection of bacterial contamination following T-CS is presented in Figure 4 of the manuscript.</w:t>
      </w:r>
    </w:p>
    <w:p>
      <w:pPr>
        <w:widowControl/>
        <w:jc w:val="center"/>
        <w:rPr>
          <w:rFonts w:ascii="Times New Roman Regular" w:hAnsi="Times New Roman Regular" w:cs="Times New Roman Regular"/>
          <w:sz w:val="20"/>
          <w:szCs w:val="20"/>
        </w:rPr>
      </w:pPr>
    </w:p>
    <w:p>
      <w:pPr>
        <w:widowControl/>
        <w:jc w:val="center"/>
        <w:rPr>
          <w:rFonts w:hint="eastAsia" w:ascii="Times New Roman Regular" w:hAnsi="Times New Roman Regular" w:cs="Times New Roman Regular" w:eastAsiaTheme="minorEastAsia"/>
          <w:sz w:val="20"/>
          <w:szCs w:val="20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sz w:val="20"/>
          <w:szCs w:val="20"/>
          <w:lang w:eastAsia="zh-CN"/>
        </w:rPr>
        <w:drawing>
          <wp:inline distT="0" distB="0" distL="114300" distR="114300">
            <wp:extent cx="4384040" cy="2641600"/>
            <wp:effectExtent l="0" t="0" r="0" b="0"/>
            <wp:docPr id="2" name="图片 2" descr="无标题 1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 10 - 副本"/>
                    <pic:cNvPicPr>
                      <a:picLocks noChangeAspect="1"/>
                    </pic:cNvPicPr>
                  </pic:nvPicPr>
                  <pic:blipFill>
                    <a:blip r:embed="rId6"/>
                    <a:srcRect l="5833" t="13669" r="10796" b="19353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3：The complete membrane image depicting the detection of bacterial contamination following </w:t>
      </w:r>
      <w:r>
        <w:rPr>
          <w:rFonts w:ascii="Times New Roman bold" w:hAnsi="Times New Roman bold" w:cs="Times New Roman bold"/>
          <w:sz w:val="24"/>
        </w:rPr>
        <w:t>FRT-CS</w:t>
      </w:r>
      <w:r>
        <w:rPr>
          <w:rFonts w:ascii="Times New Roman" w:hAnsi="Times New Roman" w:cs="Times New Roman"/>
          <w:sz w:val="20"/>
          <w:szCs w:val="20"/>
        </w:rPr>
        <w:t xml:space="preserve"> is presented in Figure 5 of the manuscript.</w:t>
      </w:r>
    </w:p>
    <w:p>
      <w:pPr>
        <w:widowControl/>
        <w:jc w:val="left"/>
        <w:rPr>
          <w:rFonts w:ascii="Times New Roman Regular" w:hAnsi="Times New Roman Regular" w:cs="Times New Roman Regular"/>
          <w:sz w:val="20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DF0206"/>
    <w:rsid w:val="000066BC"/>
    <w:rsid w:val="001F458B"/>
    <w:rsid w:val="003753A8"/>
    <w:rsid w:val="003E3F5B"/>
    <w:rsid w:val="0043445F"/>
    <w:rsid w:val="00591CB6"/>
    <w:rsid w:val="007D655C"/>
    <w:rsid w:val="007E3F02"/>
    <w:rsid w:val="008E6BB5"/>
    <w:rsid w:val="009A7B5C"/>
    <w:rsid w:val="00C04971"/>
    <w:rsid w:val="00CC6861"/>
    <w:rsid w:val="00FD5FD9"/>
    <w:rsid w:val="27F8BCF3"/>
    <w:rsid w:val="4FDF0206"/>
    <w:rsid w:val="6DFB5E27"/>
    <w:rsid w:val="73FC3FDF"/>
    <w:rsid w:val="7BBF36AC"/>
    <w:rsid w:val="7EF56C55"/>
    <w:rsid w:val="DEEEF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180</Words>
  <Characters>1029</Characters>
  <Lines>8</Lines>
  <Paragraphs>2</Paragraphs>
  <TotalTime>3</TotalTime>
  <ScaleCrop>false</ScaleCrop>
  <LinksUpToDate>false</LinksUpToDate>
  <CharactersWithSpaces>1207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2025-04-02T07:15:00Z</dcterms:created>
  <dc:creator>Yuting Y;min</dc:creator>
  <cp:lastModifiedBy>Yuting Y</cp:lastModifiedBy>
  <dcterms:modified xsi:type="dcterms:W3CDTF">2025-04-13T00:43:38Z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7D43D9DC29441C85CE3CED674739BA7C_43</vt:lpwstr>
  </property>
</Properties>
</file>