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5B0E4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b/>
          <w:bCs/>
          <w:noProof/>
          <w:sz w:val="24"/>
          <w:szCs w:val="24"/>
        </w:rPr>
      </w:pPr>
      <w:r w:rsidRPr="00074CFE">
        <w:rPr>
          <w:rFonts w:ascii="Arial" w:eastAsia="DengXian" w:hAnsi="Arial" w:cs="Arial"/>
          <w:b/>
          <w:bCs/>
          <w:noProof/>
          <w:sz w:val="24"/>
          <w:szCs w:val="24"/>
        </w:rPr>
        <w:t>Supplementary material</w:t>
      </w:r>
    </w:p>
    <w:p w14:paraId="266FEB27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b/>
          <w:bCs/>
          <w:noProof/>
          <w:sz w:val="24"/>
          <w:szCs w:val="24"/>
        </w:rPr>
      </w:pPr>
    </w:p>
    <w:p w14:paraId="2E9D0638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 xml:space="preserve">Table S1 contains the original patient data, including hospitalization numbers, age, sex, and commonly selected laboratory test results. </w:t>
      </w:r>
    </w:p>
    <w:p w14:paraId="59045E05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</w:p>
    <w:p w14:paraId="1797D131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Table S2 presents the data simplified into categorical variables. In Table S2:</w:t>
      </w:r>
    </w:p>
    <w:p w14:paraId="36410371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Status: Chronic atrophic gastritis (CAG) is coded as 0, and gastric cancer (GC) is coded as 1.</w:t>
      </w:r>
    </w:p>
    <w:p w14:paraId="772DDA31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sex: Male is coded as 0, and female is coded as 1.</w:t>
      </w:r>
    </w:p>
    <w:p w14:paraId="35188954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Age: Less than 60 is coded as 0, and 60 or older is coded as 1.</w:t>
      </w:r>
    </w:p>
    <w:p w14:paraId="09593B5A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Prothrombin time: 10-14 seconds is coded as 0, less than 10 seconds as 1, and more than 14 seconds as 2.</w:t>
      </w:r>
    </w:p>
    <w:p w14:paraId="3F46AB62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Fibrinogen: 2-4 g/L is coded as 0, less than 2 g/L as 1, and more than 4 g/L as 2.</w:t>
      </w:r>
    </w:p>
    <w:p w14:paraId="1529B794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D-dimer: ≤500 ng/mL is coded as 0, and more than 500 ng/mL as 1.</w:t>
      </w:r>
    </w:p>
    <w:p w14:paraId="7C746E98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TT ratio: 0.93-1.53 is coded as 0, less than 0.93 as 1, and more than 1.53 as 2.</w:t>
      </w:r>
    </w:p>
    <w:p w14:paraId="19C3C883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White blood cell count: 3.5-9.5 × 10^9/L is coded as 0, less than 3.5 × 10^9/L as 1, and more than 9.5 × 10^9/L as 2.</w:t>
      </w:r>
    </w:p>
    <w:p w14:paraId="06F016D8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Red blood cell count: 4.3-5.8 × 10^12/L is coded as 0, less than 4.3 × 10^12/L as 1, and more than 5.8 × 10^12/L as 2.</w:t>
      </w:r>
    </w:p>
    <w:p w14:paraId="43A91A5C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Mean corpuscular volume: 82-100 fL is coded as 0, less than 82 fL as 1, and more than 100 fL as 2.</w:t>
      </w:r>
    </w:p>
    <w:p w14:paraId="4965169C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Lymphocyte count: 1.1-3.2 × 10^9/L is coded as 0, less than 1.1 × 10^9/L as 1, and more than 3.2 × 10^9/L as 2.</w:t>
      </w:r>
    </w:p>
    <w:p w14:paraId="46213AAF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lastRenderedPageBreak/>
        <w:t>- Hemoglobin: 130-175 g/L is coded as 0, less than 130 g/L as 1, and more than 175 g/L as 2.</w:t>
      </w:r>
    </w:p>
    <w:p w14:paraId="03D52784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Platelet count: 125-350 × 10^9/L is coded as 0, less than 125 × 10^9/L as 1, and more than 350 × 10^9/L as 2.</w:t>
      </w:r>
    </w:p>
    <w:p w14:paraId="2359A190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Neutrophil count: 1.8-6.3 × 10^9/L is coded as 0, less than 1.8 × 10^9/L as 1, and more than 6.3 × 10^9/L as 2.</w:t>
      </w:r>
    </w:p>
    <w:p w14:paraId="4097C40A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Cholesterol: 2.32-5.62 mmol/L is coded as 0, less than 2.32 mmol/L as 1, and more than 5.62 mmol/L as 2.</w:t>
      </w:r>
    </w:p>
    <w:p w14:paraId="19488C5A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Low-density lipoprotein: Less than 3.37 mmol/L is coded as 0, and 3.37 mmol/L or higher as 1.</w:t>
      </w:r>
    </w:p>
    <w:p w14:paraId="0F3D0E92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High-density lipoprotein: 0.9-2.0 mmol/L is coded as 0, less than 0.9 mmol/L as 1, and more than 2.0 mmol/L as 2.</w:t>
      </w:r>
    </w:p>
    <w:p w14:paraId="3464C185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Triglycerides: 0.3-1.92 mmol/L is coded as 0, less than 0.3 mmol/L as 1, and more than 1.92 mmol/L as 2.</w:t>
      </w:r>
    </w:p>
    <w:p w14:paraId="1860D3ED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Aspartate aminotransferase: 15-40 U/L is coded as 0, less than 15 U/L as 1, and more than 40 U/L as 2.</w:t>
      </w:r>
    </w:p>
    <w:p w14:paraId="55AEDEF2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Alanine aminotransferase: 9-50 U/L is coded as 0, less than 9 U/L as 1, and more than 50 U/L as 2.</w:t>
      </w:r>
    </w:p>
    <w:p w14:paraId="30ABDE6E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Potassium: 3.5-5.3 mmol/L is coded as 0, less than 3.5 mmol/L as 1, and more than 5.3 mmol/L as 2.</w:t>
      </w:r>
    </w:p>
    <w:p w14:paraId="4C80E6BF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- Uric acid: 89.2-416 µmol/L is coded as 0, less than 89.2 µmol/L as 1, and more than 416 µmol/L as 2.</w:t>
      </w:r>
    </w:p>
    <w:p w14:paraId="0820FD7D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lastRenderedPageBreak/>
        <w:t>- Glucose: 3.9-6.16 mmol/L is coded as 0, less than 3.9 mmol/L as 1, and more than 6.16 mmol/L as 2.</w:t>
      </w:r>
    </w:p>
    <w:p w14:paraId="74A95E8D" w14:textId="77777777" w:rsidR="008972D1" w:rsidRPr="00074CFE" w:rsidRDefault="008972D1" w:rsidP="008972D1">
      <w:pPr>
        <w:widowControl/>
        <w:spacing w:line="480" w:lineRule="auto"/>
        <w:jc w:val="left"/>
        <w:rPr>
          <w:rFonts w:ascii="Arial" w:eastAsia="DengXian" w:hAnsi="Arial" w:cs="Arial"/>
          <w:noProof/>
          <w:sz w:val="24"/>
          <w:szCs w:val="24"/>
        </w:rPr>
      </w:pPr>
      <w:r w:rsidRPr="00074CFE">
        <w:rPr>
          <w:rFonts w:ascii="Arial" w:eastAsia="DengXian" w:hAnsi="Arial" w:cs="Arial"/>
          <w:noProof/>
          <w:sz w:val="24"/>
          <w:szCs w:val="24"/>
        </w:rPr>
        <w:t>In the laboratory indicators, a value of 0 denotes that the patient's laboratory result is within the normal range.</w:t>
      </w:r>
    </w:p>
    <w:p w14:paraId="05D67AA8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D1"/>
    <w:rsid w:val="00235F39"/>
    <w:rsid w:val="0038214D"/>
    <w:rsid w:val="008972D1"/>
    <w:rsid w:val="009156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5AC93"/>
  <w15:chartTrackingRefBased/>
  <w15:docId w15:val="{A0829C5B-7CDD-439C-A896-B645429ED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2D1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72D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72D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72D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72D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72D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72D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72D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72D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72D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2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72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72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72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72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72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72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72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72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72D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972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72D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972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72D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972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72D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972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72D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72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72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392</Words>
  <Characters>2237</Characters>
  <Application>Microsoft Office Word</Application>
  <DocSecurity>0</DocSecurity>
  <Lines>18</Lines>
  <Paragraphs>5</Paragraphs>
  <ScaleCrop>false</ScaleCrop>
  <Company>Springer Nature</Company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2025-04-14T18:31:00Z</dcterms:created>
  <dcterms:modified xsi:type="dcterms:W3CDTF">2025-04-14T18:32:00Z</dcterms:modified>
</cp:coreProperties>
</file>