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C5D" w:rsidRDefault="004E0DDC" w:rsidP="00F858BA">
      <w:pPr>
        <w:keepNext/>
        <w:keepLines/>
        <w:spacing w:before="240" w:after="200" w:line="480" w:lineRule="auto"/>
        <w:outlineLvl w:val="1"/>
        <w:rPr>
          <w:rFonts w:ascii="Times New Roman" w:eastAsia="宋体" w:hAnsi="Times New Roman" w:cs="Times New Roman"/>
          <w:b/>
          <w:bCs/>
          <w:kern w:val="44"/>
          <w:sz w:val="24"/>
          <w:szCs w:val="20"/>
        </w:rPr>
      </w:pPr>
      <w:r>
        <w:rPr>
          <w:rFonts w:ascii="Times New Roman" w:eastAsia="宋体" w:hAnsi="Times New Roman" w:cs="Times New Roman"/>
          <w:b/>
          <w:bCs/>
          <w:kern w:val="44"/>
          <w:sz w:val="24"/>
          <w:szCs w:val="20"/>
        </w:rPr>
        <w:t>Additional</w:t>
      </w:r>
      <w:r w:rsidR="006515CB">
        <w:rPr>
          <w:rFonts w:ascii="Times New Roman" w:eastAsia="宋体" w:hAnsi="Times New Roman" w:cs="Times New Roman" w:hint="eastAsia"/>
          <w:b/>
          <w:bCs/>
          <w:kern w:val="44"/>
          <w:sz w:val="24"/>
          <w:szCs w:val="20"/>
        </w:rPr>
        <w:t xml:space="preserve"> file 3: </w:t>
      </w:r>
    </w:p>
    <w:p w:rsidR="00AB16DB" w:rsidRPr="003A3FB2" w:rsidRDefault="00AB16DB" w:rsidP="00F858BA">
      <w:pPr>
        <w:keepNext/>
        <w:keepLines/>
        <w:spacing w:before="240" w:after="200" w:line="480" w:lineRule="auto"/>
        <w:outlineLvl w:val="1"/>
        <w:rPr>
          <w:rFonts w:ascii="Times New Roman" w:eastAsia="宋体" w:hAnsi="Times New Roman" w:cs="Times New Roman"/>
          <w:bCs/>
          <w:kern w:val="44"/>
          <w:sz w:val="24"/>
          <w:szCs w:val="20"/>
        </w:rPr>
      </w:pPr>
      <w:r w:rsidRPr="00F71716">
        <w:rPr>
          <w:rFonts w:ascii="Times New Roman" w:eastAsia="宋体" w:hAnsi="Times New Roman" w:cs="Times New Roman"/>
          <w:b/>
          <w:bCs/>
          <w:kern w:val="44"/>
          <w:sz w:val="24"/>
          <w:szCs w:val="20"/>
        </w:rPr>
        <w:t>Table S</w:t>
      </w:r>
      <w:r w:rsidR="00F71716" w:rsidRPr="00F71716">
        <w:rPr>
          <w:rFonts w:ascii="Times New Roman" w:eastAsia="宋体" w:hAnsi="Times New Roman" w:cs="Times New Roman" w:hint="eastAsia"/>
          <w:b/>
          <w:bCs/>
          <w:kern w:val="44"/>
          <w:sz w:val="24"/>
          <w:szCs w:val="20"/>
        </w:rPr>
        <w:t>3</w:t>
      </w:r>
      <w:r w:rsidRPr="00F71716">
        <w:rPr>
          <w:rFonts w:ascii="Times New Roman" w:eastAsia="宋体" w:hAnsi="Times New Roman" w:cs="Times New Roman" w:hint="eastAsia"/>
          <w:b/>
          <w:bCs/>
          <w:kern w:val="44"/>
          <w:sz w:val="24"/>
          <w:szCs w:val="20"/>
        </w:rPr>
        <w:t>.</w:t>
      </w:r>
      <w:r w:rsidR="00073128">
        <w:rPr>
          <w:rFonts w:ascii="Times New Roman" w:eastAsia="宋体" w:hAnsi="Times New Roman" w:cs="Times New Roman" w:hint="eastAsia"/>
          <w:b/>
          <w:bCs/>
          <w:kern w:val="44"/>
          <w:sz w:val="24"/>
          <w:szCs w:val="20"/>
        </w:rPr>
        <w:t xml:space="preserve"> </w:t>
      </w:r>
      <w:r w:rsidRPr="003A3FB2">
        <w:rPr>
          <w:rFonts w:ascii="Times New Roman" w:eastAsia="宋体" w:hAnsi="Times New Roman" w:cs="Times New Roman"/>
          <w:bCs/>
          <w:kern w:val="44"/>
          <w:sz w:val="24"/>
          <w:szCs w:val="20"/>
        </w:rPr>
        <w:t>Commercial kits for sensitivity, specificity and</w:t>
      </w:r>
      <w:r w:rsidR="00F06AD5">
        <w:rPr>
          <w:rFonts w:ascii="Times New Roman" w:eastAsia="宋体" w:hAnsi="Times New Roman" w:cs="Times New Roman" w:hint="eastAsia"/>
          <w:bCs/>
          <w:kern w:val="44"/>
          <w:sz w:val="24"/>
          <w:szCs w:val="20"/>
        </w:rPr>
        <w:t xml:space="preserve"> </w:t>
      </w:r>
      <w:r w:rsidRPr="003A3FB2">
        <w:rPr>
          <w:rFonts w:ascii="Times New Roman" w:eastAsia="宋体" w:hAnsi="Times New Roman" w:cs="Times New Roman"/>
          <w:bCs/>
          <w:kern w:val="44"/>
          <w:sz w:val="24"/>
          <w:szCs w:val="20"/>
        </w:rPr>
        <w:t>agreement comparison</w:t>
      </w:r>
    </w:p>
    <w:tbl>
      <w:tblPr>
        <w:tblW w:w="10185" w:type="dxa"/>
        <w:jc w:val="center"/>
        <w:tblLook w:val="04A0"/>
      </w:tblPr>
      <w:tblGrid>
        <w:gridCol w:w="2540"/>
        <w:gridCol w:w="2126"/>
        <w:gridCol w:w="2126"/>
        <w:gridCol w:w="2204"/>
        <w:gridCol w:w="1189"/>
      </w:tblGrid>
      <w:tr w:rsidR="00AB16DB" w:rsidRPr="00AF04C1" w:rsidTr="00D7777F">
        <w:trPr>
          <w:trHeight w:val="280"/>
          <w:jc w:val="center"/>
        </w:trPr>
        <w:tc>
          <w:tcPr>
            <w:tcW w:w="2540" w:type="dxa"/>
            <w:tcBorders>
              <w:top w:val="single" w:sz="8" w:space="0" w:color="auto"/>
              <w:left w:val="nil"/>
              <w:bottom w:val="single" w:sz="8" w:space="0" w:color="auto"/>
              <w:right w:val="nil"/>
            </w:tcBorders>
            <w:shd w:val="clear" w:color="auto" w:fill="auto"/>
            <w:noWrap/>
            <w:vAlign w:val="center"/>
            <w:hideMark/>
          </w:tcPr>
          <w:p w:rsidR="00AB16DB" w:rsidRPr="00AF04C1" w:rsidRDefault="00AB16DB" w:rsidP="00F858BA">
            <w:pPr>
              <w:widowControl/>
              <w:spacing w:line="480" w:lineRule="auto"/>
              <w:jc w:val="left"/>
              <w:rPr>
                <w:rFonts w:ascii="Times New Roman" w:eastAsia="宋体" w:hAnsi="Times New Roman" w:cs="Times New Roman"/>
                <w:color w:val="000000"/>
                <w:kern w:val="0"/>
                <w:sz w:val="24"/>
                <w:szCs w:val="24"/>
              </w:rPr>
            </w:pPr>
          </w:p>
        </w:tc>
        <w:tc>
          <w:tcPr>
            <w:tcW w:w="2126" w:type="dxa"/>
            <w:tcBorders>
              <w:top w:val="single" w:sz="8" w:space="0" w:color="auto"/>
              <w:left w:val="nil"/>
              <w:bottom w:val="single" w:sz="8" w:space="0" w:color="auto"/>
              <w:right w:val="nil"/>
            </w:tcBorders>
            <w:shd w:val="clear" w:color="auto" w:fill="auto"/>
            <w:noWrap/>
            <w:vAlign w:val="center"/>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Sensitivity</w:t>
            </w:r>
          </w:p>
        </w:tc>
        <w:tc>
          <w:tcPr>
            <w:tcW w:w="2126" w:type="dxa"/>
            <w:tcBorders>
              <w:top w:val="single" w:sz="8" w:space="0" w:color="auto"/>
              <w:left w:val="nil"/>
              <w:bottom w:val="single" w:sz="8" w:space="0" w:color="auto"/>
              <w:right w:val="nil"/>
            </w:tcBorders>
            <w:shd w:val="clear" w:color="auto" w:fill="auto"/>
            <w:noWrap/>
            <w:vAlign w:val="center"/>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Specificity</w:t>
            </w:r>
          </w:p>
        </w:tc>
        <w:tc>
          <w:tcPr>
            <w:tcW w:w="2204" w:type="dxa"/>
            <w:tcBorders>
              <w:top w:val="single" w:sz="8" w:space="0" w:color="auto"/>
              <w:left w:val="nil"/>
              <w:bottom w:val="single" w:sz="8" w:space="0" w:color="auto"/>
              <w:right w:val="nil"/>
            </w:tcBorders>
            <w:shd w:val="clear" w:color="auto" w:fill="auto"/>
            <w:noWrap/>
            <w:vAlign w:val="center"/>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Agreement</w:t>
            </w:r>
          </w:p>
        </w:tc>
        <w:tc>
          <w:tcPr>
            <w:tcW w:w="1189" w:type="dxa"/>
            <w:tcBorders>
              <w:top w:val="single" w:sz="8" w:space="0" w:color="auto"/>
              <w:left w:val="nil"/>
              <w:bottom w:val="single" w:sz="8" w:space="0" w:color="auto"/>
              <w:right w:val="nil"/>
            </w:tcBorders>
            <w:vAlign w:val="center"/>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Reference</w:t>
            </w:r>
          </w:p>
        </w:tc>
      </w:tr>
      <w:tr w:rsidR="00AB16DB" w:rsidRPr="00AF04C1" w:rsidTr="00D7777F">
        <w:trPr>
          <w:trHeight w:val="280"/>
          <w:jc w:val="center"/>
        </w:trPr>
        <w:tc>
          <w:tcPr>
            <w:tcW w:w="2540" w:type="dxa"/>
            <w:tcBorders>
              <w:top w:val="single" w:sz="8" w:space="0" w:color="auto"/>
              <w:left w:val="nil"/>
              <w:bottom w:val="single" w:sz="4" w:space="0" w:color="auto"/>
              <w:right w:val="nil"/>
            </w:tcBorders>
            <w:shd w:val="clear" w:color="auto" w:fill="auto"/>
            <w:noWrap/>
            <w:vAlign w:val="center"/>
            <w:hideMark/>
          </w:tcPr>
          <w:p w:rsidR="00AB16DB" w:rsidRPr="00AF04C1" w:rsidRDefault="00AB16DB" w:rsidP="00F858BA">
            <w:pPr>
              <w:widowControl/>
              <w:spacing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ICA kit</w:t>
            </w:r>
            <w:r w:rsidRPr="00AF04C1">
              <w:rPr>
                <w:rFonts w:ascii="Times New Roman" w:eastAsia="宋体" w:hAnsi="Times New Roman" w:cs="Times New Roman" w:hint="eastAsia"/>
                <w:color w:val="000000"/>
                <w:kern w:val="0"/>
                <w:sz w:val="24"/>
                <w:szCs w:val="24"/>
              </w:rPr>
              <w:t xml:space="preserve"> in </w:t>
            </w:r>
            <w:r w:rsidRPr="00AF04C1">
              <w:rPr>
                <w:rFonts w:ascii="Times New Roman" w:eastAsia="宋体" w:hAnsi="Times New Roman" w:cs="Times New Roman"/>
                <w:color w:val="000000"/>
                <w:kern w:val="0"/>
                <w:sz w:val="24"/>
                <w:szCs w:val="24"/>
              </w:rPr>
              <w:t>this study</w:t>
            </w:r>
          </w:p>
        </w:tc>
        <w:tc>
          <w:tcPr>
            <w:tcW w:w="2126" w:type="dxa"/>
            <w:tcBorders>
              <w:top w:val="single" w:sz="8" w:space="0" w:color="auto"/>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w:t>
            </w:r>
            <w:r w:rsidRPr="00AF04C1">
              <w:rPr>
                <w:rFonts w:ascii="Times New Roman" w:eastAsia="宋体" w:hAnsi="Times New Roman" w:cs="Times New Roman" w:hint="eastAsia"/>
                <w:color w:val="000000"/>
                <w:kern w:val="0"/>
                <w:sz w:val="24"/>
                <w:szCs w:val="24"/>
              </w:rPr>
              <w:t>80</w:t>
            </w:r>
            <w:r w:rsidRPr="00AF04C1">
              <w:rPr>
                <w:rFonts w:ascii="Times New Roman" w:eastAsia="宋体" w:hAnsi="Times New Roman" w:cs="Times New Roman"/>
                <w:color w:val="000000"/>
                <w:kern w:val="0"/>
                <w:sz w:val="24"/>
                <w:szCs w:val="24"/>
              </w:rPr>
              <w:t>/</w:t>
            </w:r>
            <w:r w:rsidRPr="00AF04C1">
              <w:rPr>
                <w:rFonts w:ascii="Times New Roman" w:eastAsia="宋体" w:hAnsi="Times New Roman" w:cs="Times New Roman" w:hint="eastAsia"/>
                <w:color w:val="000000"/>
                <w:kern w:val="0"/>
                <w:sz w:val="24"/>
                <w:szCs w:val="24"/>
              </w:rPr>
              <w:t>9</w:t>
            </w:r>
            <w:r w:rsidRPr="00AF04C1">
              <w:rPr>
                <w:rFonts w:ascii="Times New Roman" w:eastAsia="宋体" w:hAnsi="Times New Roman" w:cs="Times New Roman"/>
                <w:color w:val="000000"/>
                <w:kern w:val="0"/>
                <w:sz w:val="24"/>
                <w:szCs w:val="24"/>
              </w:rPr>
              <w:t>5) 8</w:t>
            </w:r>
            <w:r w:rsidRPr="00AF04C1">
              <w:rPr>
                <w:rFonts w:ascii="Times New Roman" w:eastAsia="宋体" w:hAnsi="Times New Roman" w:cs="Times New Roman" w:hint="eastAsia"/>
                <w:color w:val="000000"/>
                <w:kern w:val="0"/>
                <w:sz w:val="24"/>
                <w:szCs w:val="24"/>
              </w:rPr>
              <w:t>4</w:t>
            </w:r>
            <w:r w:rsidRPr="00AF04C1">
              <w:rPr>
                <w:rFonts w:ascii="Times New Roman" w:eastAsia="宋体" w:hAnsi="Times New Roman" w:cs="Times New Roman"/>
                <w:color w:val="000000"/>
                <w:kern w:val="0"/>
                <w:sz w:val="24"/>
                <w:szCs w:val="24"/>
              </w:rPr>
              <w:t>.</w:t>
            </w:r>
            <w:r w:rsidRPr="00AF04C1">
              <w:rPr>
                <w:rFonts w:ascii="Times New Roman" w:eastAsia="宋体" w:hAnsi="Times New Roman" w:cs="Times New Roman" w:hint="eastAsia"/>
                <w:color w:val="000000"/>
                <w:kern w:val="0"/>
                <w:sz w:val="24"/>
                <w:szCs w:val="24"/>
              </w:rPr>
              <w:t>2</w:t>
            </w:r>
            <w:r w:rsidRPr="00AF04C1">
              <w:rPr>
                <w:rFonts w:ascii="Times New Roman" w:eastAsia="宋体" w:hAnsi="Times New Roman" w:cs="Times New Roman"/>
                <w:color w:val="000000"/>
                <w:kern w:val="0"/>
                <w:sz w:val="24"/>
                <w:szCs w:val="24"/>
              </w:rPr>
              <w:t xml:space="preserve"> %</w:t>
            </w:r>
          </w:p>
        </w:tc>
        <w:tc>
          <w:tcPr>
            <w:tcW w:w="2126" w:type="dxa"/>
            <w:tcBorders>
              <w:top w:val="single" w:sz="8" w:space="0" w:color="auto"/>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w:t>
            </w:r>
            <w:r w:rsidRPr="00AF04C1">
              <w:rPr>
                <w:rFonts w:ascii="Times New Roman" w:eastAsia="宋体" w:hAnsi="Times New Roman" w:cs="Times New Roman" w:hint="eastAsia"/>
                <w:color w:val="000000"/>
                <w:kern w:val="0"/>
                <w:sz w:val="24"/>
                <w:szCs w:val="24"/>
              </w:rPr>
              <w:t>27</w:t>
            </w:r>
            <w:r w:rsidRPr="00AF04C1">
              <w:rPr>
                <w:rFonts w:ascii="Times New Roman" w:eastAsia="宋体" w:hAnsi="Times New Roman" w:cs="Times New Roman"/>
                <w:color w:val="000000"/>
                <w:kern w:val="0"/>
                <w:sz w:val="24"/>
                <w:szCs w:val="24"/>
              </w:rPr>
              <w:t>/</w:t>
            </w:r>
            <w:r w:rsidRPr="00AF04C1">
              <w:rPr>
                <w:rFonts w:ascii="Times New Roman" w:eastAsia="宋体" w:hAnsi="Times New Roman" w:cs="Times New Roman" w:hint="eastAsia"/>
                <w:color w:val="000000"/>
                <w:kern w:val="0"/>
                <w:sz w:val="24"/>
                <w:szCs w:val="24"/>
              </w:rPr>
              <w:t>27</w:t>
            </w:r>
            <w:r w:rsidRPr="00AF04C1">
              <w:rPr>
                <w:rFonts w:ascii="Times New Roman" w:eastAsia="宋体" w:hAnsi="Times New Roman" w:cs="Times New Roman"/>
                <w:color w:val="000000"/>
                <w:kern w:val="0"/>
                <w:sz w:val="24"/>
                <w:szCs w:val="24"/>
              </w:rPr>
              <w:t>) 100.0 %</w:t>
            </w:r>
          </w:p>
        </w:tc>
        <w:tc>
          <w:tcPr>
            <w:tcW w:w="2204" w:type="dxa"/>
            <w:tcBorders>
              <w:top w:val="single" w:sz="8" w:space="0" w:color="auto"/>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w:t>
            </w:r>
            <w:r w:rsidRPr="00AF04C1">
              <w:rPr>
                <w:rFonts w:ascii="Times New Roman" w:eastAsia="宋体" w:hAnsi="Times New Roman" w:cs="Times New Roman" w:hint="eastAsia"/>
                <w:color w:val="000000"/>
                <w:kern w:val="0"/>
                <w:sz w:val="24"/>
                <w:szCs w:val="24"/>
              </w:rPr>
              <w:t>107</w:t>
            </w:r>
            <w:r w:rsidRPr="00AF04C1">
              <w:rPr>
                <w:rFonts w:ascii="Times New Roman" w:eastAsia="宋体" w:hAnsi="Times New Roman" w:cs="Times New Roman"/>
                <w:color w:val="000000"/>
                <w:kern w:val="0"/>
                <w:sz w:val="24"/>
                <w:szCs w:val="24"/>
              </w:rPr>
              <w:t>/</w:t>
            </w:r>
            <w:r w:rsidRPr="00AF04C1">
              <w:rPr>
                <w:rFonts w:ascii="Times New Roman" w:eastAsia="宋体" w:hAnsi="Times New Roman" w:cs="Times New Roman" w:hint="eastAsia"/>
                <w:color w:val="000000"/>
                <w:kern w:val="0"/>
                <w:sz w:val="24"/>
                <w:szCs w:val="24"/>
              </w:rPr>
              <w:t>122</w:t>
            </w:r>
            <w:r w:rsidRPr="00AF04C1">
              <w:rPr>
                <w:rFonts w:ascii="Times New Roman" w:eastAsia="宋体" w:hAnsi="Times New Roman" w:cs="Times New Roman"/>
                <w:color w:val="000000"/>
                <w:kern w:val="0"/>
                <w:sz w:val="24"/>
                <w:szCs w:val="24"/>
              </w:rPr>
              <w:t>) 87.</w:t>
            </w:r>
            <w:r w:rsidRPr="00AF04C1">
              <w:rPr>
                <w:rFonts w:ascii="Times New Roman" w:eastAsia="宋体" w:hAnsi="Times New Roman" w:cs="Times New Roman" w:hint="eastAsia"/>
                <w:color w:val="000000"/>
                <w:kern w:val="0"/>
                <w:sz w:val="24"/>
                <w:szCs w:val="24"/>
              </w:rPr>
              <w:t>7</w:t>
            </w:r>
            <w:r w:rsidRPr="00AF04C1">
              <w:rPr>
                <w:rFonts w:ascii="Times New Roman" w:eastAsia="宋体" w:hAnsi="Times New Roman" w:cs="Times New Roman"/>
                <w:color w:val="000000"/>
                <w:kern w:val="0"/>
                <w:sz w:val="24"/>
                <w:szCs w:val="24"/>
              </w:rPr>
              <w:t xml:space="preserve"> %</w:t>
            </w:r>
          </w:p>
        </w:tc>
        <w:tc>
          <w:tcPr>
            <w:tcW w:w="1189" w:type="dxa"/>
            <w:tcBorders>
              <w:top w:val="single" w:sz="8" w:space="0" w:color="auto"/>
              <w:left w:val="nil"/>
              <w:bottom w:val="single" w:sz="4" w:space="0" w:color="auto"/>
              <w:right w:val="nil"/>
            </w:tcBorders>
            <w:vAlign w:val="center"/>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p>
        </w:tc>
      </w:tr>
      <w:tr w:rsidR="00AB16DB" w:rsidRPr="00AF04C1" w:rsidTr="00D7777F">
        <w:trPr>
          <w:trHeight w:val="280"/>
          <w:jc w:val="center"/>
        </w:trPr>
        <w:tc>
          <w:tcPr>
            <w:tcW w:w="2540" w:type="dxa"/>
            <w:vMerge w:val="restart"/>
            <w:tcBorders>
              <w:top w:val="single" w:sz="4" w:space="0" w:color="auto"/>
              <w:left w:val="nil"/>
              <w:bottom w:val="single" w:sz="4" w:space="0" w:color="auto"/>
              <w:right w:val="nil"/>
            </w:tcBorders>
            <w:shd w:val="clear" w:color="auto" w:fill="auto"/>
            <w:noWrap/>
            <w:vAlign w:val="center"/>
            <w:hideMark/>
          </w:tcPr>
          <w:p w:rsidR="00AB16DB" w:rsidRPr="00AF04C1" w:rsidRDefault="00AB16DB" w:rsidP="00F858BA">
            <w:pPr>
              <w:widowControl/>
              <w:spacing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 xml:space="preserve">IP-NoV kit </w:t>
            </w:r>
          </w:p>
        </w:tc>
        <w:tc>
          <w:tcPr>
            <w:tcW w:w="2126" w:type="dxa"/>
            <w:tcBorders>
              <w:top w:val="single" w:sz="4" w:space="0" w:color="auto"/>
              <w:left w:val="nil"/>
              <w:bottom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(14/19) 73.7 %</w:t>
            </w:r>
          </w:p>
        </w:tc>
        <w:tc>
          <w:tcPr>
            <w:tcW w:w="2126" w:type="dxa"/>
            <w:tcBorders>
              <w:top w:val="single" w:sz="4" w:space="0" w:color="auto"/>
              <w:left w:val="nil"/>
              <w:bottom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(10/10) 100.0 %</w:t>
            </w:r>
          </w:p>
        </w:tc>
        <w:tc>
          <w:tcPr>
            <w:tcW w:w="2204" w:type="dxa"/>
            <w:tcBorders>
              <w:top w:val="single" w:sz="4" w:space="0" w:color="auto"/>
              <w:left w:val="nil"/>
              <w:bottom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(24/19) 95.2 %</w:t>
            </w:r>
          </w:p>
        </w:tc>
        <w:tc>
          <w:tcPr>
            <w:tcW w:w="1189" w:type="dxa"/>
            <w:tcBorders>
              <w:top w:val="single" w:sz="4" w:space="0" w:color="auto"/>
              <w:left w:val="nil"/>
              <w:bottom w:val="nil"/>
              <w:right w:val="nil"/>
            </w:tcBorders>
            <w:vAlign w:val="center"/>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[1]</w:t>
            </w:r>
          </w:p>
        </w:tc>
      </w:tr>
      <w:tr w:rsidR="00AB16DB" w:rsidRPr="00AF04C1" w:rsidTr="00D7777F">
        <w:trPr>
          <w:trHeight w:val="280"/>
          <w:jc w:val="center"/>
        </w:trPr>
        <w:tc>
          <w:tcPr>
            <w:tcW w:w="2540" w:type="dxa"/>
            <w:vMerge/>
            <w:tcBorders>
              <w:top w:val="nil"/>
              <w:left w:val="nil"/>
              <w:bottom w:val="single" w:sz="4" w:space="0" w:color="auto"/>
              <w:right w:val="nil"/>
            </w:tcBorders>
            <w:vAlign w:val="center"/>
            <w:hideMark/>
          </w:tcPr>
          <w:p w:rsidR="00AB16DB" w:rsidRPr="00AF04C1" w:rsidRDefault="00AB16DB" w:rsidP="00F858BA">
            <w:pPr>
              <w:widowControl/>
              <w:spacing w:line="480" w:lineRule="auto"/>
              <w:jc w:val="left"/>
              <w:rPr>
                <w:rFonts w:ascii="Times New Roman" w:eastAsia="宋体" w:hAnsi="Times New Roman" w:cs="Times New Roman"/>
                <w:color w:val="000000"/>
                <w:kern w:val="0"/>
                <w:sz w:val="24"/>
                <w:szCs w:val="24"/>
              </w:rPr>
            </w:pPr>
          </w:p>
        </w:tc>
        <w:tc>
          <w:tcPr>
            <w:tcW w:w="2126" w:type="dxa"/>
            <w:tcBorders>
              <w:top w:val="nil"/>
              <w:left w:val="nil"/>
              <w:bottom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(24/33) 72.7 %</w:t>
            </w:r>
          </w:p>
        </w:tc>
        <w:tc>
          <w:tcPr>
            <w:tcW w:w="2126" w:type="dxa"/>
            <w:tcBorders>
              <w:top w:val="nil"/>
              <w:left w:val="nil"/>
              <w:bottom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(20/22) 90.9 %</w:t>
            </w:r>
          </w:p>
        </w:tc>
        <w:tc>
          <w:tcPr>
            <w:tcW w:w="2204" w:type="dxa"/>
            <w:tcBorders>
              <w:top w:val="nil"/>
              <w:left w:val="nil"/>
              <w:bottom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(44/55) 80.0 %</w:t>
            </w:r>
          </w:p>
        </w:tc>
        <w:tc>
          <w:tcPr>
            <w:tcW w:w="1189" w:type="dxa"/>
            <w:tcBorders>
              <w:top w:val="nil"/>
              <w:left w:val="nil"/>
              <w:bottom w:val="nil"/>
              <w:right w:val="nil"/>
            </w:tcBorders>
            <w:vAlign w:val="center"/>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[2]</w:t>
            </w:r>
          </w:p>
        </w:tc>
      </w:tr>
      <w:tr w:rsidR="00AB16DB" w:rsidRPr="00AF04C1" w:rsidTr="00D7777F">
        <w:trPr>
          <w:trHeight w:val="280"/>
          <w:jc w:val="center"/>
        </w:trPr>
        <w:tc>
          <w:tcPr>
            <w:tcW w:w="2540" w:type="dxa"/>
            <w:vMerge/>
            <w:tcBorders>
              <w:top w:val="nil"/>
              <w:left w:val="nil"/>
              <w:bottom w:val="single" w:sz="4" w:space="0" w:color="auto"/>
              <w:right w:val="nil"/>
            </w:tcBorders>
            <w:vAlign w:val="center"/>
            <w:hideMark/>
          </w:tcPr>
          <w:p w:rsidR="00AB16DB" w:rsidRPr="00AF04C1" w:rsidRDefault="00AB16DB" w:rsidP="00F858BA">
            <w:pPr>
              <w:widowControl/>
              <w:spacing w:line="480" w:lineRule="auto"/>
              <w:jc w:val="left"/>
              <w:rPr>
                <w:rFonts w:ascii="Times New Roman" w:eastAsia="宋体" w:hAnsi="Times New Roman" w:cs="Times New Roman"/>
                <w:color w:val="000000"/>
                <w:kern w:val="0"/>
                <w:sz w:val="24"/>
                <w:szCs w:val="24"/>
              </w:rPr>
            </w:pPr>
          </w:p>
        </w:tc>
        <w:tc>
          <w:tcPr>
            <w:tcW w:w="2126" w:type="dxa"/>
            <w:tcBorders>
              <w:top w:val="nil"/>
              <w:left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(46/62) 74.2 %</w:t>
            </w:r>
          </w:p>
        </w:tc>
        <w:tc>
          <w:tcPr>
            <w:tcW w:w="2126" w:type="dxa"/>
            <w:tcBorders>
              <w:top w:val="nil"/>
              <w:left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(399/401) 99.5 %</w:t>
            </w:r>
          </w:p>
        </w:tc>
        <w:tc>
          <w:tcPr>
            <w:tcW w:w="2204" w:type="dxa"/>
            <w:tcBorders>
              <w:top w:val="nil"/>
              <w:left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(445/463) 96.1 %</w:t>
            </w:r>
          </w:p>
        </w:tc>
        <w:tc>
          <w:tcPr>
            <w:tcW w:w="1189" w:type="dxa"/>
            <w:tcBorders>
              <w:top w:val="nil"/>
              <w:left w:val="nil"/>
              <w:right w:val="nil"/>
            </w:tcBorders>
            <w:vAlign w:val="center"/>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[3]</w:t>
            </w:r>
          </w:p>
        </w:tc>
      </w:tr>
      <w:tr w:rsidR="00AB16DB" w:rsidRPr="00AF04C1" w:rsidTr="00D7777F">
        <w:trPr>
          <w:trHeight w:val="280"/>
          <w:jc w:val="center"/>
        </w:trPr>
        <w:tc>
          <w:tcPr>
            <w:tcW w:w="2540" w:type="dxa"/>
            <w:vMerge/>
            <w:tcBorders>
              <w:top w:val="nil"/>
              <w:left w:val="nil"/>
              <w:bottom w:val="single" w:sz="4" w:space="0" w:color="auto"/>
              <w:right w:val="nil"/>
            </w:tcBorders>
            <w:vAlign w:val="center"/>
            <w:hideMark/>
          </w:tcPr>
          <w:p w:rsidR="00AB16DB" w:rsidRPr="00AF04C1" w:rsidRDefault="00AB16DB" w:rsidP="00F858BA">
            <w:pPr>
              <w:widowControl/>
              <w:spacing w:line="480" w:lineRule="auto"/>
              <w:jc w:val="left"/>
              <w:rPr>
                <w:rFonts w:ascii="Times New Roman" w:eastAsia="宋体" w:hAnsi="Times New Roman" w:cs="Times New Roman"/>
                <w:color w:val="000000"/>
                <w:kern w:val="0"/>
                <w:sz w:val="24"/>
                <w:szCs w:val="24"/>
              </w:rPr>
            </w:pPr>
          </w:p>
        </w:tc>
        <w:tc>
          <w:tcPr>
            <w:tcW w:w="2126" w:type="dxa"/>
            <w:tcBorders>
              <w:top w:val="nil"/>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(90/114) 78.9 %</w:t>
            </w:r>
          </w:p>
        </w:tc>
        <w:tc>
          <w:tcPr>
            <w:tcW w:w="2126" w:type="dxa"/>
            <w:tcBorders>
              <w:top w:val="nil"/>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(375/389) 96.4 %</w:t>
            </w:r>
          </w:p>
        </w:tc>
        <w:tc>
          <w:tcPr>
            <w:tcW w:w="2204" w:type="dxa"/>
            <w:tcBorders>
              <w:top w:val="nil"/>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(465/503) 92.4 %</w:t>
            </w:r>
          </w:p>
        </w:tc>
        <w:tc>
          <w:tcPr>
            <w:tcW w:w="1189" w:type="dxa"/>
            <w:tcBorders>
              <w:top w:val="nil"/>
              <w:left w:val="nil"/>
              <w:bottom w:val="single" w:sz="4" w:space="0" w:color="auto"/>
              <w:right w:val="nil"/>
            </w:tcBorders>
            <w:vAlign w:val="center"/>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[4]</w:t>
            </w:r>
          </w:p>
        </w:tc>
      </w:tr>
      <w:tr w:rsidR="00AB16DB" w:rsidRPr="00AF04C1" w:rsidTr="00D7777F">
        <w:trPr>
          <w:trHeight w:val="280"/>
          <w:jc w:val="center"/>
        </w:trPr>
        <w:tc>
          <w:tcPr>
            <w:tcW w:w="2540" w:type="dxa"/>
            <w:tcBorders>
              <w:top w:val="single" w:sz="4" w:space="0" w:color="auto"/>
              <w:left w:val="nil"/>
              <w:bottom w:val="single" w:sz="4" w:space="0" w:color="auto"/>
              <w:right w:val="nil"/>
            </w:tcBorders>
            <w:shd w:val="clear" w:color="auto" w:fill="auto"/>
            <w:noWrap/>
            <w:vAlign w:val="center"/>
            <w:hideMark/>
          </w:tcPr>
          <w:p w:rsidR="00AB16DB" w:rsidRPr="00AF04C1" w:rsidRDefault="00AB16DB" w:rsidP="00F858BA">
            <w:pPr>
              <w:widowControl/>
              <w:spacing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QuickEx-Norovirus</w:t>
            </w:r>
          </w:p>
        </w:tc>
        <w:tc>
          <w:tcPr>
            <w:tcW w:w="2126" w:type="dxa"/>
            <w:tcBorders>
              <w:top w:val="single" w:sz="4" w:space="0" w:color="auto"/>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(24/44) 54.5 %</w:t>
            </w:r>
          </w:p>
        </w:tc>
        <w:tc>
          <w:tcPr>
            <w:tcW w:w="2126" w:type="dxa"/>
            <w:tcBorders>
              <w:top w:val="single" w:sz="4" w:space="0" w:color="auto"/>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(40/43) 93.0 %</w:t>
            </w:r>
          </w:p>
        </w:tc>
        <w:tc>
          <w:tcPr>
            <w:tcW w:w="2204" w:type="dxa"/>
            <w:tcBorders>
              <w:top w:val="single" w:sz="4" w:space="0" w:color="auto"/>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(64/87) 73.6 %</w:t>
            </w:r>
          </w:p>
        </w:tc>
        <w:tc>
          <w:tcPr>
            <w:tcW w:w="1189" w:type="dxa"/>
            <w:tcBorders>
              <w:top w:val="single" w:sz="4" w:space="0" w:color="auto"/>
              <w:left w:val="nil"/>
              <w:bottom w:val="single" w:sz="4" w:space="0" w:color="auto"/>
              <w:right w:val="nil"/>
            </w:tcBorders>
            <w:vAlign w:val="center"/>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[5]</w:t>
            </w:r>
          </w:p>
        </w:tc>
      </w:tr>
      <w:tr w:rsidR="00AB16DB" w:rsidRPr="00AF04C1" w:rsidTr="00D7777F">
        <w:trPr>
          <w:trHeight w:val="310"/>
          <w:jc w:val="center"/>
        </w:trPr>
        <w:tc>
          <w:tcPr>
            <w:tcW w:w="2540" w:type="dxa"/>
            <w:vMerge w:val="restart"/>
            <w:tcBorders>
              <w:top w:val="single" w:sz="4" w:space="0" w:color="auto"/>
              <w:left w:val="nil"/>
              <w:bottom w:val="single" w:sz="4" w:space="0" w:color="auto"/>
              <w:right w:val="nil"/>
            </w:tcBorders>
            <w:shd w:val="clear" w:color="auto" w:fill="auto"/>
            <w:noWrap/>
            <w:vAlign w:val="center"/>
            <w:hideMark/>
          </w:tcPr>
          <w:p w:rsidR="00AB16DB" w:rsidRPr="00AF04C1" w:rsidRDefault="00AB16DB" w:rsidP="00F858BA">
            <w:pPr>
              <w:widowControl/>
              <w:spacing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RIDA® QUICK</w:t>
            </w:r>
          </w:p>
        </w:tc>
        <w:tc>
          <w:tcPr>
            <w:tcW w:w="2126" w:type="dxa"/>
            <w:tcBorders>
              <w:top w:val="single" w:sz="4" w:space="0" w:color="auto"/>
              <w:left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(66/80) 82.5 %</w:t>
            </w:r>
          </w:p>
        </w:tc>
        <w:tc>
          <w:tcPr>
            <w:tcW w:w="2126" w:type="dxa"/>
            <w:tcBorders>
              <w:top w:val="single" w:sz="4" w:space="0" w:color="auto"/>
              <w:left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(100/100) 100.0 %</w:t>
            </w:r>
          </w:p>
        </w:tc>
        <w:tc>
          <w:tcPr>
            <w:tcW w:w="2204" w:type="dxa"/>
            <w:tcBorders>
              <w:top w:val="single" w:sz="4" w:space="0" w:color="auto"/>
              <w:left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(166/180) 92.2 %</w:t>
            </w:r>
          </w:p>
        </w:tc>
        <w:tc>
          <w:tcPr>
            <w:tcW w:w="1189" w:type="dxa"/>
            <w:tcBorders>
              <w:top w:val="single" w:sz="4" w:space="0" w:color="auto"/>
              <w:left w:val="nil"/>
              <w:right w:val="nil"/>
            </w:tcBorders>
            <w:vAlign w:val="center"/>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[6]</w:t>
            </w:r>
          </w:p>
        </w:tc>
      </w:tr>
      <w:tr w:rsidR="00AB16DB" w:rsidRPr="00AF04C1" w:rsidTr="00D7777F">
        <w:trPr>
          <w:trHeight w:val="310"/>
          <w:jc w:val="center"/>
        </w:trPr>
        <w:tc>
          <w:tcPr>
            <w:tcW w:w="2540" w:type="dxa"/>
            <w:vMerge/>
            <w:tcBorders>
              <w:top w:val="nil"/>
              <w:left w:val="nil"/>
              <w:bottom w:val="single" w:sz="4" w:space="0" w:color="auto"/>
              <w:right w:val="nil"/>
            </w:tcBorders>
            <w:vAlign w:val="center"/>
            <w:hideMark/>
          </w:tcPr>
          <w:p w:rsidR="00AB16DB" w:rsidRPr="00AF04C1" w:rsidRDefault="00AB16DB" w:rsidP="00F858BA">
            <w:pPr>
              <w:widowControl/>
              <w:spacing w:line="480" w:lineRule="auto"/>
              <w:jc w:val="left"/>
              <w:rPr>
                <w:rFonts w:ascii="Times New Roman" w:eastAsia="宋体" w:hAnsi="Times New Roman" w:cs="Times New Roman"/>
                <w:color w:val="000000"/>
                <w:kern w:val="0"/>
                <w:sz w:val="24"/>
                <w:szCs w:val="24"/>
              </w:rPr>
            </w:pPr>
          </w:p>
        </w:tc>
        <w:tc>
          <w:tcPr>
            <w:tcW w:w="2126" w:type="dxa"/>
            <w:tcBorders>
              <w:top w:val="nil"/>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(66/96) 68.8 %</w:t>
            </w:r>
          </w:p>
        </w:tc>
        <w:tc>
          <w:tcPr>
            <w:tcW w:w="2126" w:type="dxa"/>
            <w:tcBorders>
              <w:top w:val="nil"/>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(59/60) 98.3 %</w:t>
            </w:r>
          </w:p>
        </w:tc>
        <w:tc>
          <w:tcPr>
            <w:tcW w:w="2204" w:type="dxa"/>
            <w:tcBorders>
              <w:top w:val="nil"/>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(125/156) 80.1 %</w:t>
            </w:r>
          </w:p>
        </w:tc>
        <w:tc>
          <w:tcPr>
            <w:tcW w:w="1189" w:type="dxa"/>
            <w:tcBorders>
              <w:top w:val="nil"/>
              <w:left w:val="nil"/>
              <w:bottom w:val="single" w:sz="4" w:space="0" w:color="auto"/>
              <w:right w:val="nil"/>
            </w:tcBorders>
            <w:vAlign w:val="center"/>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[7]</w:t>
            </w:r>
          </w:p>
        </w:tc>
      </w:tr>
      <w:tr w:rsidR="00AB16DB" w:rsidRPr="00AF04C1" w:rsidTr="00D7777F">
        <w:trPr>
          <w:trHeight w:val="310"/>
          <w:jc w:val="center"/>
        </w:trPr>
        <w:tc>
          <w:tcPr>
            <w:tcW w:w="2540" w:type="dxa"/>
            <w:vMerge w:val="restart"/>
            <w:tcBorders>
              <w:top w:val="single" w:sz="4" w:space="0" w:color="auto"/>
              <w:left w:val="nil"/>
              <w:bottom w:val="single" w:sz="4" w:space="0" w:color="auto"/>
              <w:right w:val="nil"/>
            </w:tcBorders>
            <w:shd w:val="clear" w:color="auto" w:fill="auto"/>
            <w:noWrap/>
            <w:vAlign w:val="center"/>
            <w:hideMark/>
          </w:tcPr>
          <w:p w:rsidR="00AB16DB" w:rsidRPr="00AF04C1" w:rsidRDefault="00AB16DB" w:rsidP="00F858BA">
            <w:pPr>
              <w:widowControl/>
              <w:spacing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RIDA® QUICK</w:t>
            </w:r>
          </w:p>
          <w:p w:rsidR="00AB16DB" w:rsidRPr="00AF04C1" w:rsidRDefault="00AB16DB" w:rsidP="00F858BA">
            <w:pPr>
              <w:widowControl/>
              <w:spacing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(N1402)</w:t>
            </w:r>
          </w:p>
        </w:tc>
        <w:tc>
          <w:tcPr>
            <w:tcW w:w="2126" w:type="dxa"/>
            <w:tcBorders>
              <w:top w:val="single" w:sz="4" w:space="0" w:color="auto"/>
              <w:left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(87/100) 87.0 %</w:t>
            </w:r>
          </w:p>
        </w:tc>
        <w:tc>
          <w:tcPr>
            <w:tcW w:w="2126" w:type="dxa"/>
            <w:tcBorders>
              <w:top w:val="single" w:sz="4" w:space="0" w:color="auto"/>
              <w:left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(97/100) 97.0 %</w:t>
            </w:r>
          </w:p>
        </w:tc>
        <w:tc>
          <w:tcPr>
            <w:tcW w:w="2204" w:type="dxa"/>
            <w:tcBorders>
              <w:top w:val="single" w:sz="4" w:space="0" w:color="auto"/>
              <w:left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(184/200) 92.0 %</w:t>
            </w:r>
          </w:p>
        </w:tc>
        <w:tc>
          <w:tcPr>
            <w:tcW w:w="1189" w:type="dxa"/>
            <w:tcBorders>
              <w:top w:val="single" w:sz="4" w:space="0" w:color="auto"/>
              <w:left w:val="nil"/>
              <w:right w:val="nil"/>
            </w:tcBorders>
            <w:vAlign w:val="center"/>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[8]</w:t>
            </w:r>
          </w:p>
        </w:tc>
      </w:tr>
      <w:tr w:rsidR="00AB16DB" w:rsidRPr="00AF04C1" w:rsidTr="00D7777F">
        <w:trPr>
          <w:trHeight w:val="310"/>
          <w:jc w:val="center"/>
        </w:trPr>
        <w:tc>
          <w:tcPr>
            <w:tcW w:w="2540" w:type="dxa"/>
            <w:vMerge/>
            <w:tcBorders>
              <w:top w:val="nil"/>
              <w:left w:val="nil"/>
              <w:bottom w:val="single" w:sz="4" w:space="0" w:color="auto"/>
              <w:right w:val="nil"/>
            </w:tcBorders>
            <w:vAlign w:val="center"/>
            <w:hideMark/>
          </w:tcPr>
          <w:p w:rsidR="00AB16DB" w:rsidRPr="00AF04C1" w:rsidRDefault="00AB16DB" w:rsidP="00F858BA">
            <w:pPr>
              <w:widowControl/>
              <w:spacing w:line="480" w:lineRule="auto"/>
              <w:jc w:val="left"/>
              <w:rPr>
                <w:rFonts w:ascii="Times New Roman" w:eastAsia="宋体" w:hAnsi="Times New Roman" w:cs="Times New Roman"/>
                <w:color w:val="000000"/>
                <w:kern w:val="0"/>
                <w:sz w:val="24"/>
                <w:szCs w:val="24"/>
              </w:rPr>
            </w:pPr>
          </w:p>
        </w:tc>
        <w:tc>
          <w:tcPr>
            <w:tcW w:w="2126" w:type="dxa"/>
            <w:tcBorders>
              <w:top w:val="nil"/>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(91/125) 72.8 %</w:t>
            </w:r>
          </w:p>
        </w:tc>
        <w:tc>
          <w:tcPr>
            <w:tcW w:w="2126" w:type="dxa"/>
            <w:tcBorders>
              <w:top w:val="nil"/>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(640/643) 99.5 %</w:t>
            </w:r>
          </w:p>
        </w:tc>
        <w:tc>
          <w:tcPr>
            <w:tcW w:w="2204" w:type="dxa"/>
            <w:tcBorders>
              <w:top w:val="nil"/>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(731/768) 95.2 %</w:t>
            </w:r>
          </w:p>
        </w:tc>
        <w:tc>
          <w:tcPr>
            <w:tcW w:w="1189" w:type="dxa"/>
            <w:tcBorders>
              <w:top w:val="nil"/>
              <w:left w:val="nil"/>
              <w:bottom w:val="single" w:sz="4" w:space="0" w:color="auto"/>
              <w:right w:val="nil"/>
            </w:tcBorders>
            <w:vAlign w:val="center"/>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[9]</w:t>
            </w:r>
          </w:p>
        </w:tc>
      </w:tr>
      <w:tr w:rsidR="00AB16DB" w:rsidRPr="00AF04C1" w:rsidTr="00D7777F">
        <w:trPr>
          <w:trHeight w:val="280"/>
          <w:jc w:val="center"/>
        </w:trPr>
        <w:tc>
          <w:tcPr>
            <w:tcW w:w="2540" w:type="dxa"/>
            <w:tcBorders>
              <w:top w:val="single" w:sz="4" w:space="0" w:color="auto"/>
              <w:left w:val="nil"/>
              <w:bottom w:val="single" w:sz="4" w:space="0" w:color="auto"/>
              <w:right w:val="nil"/>
            </w:tcBorders>
            <w:shd w:val="clear" w:color="auto" w:fill="auto"/>
            <w:noWrap/>
            <w:vAlign w:val="center"/>
            <w:hideMark/>
          </w:tcPr>
          <w:p w:rsidR="00AB16DB" w:rsidRPr="00AF04C1" w:rsidRDefault="00AB16DB" w:rsidP="00F858BA">
            <w:pPr>
              <w:widowControl/>
              <w:spacing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ImmunoSearch NV kit</w:t>
            </w:r>
          </w:p>
        </w:tc>
        <w:tc>
          <w:tcPr>
            <w:tcW w:w="2126" w:type="dxa"/>
            <w:tcBorders>
              <w:top w:val="single" w:sz="4" w:space="0" w:color="auto"/>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(46/61) 75.4 %</w:t>
            </w:r>
          </w:p>
        </w:tc>
        <w:tc>
          <w:tcPr>
            <w:tcW w:w="2126" w:type="dxa"/>
            <w:tcBorders>
              <w:top w:val="single" w:sz="4" w:space="0" w:color="auto"/>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(14/14) 100.0 %</w:t>
            </w:r>
          </w:p>
        </w:tc>
        <w:tc>
          <w:tcPr>
            <w:tcW w:w="2204" w:type="dxa"/>
            <w:tcBorders>
              <w:top w:val="single" w:sz="4" w:space="0" w:color="auto"/>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(60/75) 80.0 %</w:t>
            </w:r>
          </w:p>
        </w:tc>
        <w:tc>
          <w:tcPr>
            <w:tcW w:w="1189" w:type="dxa"/>
            <w:tcBorders>
              <w:top w:val="single" w:sz="4" w:space="0" w:color="auto"/>
              <w:left w:val="nil"/>
              <w:bottom w:val="single" w:sz="4" w:space="0" w:color="auto"/>
              <w:right w:val="nil"/>
            </w:tcBorders>
            <w:vAlign w:val="center"/>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[10]</w:t>
            </w:r>
          </w:p>
        </w:tc>
      </w:tr>
      <w:tr w:rsidR="00AB16DB" w:rsidRPr="00AF04C1" w:rsidTr="00D7777F">
        <w:trPr>
          <w:trHeight w:val="280"/>
          <w:jc w:val="center"/>
        </w:trPr>
        <w:tc>
          <w:tcPr>
            <w:tcW w:w="2540" w:type="dxa"/>
            <w:tcBorders>
              <w:top w:val="single" w:sz="4" w:space="0" w:color="auto"/>
              <w:left w:val="nil"/>
              <w:bottom w:val="single" w:sz="4" w:space="0" w:color="auto"/>
              <w:right w:val="nil"/>
            </w:tcBorders>
            <w:shd w:val="clear" w:color="auto" w:fill="auto"/>
            <w:noWrap/>
            <w:vAlign w:val="center"/>
            <w:hideMark/>
          </w:tcPr>
          <w:p w:rsidR="00AB16DB" w:rsidRPr="00AF04C1" w:rsidRDefault="00AB16DB" w:rsidP="00F858BA">
            <w:pPr>
              <w:widowControl/>
              <w:spacing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NOROTOP+</w:t>
            </w:r>
          </w:p>
        </w:tc>
        <w:tc>
          <w:tcPr>
            <w:tcW w:w="2126" w:type="dxa"/>
            <w:tcBorders>
              <w:top w:val="single" w:sz="4" w:space="0" w:color="auto"/>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(76/148) 51.4 %</w:t>
            </w:r>
          </w:p>
        </w:tc>
        <w:tc>
          <w:tcPr>
            <w:tcW w:w="2126" w:type="dxa"/>
            <w:tcBorders>
              <w:top w:val="single" w:sz="4" w:space="0" w:color="auto"/>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hint="eastAsia"/>
                <w:color w:val="000000"/>
                <w:kern w:val="0"/>
                <w:sz w:val="24"/>
                <w:szCs w:val="24"/>
              </w:rPr>
              <w:t>（</w:t>
            </w:r>
            <w:r w:rsidRPr="00AF04C1">
              <w:rPr>
                <w:rFonts w:ascii="Times New Roman" w:eastAsia="宋体" w:hAnsi="Times New Roman" w:cs="Times New Roman"/>
                <w:color w:val="000000"/>
                <w:kern w:val="0"/>
                <w:sz w:val="24"/>
                <w:szCs w:val="24"/>
              </w:rPr>
              <w:t>25/25) 100.0 %</w:t>
            </w:r>
          </w:p>
        </w:tc>
        <w:tc>
          <w:tcPr>
            <w:tcW w:w="2204" w:type="dxa"/>
            <w:tcBorders>
              <w:top w:val="single" w:sz="4" w:space="0" w:color="auto"/>
              <w:left w:val="nil"/>
              <w:bottom w:val="single" w:sz="4"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(101/173) 58.4 %</w:t>
            </w:r>
          </w:p>
        </w:tc>
        <w:tc>
          <w:tcPr>
            <w:tcW w:w="1189" w:type="dxa"/>
            <w:tcBorders>
              <w:top w:val="single" w:sz="4" w:space="0" w:color="auto"/>
              <w:left w:val="nil"/>
              <w:bottom w:val="single" w:sz="4" w:space="0" w:color="auto"/>
              <w:right w:val="nil"/>
            </w:tcBorders>
            <w:vAlign w:val="center"/>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[11]</w:t>
            </w:r>
          </w:p>
        </w:tc>
      </w:tr>
      <w:tr w:rsidR="00AB16DB" w:rsidRPr="00AF04C1" w:rsidTr="00D7777F">
        <w:trPr>
          <w:trHeight w:val="280"/>
          <w:jc w:val="center"/>
        </w:trPr>
        <w:tc>
          <w:tcPr>
            <w:tcW w:w="2540" w:type="dxa"/>
            <w:vMerge w:val="restart"/>
            <w:tcBorders>
              <w:top w:val="single" w:sz="4" w:space="0" w:color="auto"/>
              <w:left w:val="nil"/>
              <w:bottom w:val="single" w:sz="8" w:space="0" w:color="auto"/>
              <w:right w:val="nil"/>
            </w:tcBorders>
            <w:shd w:val="clear" w:color="auto" w:fill="auto"/>
            <w:noWrap/>
            <w:vAlign w:val="center"/>
            <w:hideMark/>
          </w:tcPr>
          <w:p w:rsidR="00AB16DB" w:rsidRPr="00AF04C1" w:rsidRDefault="00AB16DB" w:rsidP="00F858BA">
            <w:pPr>
              <w:widowControl/>
              <w:spacing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SD Bioline Norovirus</w:t>
            </w:r>
          </w:p>
        </w:tc>
        <w:tc>
          <w:tcPr>
            <w:tcW w:w="2126" w:type="dxa"/>
            <w:tcBorders>
              <w:top w:val="single" w:sz="4" w:space="0" w:color="auto"/>
              <w:left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(52/68) 76.5 %</w:t>
            </w:r>
          </w:p>
        </w:tc>
        <w:tc>
          <w:tcPr>
            <w:tcW w:w="2126" w:type="dxa"/>
            <w:tcBorders>
              <w:top w:val="single" w:sz="4" w:space="0" w:color="auto"/>
              <w:left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(342/343) 99.7 %</w:t>
            </w:r>
          </w:p>
        </w:tc>
        <w:tc>
          <w:tcPr>
            <w:tcW w:w="2204" w:type="dxa"/>
            <w:tcBorders>
              <w:top w:val="single" w:sz="4" w:space="0" w:color="auto"/>
              <w:left w:val="nil"/>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(394/411) 95.9 %</w:t>
            </w:r>
          </w:p>
        </w:tc>
        <w:tc>
          <w:tcPr>
            <w:tcW w:w="1189" w:type="dxa"/>
            <w:tcBorders>
              <w:top w:val="single" w:sz="4" w:space="0" w:color="auto"/>
              <w:left w:val="nil"/>
              <w:right w:val="nil"/>
            </w:tcBorders>
            <w:vAlign w:val="center"/>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[12]</w:t>
            </w:r>
          </w:p>
        </w:tc>
      </w:tr>
      <w:tr w:rsidR="00AB16DB" w:rsidRPr="00AF04C1" w:rsidTr="00D7777F">
        <w:trPr>
          <w:trHeight w:val="280"/>
          <w:jc w:val="center"/>
        </w:trPr>
        <w:tc>
          <w:tcPr>
            <w:tcW w:w="2540" w:type="dxa"/>
            <w:vMerge/>
            <w:tcBorders>
              <w:top w:val="single" w:sz="4" w:space="0" w:color="auto"/>
              <w:left w:val="nil"/>
              <w:bottom w:val="single" w:sz="8" w:space="0" w:color="auto"/>
              <w:right w:val="nil"/>
            </w:tcBorders>
            <w:shd w:val="clear" w:color="auto" w:fill="auto"/>
            <w:noWrap/>
            <w:vAlign w:val="center"/>
            <w:hideMark/>
          </w:tcPr>
          <w:p w:rsidR="00AB16DB" w:rsidRPr="00AF04C1" w:rsidRDefault="00AB16DB" w:rsidP="00F858BA">
            <w:pPr>
              <w:widowControl/>
              <w:spacing w:line="480" w:lineRule="auto"/>
              <w:rPr>
                <w:rFonts w:ascii="Times New Roman" w:eastAsia="宋体" w:hAnsi="Times New Roman" w:cs="Times New Roman"/>
                <w:color w:val="000000"/>
                <w:kern w:val="0"/>
                <w:sz w:val="24"/>
                <w:szCs w:val="24"/>
              </w:rPr>
            </w:pPr>
          </w:p>
        </w:tc>
        <w:tc>
          <w:tcPr>
            <w:tcW w:w="2126" w:type="dxa"/>
            <w:tcBorders>
              <w:top w:val="nil"/>
              <w:left w:val="nil"/>
              <w:bottom w:val="single" w:sz="8"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(83/92) 90.2 %</w:t>
            </w:r>
          </w:p>
        </w:tc>
        <w:tc>
          <w:tcPr>
            <w:tcW w:w="2126" w:type="dxa"/>
            <w:tcBorders>
              <w:top w:val="nil"/>
              <w:left w:val="nil"/>
              <w:bottom w:val="single" w:sz="8"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(126/126) 100.0 %</w:t>
            </w:r>
          </w:p>
        </w:tc>
        <w:tc>
          <w:tcPr>
            <w:tcW w:w="2204" w:type="dxa"/>
            <w:tcBorders>
              <w:top w:val="nil"/>
              <w:left w:val="nil"/>
              <w:bottom w:val="single" w:sz="8" w:space="0" w:color="auto"/>
              <w:right w:val="nil"/>
            </w:tcBorders>
            <w:shd w:val="clear" w:color="auto" w:fill="auto"/>
            <w:noWrap/>
            <w:vAlign w:val="bottom"/>
            <w:hideMark/>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(209/218) 95.9 %</w:t>
            </w:r>
          </w:p>
        </w:tc>
        <w:tc>
          <w:tcPr>
            <w:tcW w:w="1189" w:type="dxa"/>
            <w:tcBorders>
              <w:top w:val="nil"/>
              <w:left w:val="nil"/>
              <w:bottom w:val="single" w:sz="8" w:space="0" w:color="auto"/>
              <w:right w:val="nil"/>
            </w:tcBorders>
            <w:vAlign w:val="center"/>
          </w:tcPr>
          <w:p w:rsidR="00AB16DB" w:rsidRPr="00AF04C1" w:rsidRDefault="00AB16DB" w:rsidP="00F858BA">
            <w:pPr>
              <w:widowControl/>
              <w:spacing w:line="480" w:lineRule="auto"/>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[13]</w:t>
            </w:r>
          </w:p>
        </w:tc>
      </w:tr>
    </w:tbl>
    <w:p w:rsidR="00AB16DB" w:rsidRPr="00AF04C1" w:rsidRDefault="00AB16DB" w:rsidP="00F858BA">
      <w:pPr>
        <w:autoSpaceDE w:val="0"/>
        <w:autoSpaceDN w:val="0"/>
        <w:adjustRightInd w:val="0"/>
        <w:spacing w:before="240" w:after="240" w:line="480" w:lineRule="auto"/>
        <w:rPr>
          <w:rFonts w:ascii="Times New Roman" w:eastAsia="宋体" w:hAnsi="Times New Roman" w:cs="Times New Roman"/>
          <w:color w:val="000000"/>
          <w:kern w:val="0"/>
          <w:sz w:val="24"/>
          <w:szCs w:val="24"/>
        </w:rPr>
      </w:pPr>
    </w:p>
    <w:p w:rsidR="00AB16DB" w:rsidRPr="00AF04C1" w:rsidRDefault="00AB16DB" w:rsidP="00F858BA">
      <w:pPr>
        <w:autoSpaceDE w:val="0"/>
        <w:autoSpaceDN w:val="0"/>
        <w:adjustRightInd w:val="0"/>
        <w:spacing w:before="240" w:after="240" w:line="480" w:lineRule="auto"/>
        <w:ind w:left="777"/>
        <w:jc w:val="center"/>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Reference</w:t>
      </w:r>
    </w:p>
    <w:p w:rsidR="00AB16DB" w:rsidRPr="00AF04C1" w:rsidRDefault="00AB16DB" w:rsidP="00F858BA">
      <w:pPr>
        <w:numPr>
          <w:ilvl w:val="0"/>
          <w:numId w:val="1"/>
        </w:numPr>
        <w:autoSpaceDE w:val="0"/>
        <w:autoSpaceDN w:val="0"/>
        <w:adjustRightInd w:val="0"/>
        <w:spacing w:before="240" w:after="240"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 xml:space="preserve">Nguyen TA, Khamrin P, Takanashi S, Le Hoang P, Pham le D, Hoang KT, </w:t>
      </w:r>
      <w:r w:rsidRPr="00AF04C1">
        <w:rPr>
          <w:rFonts w:ascii="Times New Roman" w:eastAsia="宋体" w:hAnsi="Times New Roman" w:cs="Times New Roman"/>
          <w:color w:val="000000"/>
          <w:kern w:val="0"/>
          <w:sz w:val="24"/>
          <w:szCs w:val="24"/>
        </w:rPr>
        <w:lastRenderedPageBreak/>
        <w:t>Satou K, Masuoka Y, Okitsu S, Ushijima H. Evaluation of immunochromatography tests for detection of rotavirus and norovirus among Vietnamese children with acute gastroenteritis and the emergence of a novel norovirus GII.4 variant. J Trop Pediatr. 2007;53(4):264-9. doi: 10.1093/tropej/fmm021</w:t>
      </w:r>
    </w:p>
    <w:p w:rsidR="00AB16DB" w:rsidRPr="00AF04C1" w:rsidRDefault="00AB16DB" w:rsidP="00F858BA">
      <w:pPr>
        <w:numPr>
          <w:ilvl w:val="0"/>
          <w:numId w:val="1"/>
        </w:numPr>
        <w:autoSpaceDE w:val="0"/>
        <w:autoSpaceDN w:val="0"/>
        <w:adjustRightInd w:val="0"/>
        <w:spacing w:before="240" w:after="240"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Okame M, Yan H, Akihara S, Okitsu S, Tani H, Matsuura Y, Ushijima H.Evaluation of a newly developed immunochromatographic method for detection ofnorovirus. KansenshogakuZasshi. 2003;77(8):637-9.doi: 10.11150/kansenshogakuzasshi1970.77.637</w:t>
      </w:r>
    </w:p>
    <w:p w:rsidR="00AB16DB" w:rsidRPr="00AF04C1" w:rsidRDefault="00AB16DB" w:rsidP="00F858BA">
      <w:pPr>
        <w:numPr>
          <w:ilvl w:val="0"/>
          <w:numId w:val="1"/>
        </w:numPr>
        <w:autoSpaceDE w:val="0"/>
        <w:autoSpaceDN w:val="0"/>
        <w:adjustRightInd w:val="0"/>
        <w:spacing w:before="240" w:after="240"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Thongprachum A, Khamrin P, Chaimongkol N, Malasao R, Okitsu S, Mizuguchi M,Maneekarn N, Ushijima H. Evaluation of an immunochromatography method for rapiddetection of noroviruses in clinical specimens in Thailand. J Med Virol. 2010;82(12):2106-9.doi: 10.1002/jmv.21916</w:t>
      </w:r>
    </w:p>
    <w:p w:rsidR="00AB16DB" w:rsidRPr="00AF04C1" w:rsidRDefault="00AB16DB" w:rsidP="00F858BA">
      <w:pPr>
        <w:numPr>
          <w:ilvl w:val="0"/>
          <w:numId w:val="1"/>
        </w:numPr>
        <w:autoSpaceDE w:val="0"/>
        <w:autoSpaceDN w:val="0"/>
        <w:adjustRightInd w:val="0"/>
        <w:spacing w:before="240" w:after="240"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Khamrin P, Nguyen TA, Phan TG, Satou K, Masuoka Y, Okitsu S, ManeekarnN,Nishio O, Ushijima H. Evaluation of immunochromatography and commercialenzyme-linked immunosorbent assay for rapid detection of norovirus antigen instool samples. J Virol Methods. 2008;147(2):360-3.doi: 10.1016/j.jviromet.2007.09.007</w:t>
      </w:r>
    </w:p>
    <w:p w:rsidR="00AB16DB" w:rsidRPr="00AF04C1" w:rsidRDefault="00AB16DB" w:rsidP="00F858BA">
      <w:pPr>
        <w:numPr>
          <w:ilvl w:val="0"/>
          <w:numId w:val="1"/>
        </w:numPr>
        <w:autoSpaceDE w:val="0"/>
        <w:autoSpaceDN w:val="0"/>
        <w:adjustRightInd w:val="0"/>
        <w:spacing w:before="240" w:after="240"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 xml:space="preserve">Mutoh K, Hakamata A, Yagi H, Kurokawa K, Miki N, Kurita I. Evaluation of newcommercial immunochromatography kit for norovirus in feces. PediatrInt. </w:t>
      </w:r>
      <w:r w:rsidRPr="00AF04C1">
        <w:rPr>
          <w:rFonts w:ascii="Times New Roman" w:eastAsia="宋体" w:hAnsi="Times New Roman" w:cs="Times New Roman"/>
          <w:color w:val="000000"/>
          <w:kern w:val="0"/>
          <w:sz w:val="24"/>
          <w:szCs w:val="24"/>
        </w:rPr>
        <w:lastRenderedPageBreak/>
        <w:t>2009;51(1):164-6. doi: 10.1111/j.1442-200X.2008.02788.x.</w:t>
      </w:r>
    </w:p>
    <w:p w:rsidR="00AB16DB" w:rsidRPr="00AF04C1" w:rsidRDefault="00AB16DB" w:rsidP="00F858BA">
      <w:pPr>
        <w:numPr>
          <w:ilvl w:val="0"/>
          <w:numId w:val="1"/>
        </w:numPr>
        <w:autoSpaceDE w:val="0"/>
        <w:autoSpaceDN w:val="0"/>
        <w:adjustRightInd w:val="0"/>
        <w:spacing w:before="240" w:after="240"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Bruggink LD, Witlox KJ, Sameer R, Catton MG, Marshall JA. Evaluation of theRIDA(®)QUICK immunochromatographic norovirus detection assay using specimens fromAustralian gastroenteritis incidents. J Virol Methods. 2011;173(1):121-6.doi: 10.1016/j.jviromet.2011.01.017.</w:t>
      </w:r>
    </w:p>
    <w:p w:rsidR="00AB16DB" w:rsidRPr="00AF04C1" w:rsidRDefault="00AB16DB" w:rsidP="00F858BA">
      <w:pPr>
        <w:numPr>
          <w:ilvl w:val="0"/>
          <w:numId w:val="1"/>
        </w:numPr>
        <w:autoSpaceDE w:val="0"/>
        <w:autoSpaceDN w:val="0"/>
        <w:adjustRightInd w:val="0"/>
        <w:spacing w:before="240" w:after="240"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Kirby A, Gurgel RQ, Dove W, Vieira SC, Cunliffe NA, Cuevas LE. An evaluationof the RIDASCREEN and IDEIA enzyme immunoassays and the RIDAQUICKimmunochromatographic test for the detection of norovirus in faecal specimens. J Clin Virol. 2010;49(4):254-7. doi: 10.1016/j.jcv.2010.08.004.</w:t>
      </w:r>
    </w:p>
    <w:p w:rsidR="00AB16DB" w:rsidRPr="00AF04C1" w:rsidRDefault="00AB16DB" w:rsidP="00F858BA">
      <w:pPr>
        <w:numPr>
          <w:ilvl w:val="0"/>
          <w:numId w:val="1"/>
        </w:numPr>
        <w:autoSpaceDE w:val="0"/>
        <w:autoSpaceDN w:val="0"/>
        <w:adjustRightInd w:val="0"/>
        <w:spacing w:before="240" w:after="240"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Bruggink LD, Dunbar NL, Marshall JA. Evaluation of the updated RIDA®QUICK (Version N1402) immunochromatographic assay for the detection of norovirus in clinical specimens. J Virol Methods. 2015;223:82-7. doi: 10.1016/j.jviromet.2015.07.019.</w:t>
      </w:r>
    </w:p>
    <w:p w:rsidR="00AB16DB" w:rsidRPr="00AF04C1" w:rsidRDefault="00AB16DB" w:rsidP="00F858BA">
      <w:pPr>
        <w:numPr>
          <w:ilvl w:val="0"/>
          <w:numId w:val="1"/>
        </w:numPr>
        <w:autoSpaceDE w:val="0"/>
        <w:autoSpaceDN w:val="0"/>
        <w:adjustRightInd w:val="0"/>
        <w:spacing w:before="240" w:after="240"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Jonckheere S, Botteldoorn N, Vandecandelaere P, Frans J, Laffut W, Coppens G, Vankeerberghen A, De Beenhouwer H. Multicenter evaluation of the revised RIDA®QUICK test (N1402) for rapid detection of norovirus in a diagnostic laboratorysetting. Diagn Microbiol Infect Dis. 2017;88(1):31-35. doi:10.1016/j.diagmicrobio.2017.02.006.</w:t>
      </w:r>
    </w:p>
    <w:p w:rsidR="00AB16DB" w:rsidRPr="00AF04C1" w:rsidRDefault="00AB16DB" w:rsidP="00F858BA">
      <w:pPr>
        <w:numPr>
          <w:ilvl w:val="0"/>
          <w:numId w:val="1"/>
        </w:numPr>
        <w:autoSpaceDE w:val="0"/>
        <w:autoSpaceDN w:val="0"/>
        <w:adjustRightInd w:val="0"/>
        <w:spacing w:before="240" w:after="240"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 xml:space="preserve">Khamrin P, Takanashi S, Chan-It W, Kobayashi M, Nishimura S, Katsumata </w:t>
      </w:r>
      <w:r w:rsidRPr="00AF04C1">
        <w:rPr>
          <w:rFonts w:ascii="Times New Roman" w:eastAsia="宋体" w:hAnsi="Times New Roman" w:cs="Times New Roman"/>
          <w:color w:val="000000"/>
          <w:kern w:val="0"/>
          <w:sz w:val="24"/>
          <w:szCs w:val="24"/>
        </w:rPr>
        <w:lastRenderedPageBreak/>
        <w:t>N, Okitsu S, Maneekarn N, Nishio O, Ushijima H. Immunochromatography test for rapid detection of norovirus in fecal specimens. J Virol Methods. 2009;157(2):219-22. doi: 10.1016/j.jviromet.2008.12.012</w:t>
      </w:r>
    </w:p>
    <w:p w:rsidR="00AB16DB" w:rsidRPr="00AF04C1" w:rsidRDefault="00AB16DB" w:rsidP="00F858BA">
      <w:pPr>
        <w:numPr>
          <w:ilvl w:val="0"/>
          <w:numId w:val="1"/>
        </w:numPr>
        <w:autoSpaceDE w:val="0"/>
        <w:autoSpaceDN w:val="0"/>
        <w:adjustRightInd w:val="0"/>
        <w:spacing w:before="240" w:after="240"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Ambert-Balay K, Pothier P. Evaluation of 4 immunochromatographic tests for rapid detection of norovirus in faecal samples. J Clin Virol. 2013;56(3):194-8. doi: 10.1016/j.jcv.2012.11.001</w:t>
      </w:r>
    </w:p>
    <w:p w:rsidR="00AB16DB" w:rsidRPr="00AF04C1" w:rsidRDefault="00AB16DB" w:rsidP="00F858BA">
      <w:pPr>
        <w:numPr>
          <w:ilvl w:val="0"/>
          <w:numId w:val="1"/>
        </w:numPr>
        <w:autoSpaceDE w:val="0"/>
        <w:autoSpaceDN w:val="0"/>
        <w:adjustRightInd w:val="0"/>
        <w:spacing w:before="240" w:after="240"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Park KS, Baek KA, Kim DU, Kwon KS, Bing SH, Park JS, Nam HS, Lee SH, Choi YJ. Evaluation of a new immunochromatographic assay kit for the rapid detection of norovirus in fecal specimens. Ann Lab Med. 2012;32(1):79-81. doi: 10.3343/alm.2012.32.1.79</w:t>
      </w:r>
    </w:p>
    <w:p w:rsidR="007F3953" w:rsidRPr="00B149F7" w:rsidRDefault="00AB16DB" w:rsidP="00F858BA">
      <w:pPr>
        <w:numPr>
          <w:ilvl w:val="0"/>
          <w:numId w:val="1"/>
        </w:numPr>
        <w:autoSpaceDE w:val="0"/>
        <w:autoSpaceDN w:val="0"/>
        <w:adjustRightInd w:val="0"/>
        <w:spacing w:before="240" w:after="240" w:line="480" w:lineRule="auto"/>
        <w:jc w:val="left"/>
        <w:rPr>
          <w:rFonts w:ascii="Times New Roman" w:eastAsia="宋体" w:hAnsi="Times New Roman" w:cs="Times New Roman"/>
          <w:color w:val="000000"/>
          <w:kern w:val="0"/>
          <w:sz w:val="24"/>
          <w:szCs w:val="24"/>
        </w:rPr>
      </w:pPr>
      <w:r w:rsidRPr="00AF04C1">
        <w:rPr>
          <w:rFonts w:ascii="Times New Roman" w:eastAsia="宋体" w:hAnsi="Times New Roman" w:cs="Times New Roman"/>
          <w:color w:val="000000"/>
          <w:kern w:val="0"/>
          <w:sz w:val="24"/>
          <w:szCs w:val="24"/>
        </w:rPr>
        <w:t>Kim HS, Hyun J, Kim JS, Song W, Kang HJ, Lee KM. Evaluation of the SD Bioline Norovirus rapid immunochromatography test using fecal specimens from Korean gastroenteritis patients. J Virol Methods. 2012;186(1-2):94-8. doi: 10.1016/j.jviromet.2012.08.014</w:t>
      </w:r>
    </w:p>
    <w:sectPr w:rsidR="007F3953" w:rsidRPr="00B149F7" w:rsidSect="00F858BA">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5AE8" w:rsidRDefault="000B5AE8" w:rsidP="00AB16DB">
      <w:r>
        <w:separator/>
      </w:r>
    </w:p>
  </w:endnote>
  <w:endnote w:type="continuationSeparator" w:id="1">
    <w:p w:rsidR="000B5AE8" w:rsidRDefault="000B5AE8" w:rsidP="00AB16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5AE8" w:rsidRDefault="000B5AE8" w:rsidP="00AB16DB">
      <w:r>
        <w:separator/>
      </w:r>
    </w:p>
  </w:footnote>
  <w:footnote w:type="continuationSeparator" w:id="1">
    <w:p w:rsidR="000B5AE8" w:rsidRDefault="000B5AE8" w:rsidP="00AB16D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F3181C"/>
    <w:multiLevelType w:val="hybridMultilevel"/>
    <w:tmpl w:val="5F14EA5C"/>
    <w:lvl w:ilvl="0" w:tplc="6EDA0774">
      <w:start w:val="1"/>
      <w:numFmt w:val="decimal"/>
      <w:lvlText w:val="%1."/>
      <w:lvlJc w:val="left"/>
      <w:pPr>
        <w:ind w:left="777" w:hanging="420"/>
      </w:pPr>
      <w:rPr>
        <w:rFonts w:hint="eastAsia"/>
      </w:rPr>
    </w:lvl>
    <w:lvl w:ilvl="1" w:tplc="04090019" w:tentative="1">
      <w:start w:val="1"/>
      <w:numFmt w:val="lowerLetter"/>
      <w:lvlText w:val="%2)"/>
      <w:lvlJc w:val="left"/>
      <w:pPr>
        <w:ind w:left="1197" w:hanging="420"/>
      </w:pPr>
    </w:lvl>
    <w:lvl w:ilvl="2" w:tplc="0409001B" w:tentative="1">
      <w:start w:val="1"/>
      <w:numFmt w:val="lowerRoman"/>
      <w:lvlText w:val="%3."/>
      <w:lvlJc w:val="right"/>
      <w:pPr>
        <w:ind w:left="1617" w:hanging="420"/>
      </w:pPr>
    </w:lvl>
    <w:lvl w:ilvl="3" w:tplc="0409000F" w:tentative="1">
      <w:start w:val="1"/>
      <w:numFmt w:val="decimal"/>
      <w:lvlText w:val="%4."/>
      <w:lvlJc w:val="left"/>
      <w:pPr>
        <w:ind w:left="2037" w:hanging="420"/>
      </w:pPr>
    </w:lvl>
    <w:lvl w:ilvl="4" w:tplc="04090019" w:tentative="1">
      <w:start w:val="1"/>
      <w:numFmt w:val="lowerLetter"/>
      <w:lvlText w:val="%5)"/>
      <w:lvlJc w:val="left"/>
      <w:pPr>
        <w:ind w:left="2457" w:hanging="420"/>
      </w:pPr>
    </w:lvl>
    <w:lvl w:ilvl="5" w:tplc="0409001B" w:tentative="1">
      <w:start w:val="1"/>
      <w:numFmt w:val="lowerRoman"/>
      <w:lvlText w:val="%6."/>
      <w:lvlJc w:val="right"/>
      <w:pPr>
        <w:ind w:left="2877" w:hanging="420"/>
      </w:pPr>
    </w:lvl>
    <w:lvl w:ilvl="6" w:tplc="0409000F" w:tentative="1">
      <w:start w:val="1"/>
      <w:numFmt w:val="decimal"/>
      <w:lvlText w:val="%7."/>
      <w:lvlJc w:val="left"/>
      <w:pPr>
        <w:ind w:left="3297" w:hanging="420"/>
      </w:pPr>
    </w:lvl>
    <w:lvl w:ilvl="7" w:tplc="04090019" w:tentative="1">
      <w:start w:val="1"/>
      <w:numFmt w:val="lowerLetter"/>
      <w:lvlText w:val="%8)"/>
      <w:lvlJc w:val="left"/>
      <w:pPr>
        <w:ind w:left="3717" w:hanging="420"/>
      </w:pPr>
    </w:lvl>
    <w:lvl w:ilvl="8" w:tplc="0409001B" w:tentative="1">
      <w:start w:val="1"/>
      <w:numFmt w:val="lowerRoman"/>
      <w:lvlText w:val="%9."/>
      <w:lvlJc w:val="right"/>
      <w:pPr>
        <w:ind w:left="4137"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B16DB"/>
    <w:rsid w:val="00073128"/>
    <w:rsid w:val="000B5AE8"/>
    <w:rsid w:val="00285C5D"/>
    <w:rsid w:val="003A3FB2"/>
    <w:rsid w:val="004E0DDC"/>
    <w:rsid w:val="00574480"/>
    <w:rsid w:val="006515CB"/>
    <w:rsid w:val="007F3953"/>
    <w:rsid w:val="008D2108"/>
    <w:rsid w:val="00A90209"/>
    <w:rsid w:val="00AB16DB"/>
    <w:rsid w:val="00B01D84"/>
    <w:rsid w:val="00B149F7"/>
    <w:rsid w:val="00BD5620"/>
    <w:rsid w:val="00C61BEF"/>
    <w:rsid w:val="00D44EE8"/>
    <w:rsid w:val="00F06AD5"/>
    <w:rsid w:val="00F71716"/>
    <w:rsid w:val="00F858B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6D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B16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B16DB"/>
    <w:rPr>
      <w:sz w:val="18"/>
      <w:szCs w:val="18"/>
    </w:rPr>
  </w:style>
  <w:style w:type="paragraph" w:styleId="a4">
    <w:name w:val="footer"/>
    <w:basedOn w:val="a"/>
    <w:link w:val="Char0"/>
    <w:uiPriority w:val="99"/>
    <w:unhideWhenUsed/>
    <w:rsid w:val="00AB16DB"/>
    <w:pPr>
      <w:tabs>
        <w:tab w:val="center" w:pos="4153"/>
        <w:tab w:val="right" w:pos="8306"/>
      </w:tabs>
      <w:snapToGrid w:val="0"/>
      <w:jc w:val="left"/>
    </w:pPr>
    <w:rPr>
      <w:sz w:val="18"/>
      <w:szCs w:val="18"/>
    </w:rPr>
  </w:style>
  <w:style w:type="character" w:customStyle="1" w:styleId="Char0">
    <w:name w:val="页脚 Char"/>
    <w:basedOn w:val="a0"/>
    <w:link w:val="a4"/>
    <w:uiPriority w:val="99"/>
    <w:rsid w:val="00AB16DB"/>
    <w:rPr>
      <w:sz w:val="18"/>
      <w:szCs w:val="18"/>
    </w:rPr>
  </w:style>
  <w:style w:type="paragraph" w:styleId="a5">
    <w:name w:val="Document Map"/>
    <w:basedOn w:val="a"/>
    <w:link w:val="Char1"/>
    <w:uiPriority w:val="99"/>
    <w:semiHidden/>
    <w:unhideWhenUsed/>
    <w:rsid w:val="00AB16DB"/>
    <w:rPr>
      <w:rFonts w:ascii="宋体" w:eastAsia="宋体"/>
      <w:sz w:val="18"/>
      <w:szCs w:val="18"/>
    </w:rPr>
  </w:style>
  <w:style w:type="character" w:customStyle="1" w:styleId="Char1">
    <w:name w:val="文档结构图 Char"/>
    <w:basedOn w:val="a0"/>
    <w:link w:val="a5"/>
    <w:uiPriority w:val="99"/>
    <w:semiHidden/>
    <w:rsid w:val="00AB16DB"/>
    <w:rPr>
      <w:rFonts w:ascii="宋体" w:eastAsia="宋体"/>
      <w:sz w:val="18"/>
      <w:szCs w:val="18"/>
    </w:rPr>
  </w:style>
  <w:style w:type="character" w:styleId="a6">
    <w:name w:val="line number"/>
    <w:basedOn w:val="a0"/>
    <w:uiPriority w:val="99"/>
    <w:semiHidden/>
    <w:unhideWhenUsed/>
    <w:rsid w:val="00F858B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671</Words>
  <Characters>3827</Characters>
  <Application>Microsoft Office Word</Application>
  <DocSecurity>0</DocSecurity>
  <Lines>31</Lines>
  <Paragraphs>8</Paragraphs>
  <ScaleCrop>false</ScaleCrop>
  <Company>admin</Company>
  <LinksUpToDate>false</LinksUpToDate>
  <CharactersWithSpaces>4490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11</cp:revision>
  <dcterms:created xsi:type="dcterms:W3CDTF">2020-08-04T09:02:00Z</dcterms:created>
  <dcterms:modified xsi:type="dcterms:W3CDTF">2020-11-16T13:26:00Z</dcterms:modified>
</cp:coreProperties>
</file>