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221D" w:rsidRDefault="001E221D" w:rsidP="001E221D">
      <w:pPr>
        <w:spacing w:after="0" w:line="480" w:lineRule="auto"/>
        <w:rPr>
          <w:rFonts w:cstheme="minorHAnsi"/>
          <w:sz w:val="24"/>
          <w:szCs w:val="24"/>
        </w:rPr>
      </w:pPr>
      <w:r w:rsidRPr="009674DB">
        <w:rPr>
          <w:rFonts w:cstheme="minorHAnsi"/>
          <w:b/>
          <w:sz w:val="24"/>
          <w:szCs w:val="24"/>
        </w:rPr>
        <w:t>A</w:t>
      </w:r>
      <w:r>
        <w:rPr>
          <w:rFonts w:cstheme="minorHAnsi"/>
          <w:b/>
          <w:sz w:val="24"/>
          <w:szCs w:val="24"/>
        </w:rPr>
        <w:t>PPENDIX:</w:t>
      </w:r>
      <w:r w:rsidRPr="009674DB">
        <w:rPr>
          <w:rFonts w:cstheme="minorHAnsi"/>
          <w:b/>
          <w:sz w:val="24"/>
          <w:szCs w:val="24"/>
        </w:rPr>
        <w:t xml:space="preserve"> Bias-corrected SIRs</w:t>
      </w:r>
    </w:p>
    <w:p w:rsidR="001E221D" w:rsidRPr="009674DB" w:rsidRDefault="001E221D" w:rsidP="001E221D">
      <w:pPr>
        <w:spacing w:after="0" w:line="480" w:lineRule="auto"/>
        <w:jc w:val="both"/>
        <w:rPr>
          <w:rFonts w:cstheme="minorHAnsi"/>
          <w:sz w:val="24"/>
          <w:szCs w:val="24"/>
        </w:rPr>
      </w:pPr>
      <w:r w:rsidRPr="009674DB">
        <w:rPr>
          <w:rFonts w:cstheme="minorHAnsi"/>
          <w:sz w:val="24"/>
          <w:szCs w:val="24"/>
        </w:rPr>
        <w:t>In the main part of this paper</w:t>
      </w:r>
      <w:r>
        <w:rPr>
          <w:rFonts w:cstheme="minorHAnsi"/>
          <w:sz w:val="24"/>
          <w:szCs w:val="24"/>
        </w:rPr>
        <w:t>,</w:t>
      </w:r>
      <w:r w:rsidRPr="009674DB">
        <w:rPr>
          <w:rFonts w:cstheme="minorHAnsi"/>
          <w:sz w:val="24"/>
          <w:szCs w:val="24"/>
        </w:rPr>
        <w:t xml:space="preserve"> we compute standardized incidence ratios (SIR) and standardized mortality ratios (SMR) for 13 individual cancers, as well as all cancers combined and all non-skin cancers combined. It is possible that some SIRs may be subject to detection and intervention biases, which may tend to result in higher SIRs and potentially lower SMRs. </w:t>
      </w:r>
      <w:r>
        <w:rPr>
          <w:rFonts w:cstheme="minorHAnsi"/>
          <w:sz w:val="24"/>
          <w:szCs w:val="24"/>
        </w:rPr>
        <w:t>Therefore, w</w:t>
      </w:r>
      <w:r w:rsidRPr="009674DB">
        <w:rPr>
          <w:rFonts w:cstheme="minorHAnsi"/>
          <w:sz w:val="24"/>
          <w:szCs w:val="24"/>
        </w:rPr>
        <w:t xml:space="preserve">e also computed composite SIRs that attempt to correct for these potential biases. To do so, we computed “bias-adjusted” composite SIRs using two different methods. </w:t>
      </w:r>
      <w:r>
        <w:rPr>
          <w:rFonts w:cstheme="minorHAnsi"/>
          <w:sz w:val="24"/>
          <w:szCs w:val="24"/>
        </w:rPr>
        <w:t>Both</w:t>
      </w:r>
      <w:r w:rsidRPr="009674DB">
        <w:rPr>
          <w:rFonts w:cstheme="minorHAnsi"/>
          <w:sz w:val="24"/>
          <w:szCs w:val="24"/>
        </w:rPr>
        <w:t xml:space="preserve"> of these analyses may be thought of as a type of sensitivity analysis which examines the impact of hypothesized detection biases on composite risk estimates.</w:t>
      </w:r>
    </w:p>
    <w:p w:rsidR="001E221D" w:rsidRPr="009674DB" w:rsidRDefault="001E221D" w:rsidP="001E221D">
      <w:pPr>
        <w:spacing w:after="0" w:line="480" w:lineRule="auto"/>
        <w:ind w:firstLine="567"/>
        <w:jc w:val="both"/>
        <w:rPr>
          <w:rFonts w:cstheme="minorHAnsi"/>
          <w:sz w:val="24"/>
          <w:szCs w:val="24"/>
        </w:rPr>
      </w:pPr>
      <w:r w:rsidRPr="009674DB">
        <w:rPr>
          <w:rFonts w:cstheme="minorHAnsi"/>
          <w:sz w:val="24"/>
          <w:szCs w:val="24"/>
        </w:rPr>
        <w:t xml:space="preserve">Cancers that we suspect may have been subject to such detection bias were </w:t>
      </w:r>
      <w:r>
        <w:rPr>
          <w:rFonts w:cstheme="minorHAnsi"/>
          <w:sz w:val="24"/>
          <w:szCs w:val="24"/>
        </w:rPr>
        <w:t xml:space="preserve">hematological and those of the </w:t>
      </w:r>
      <w:r w:rsidRPr="009674DB">
        <w:rPr>
          <w:rFonts w:cstheme="minorHAnsi"/>
          <w:sz w:val="24"/>
          <w:szCs w:val="24"/>
        </w:rPr>
        <w:t>colon and prostate. The first method adjusts observed tumor counts for these cancers to match those expected based on general population incidence rates (matched for age-, sex-, race-</w:t>
      </w:r>
      <w:r>
        <w:rPr>
          <w:rFonts w:cstheme="minorHAnsi"/>
          <w:sz w:val="24"/>
          <w:szCs w:val="24"/>
        </w:rPr>
        <w:t>,</w:t>
      </w:r>
      <w:r w:rsidRPr="009674DB">
        <w:rPr>
          <w:rFonts w:cstheme="minorHAnsi"/>
          <w:sz w:val="24"/>
          <w:szCs w:val="24"/>
        </w:rPr>
        <w:t xml:space="preserve"> and calendar-year). This is equivalent to multiplying individual cancer case counts by a bias factor equal to the inverse of the SIR. This method will therefore yield SIRs exactly equal to 1 and assumes that all excess incidence is attributable only to detection bias.</w:t>
      </w:r>
    </w:p>
    <w:p w:rsidR="001E221D" w:rsidRPr="009674DB" w:rsidRDefault="001E221D" w:rsidP="001E221D">
      <w:pPr>
        <w:spacing w:after="0" w:line="480" w:lineRule="auto"/>
        <w:ind w:firstLine="567"/>
        <w:jc w:val="both"/>
        <w:rPr>
          <w:rFonts w:cstheme="minorHAnsi"/>
          <w:sz w:val="24"/>
          <w:szCs w:val="24"/>
        </w:rPr>
      </w:pPr>
      <w:r w:rsidRPr="009674DB">
        <w:rPr>
          <w:rFonts w:cstheme="minorHAnsi"/>
          <w:sz w:val="24"/>
          <w:szCs w:val="24"/>
        </w:rPr>
        <w:t>The second method adjusts observed tumor counts so that the resulting SIR matches the corresponding SMR. The motivation for this method is that if an excess number of tumors is being identified by virtue of hyper</w:t>
      </w:r>
      <w:r>
        <w:rPr>
          <w:rFonts w:cstheme="minorHAnsi"/>
          <w:sz w:val="24"/>
          <w:szCs w:val="24"/>
        </w:rPr>
        <w:t>-</w:t>
      </w:r>
      <w:r w:rsidRPr="009674DB">
        <w:rPr>
          <w:rFonts w:cstheme="minorHAnsi"/>
          <w:sz w:val="24"/>
          <w:szCs w:val="24"/>
        </w:rPr>
        <w:t xml:space="preserve">vigilant surveillance, for example, this may result in tumors being identified at earlier stages, thus reducing the SMR. Adjusting observed tumor counts to force the SIR to match the SMR is equivalent to multiplying individual cancer case counts and SIRs by the ratio of cancer-specific SMR to cancer-specific SIR. The assumption underlying this </w:t>
      </w:r>
      <w:r w:rsidRPr="009674DB">
        <w:rPr>
          <w:rFonts w:cstheme="minorHAnsi"/>
          <w:sz w:val="24"/>
          <w:szCs w:val="24"/>
        </w:rPr>
        <w:lastRenderedPageBreak/>
        <w:t>method is that because mortality is less subject to ascertainment bias than cancer incidence</w:t>
      </w:r>
      <w:r>
        <w:rPr>
          <w:rFonts w:cstheme="minorHAnsi"/>
          <w:sz w:val="24"/>
          <w:szCs w:val="24"/>
        </w:rPr>
        <w:t>,</w:t>
      </w:r>
      <w:r w:rsidRPr="009674DB">
        <w:rPr>
          <w:rFonts w:cstheme="minorHAnsi"/>
          <w:sz w:val="24"/>
          <w:szCs w:val="24"/>
        </w:rPr>
        <w:t xml:space="preserve"> the SMR may be more reliable than the SIR. </w:t>
      </w:r>
    </w:p>
    <w:p w:rsidR="001E221D" w:rsidRDefault="001E221D" w:rsidP="001E221D">
      <w:pPr>
        <w:spacing w:after="0" w:line="480" w:lineRule="auto"/>
        <w:ind w:firstLine="567"/>
        <w:jc w:val="both"/>
        <w:rPr>
          <w:rFonts w:cstheme="minorHAnsi"/>
          <w:sz w:val="24"/>
          <w:szCs w:val="24"/>
        </w:rPr>
      </w:pPr>
      <w:r w:rsidRPr="009674DB">
        <w:rPr>
          <w:rFonts w:cstheme="minorHAnsi"/>
          <w:sz w:val="24"/>
          <w:szCs w:val="24"/>
        </w:rPr>
        <w:t>Table A1 shows the uncorrected and bias-corrected SIRs for various endpoints. The direction of SIR after correction is generally towards 100. For hematologic malignancies</w:t>
      </w:r>
      <w:r>
        <w:rPr>
          <w:rFonts w:cstheme="minorHAnsi"/>
          <w:sz w:val="24"/>
          <w:szCs w:val="24"/>
        </w:rPr>
        <w:t>,</w:t>
      </w:r>
      <w:r w:rsidRPr="009674DB">
        <w:rPr>
          <w:rFonts w:cstheme="minorHAnsi"/>
          <w:sz w:val="24"/>
          <w:szCs w:val="24"/>
        </w:rPr>
        <w:t xml:space="preserve"> the uncorrected SIR is </w:t>
      </w:r>
      <w:r w:rsidRPr="009674DB">
        <w:rPr>
          <w:rFonts w:eastAsia="Times New Roman" w:cstheme="minorHAnsi"/>
          <w:color w:val="000000"/>
          <w:sz w:val="24"/>
          <w:szCs w:val="24"/>
        </w:rPr>
        <w:t>219 (95% CI = 60–561)</w:t>
      </w:r>
      <w:r>
        <w:rPr>
          <w:rFonts w:eastAsia="Times New Roman" w:cstheme="minorHAnsi"/>
          <w:color w:val="000000"/>
          <w:sz w:val="24"/>
          <w:szCs w:val="24"/>
        </w:rPr>
        <w:t>;</w:t>
      </w:r>
      <w:r w:rsidRPr="009674DB">
        <w:rPr>
          <w:rFonts w:eastAsia="Times New Roman" w:cstheme="minorHAnsi"/>
          <w:color w:val="000000"/>
          <w:sz w:val="24"/>
          <w:szCs w:val="24"/>
        </w:rPr>
        <w:t xml:space="preserve"> after correction using the second method</w:t>
      </w:r>
      <w:r>
        <w:rPr>
          <w:rFonts w:eastAsia="Times New Roman" w:cstheme="minorHAnsi"/>
          <w:color w:val="000000"/>
          <w:sz w:val="24"/>
          <w:szCs w:val="24"/>
        </w:rPr>
        <w:t>, the SIR</w:t>
      </w:r>
      <w:r w:rsidRPr="009674DB">
        <w:rPr>
          <w:rFonts w:eastAsia="Times New Roman" w:cstheme="minorHAnsi"/>
          <w:color w:val="000000"/>
          <w:sz w:val="24"/>
          <w:szCs w:val="24"/>
        </w:rPr>
        <w:t xml:space="preserve"> becomes 72 (95% CI = 20–185). For </w:t>
      </w:r>
      <w:r w:rsidRPr="009674DB">
        <w:rPr>
          <w:rFonts w:cstheme="minorHAnsi"/>
          <w:sz w:val="24"/>
          <w:szCs w:val="24"/>
        </w:rPr>
        <w:t>prostate cancer</w:t>
      </w:r>
      <w:r>
        <w:rPr>
          <w:rFonts w:cstheme="minorHAnsi"/>
          <w:sz w:val="24"/>
          <w:szCs w:val="24"/>
        </w:rPr>
        <w:t>,</w:t>
      </w:r>
      <w:r w:rsidRPr="009674DB">
        <w:rPr>
          <w:rFonts w:cstheme="minorHAnsi"/>
          <w:sz w:val="24"/>
          <w:szCs w:val="24"/>
        </w:rPr>
        <w:t xml:space="preserve"> the uncorrected SIR is </w:t>
      </w:r>
      <w:r w:rsidRPr="009674DB">
        <w:rPr>
          <w:rFonts w:eastAsia="Times New Roman" w:cstheme="minorHAnsi"/>
          <w:color w:val="000000"/>
          <w:sz w:val="24"/>
          <w:szCs w:val="24"/>
        </w:rPr>
        <w:t>187 (95% CI 126–266), and after correction using the second method</w:t>
      </w:r>
      <w:r>
        <w:rPr>
          <w:rFonts w:eastAsia="Times New Roman" w:cstheme="minorHAnsi"/>
          <w:color w:val="000000"/>
          <w:sz w:val="24"/>
          <w:szCs w:val="24"/>
        </w:rPr>
        <w:t>, it</w:t>
      </w:r>
      <w:r w:rsidRPr="009674DB">
        <w:rPr>
          <w:rFonts w:eastAsia="Times New Roman" w:cstheme="minorHAnsi"/>
          <w:color w:val="000000"/>
          <w:sz w:val="24"/>
          <w:szCs w:val="24"/>
        </w:rPr>
        <w:t xml:space="preserve"> becomes 166 (95% CI 109–243)</w:t>
      </w:r>
      <w:r w:rsidRPr="009674DB">
        <w:rPr>
          <w:rFonts w:cstheme="minorHAnsi"/>
          <w:sz w:val="24"/>
          <w:szCs w:val="24"/>
        </w:rPr>
        <w:t>. For colon cancer, the suspected bias was towards lower incidence, as regular screening removes polyps before they become tumors. Here the uncorrected SIR is 26 (95% CI = 1–147), and 52 (95% CI = 1–290) after correction with the second method.</w:t>
      </w:r>
    </w:p>
    <w:tbl>
      <w:tblPr>
        <w:tblW w:w="7920" w:type="dxa"/>
        <w:jc w:val="center"/>
        <w:tblLook w:val="04A0"/>
      </w:tblPr>
      <w:tblGrid>
        <w:gridCol w:w="1796"/>
        <w:gridCol w:w="726"/>
        <w:gridCol w:w="1596"/>
        <w:gridCol w:w="1912"/>
        <w:gridCol w:w="1890"/>
      </w:tblGrid>
      <w:tr w:rsidR="001E221D" w:rsidRPr="009674DB" w:rsidTr="00810E24">
        <w:trPr>
          <w:trHeight w:val="300"/>
          <w:jc w:val="center"/>
        </w:trPr>
        <w:tc>
          <w:tcPr>
            <w:tcW w:w="7920" w:type="dxa"/>
            <w:gridSpan w:val="5"/>
            <w:tcBorders>
              <w:bottom w:val="single" w:sz="4" w:space="0" w:color="auto"/>
            </w:tcBorders>
            <w:shd w:val="clear" w:color="auto" w:fill="auto"/>
            <w:noWrap/>
            <w:vAlign w:val="bottom"/>
          </w:tcPr>
          <w:p w:rsidR="001E221D" w:rsidRPr="009674DB" w:rsidRDefault="001E221D" w:rsidP="00810E24">
            <w:pPr>
              <w:spacing w:after="0" w:line="240" w:lineRule="auto"/>
              <w:rPr>
                <w:rFonts w:eastAsia="Times New Roman" w:cstheme="minorHAnsi"/>
                <w:b/>
                <w:color w:val="000000"/>
                <w:sz w:val="18"/>
                <w:szCs w:val="24"/>
              </w:rPr>
            </w:pPr>
            <w:r w:rsidRPr="009674DB">
              <w:rPr>
                <w:rFonts w:cstheme="minorHAnsi"/>
                <w:b/>
                <w:bCs/>
                <w:sz w:val="20"/>
                <w:szCs w:val="24"/>
              </w:rPr>
              <w:t>Table A1. Case count, standardized incidence ratio (SIR) and bias-corrected SIRs</w:t>
            </w:r>
          </w:p>
        </w:tc>
      </w:tr>
      <w:tr w:rsidR="001E221D" w:rsidRPr="009674DB" w:rsidTr="00810E24">
        <w:trPr>
          <w:trHeight w:val="220"/>
          <w:jc w:val="center"/>
        </w:trPr>
        <w:tc>
          <w:tcPr>
            <w:tcW w:w="1796" w:type="dxa"/>
            <w:vMerge w:val="restart"/>
            <w:shd w:val="clear" w:color="auto" w:fill="auto"/>
            <w:noWrap/>
            <w:vAlign w:val="bottom"/>
            <w:hideMark/>
          </w:tcPr>
          <w:p w:rsidR="001E221D" w:rsidRPr="009674DB" w:rsidRDefault="001E221D" w:rsidP="00810E24">
            <w:pPr>
              <w:spacing w:after="0" w:line="240" w:lineRule="auto"/>
              <w:rPr>
                <w:rFonts w:eastAsia="Times New Roman" w:cstheme="minorHAnsi"/>
                <w:b/>
                <w:color w:val="000000"/>
                <w:sz w:val="18"/>
                <w:szCs w:val="24"/>
              </w:rPr>
            </w:pPr>
            <w:r w:rsidRPr="009674DB">
              <w:rPr>
                <w:rFonts w:eastAsia="Times New Roman" w:cstheme="minorHAnsi"/>
                <w:b/>
                <w:color w:val="000000"/>
                <w:sz w:val="18"/>
                <w:szCs w:val="24"/>
              </w:rPr>
              <w:t>Endpoint </w:t>
            </w:r>
          </w:p>
        </w:tc>
        <w:tc>
          <w:tcPr>
            <w:tcW w:w="726" w:type="dxa"/>
            <w:vMerge w:val="restart"/>
            <w:shd w:val="clear" w:color="000000" w:fill="FFFFFF"/>
            <w:noWrap/>
            <w:vAlign w:val="bottom"/>
            <w:hideMark/>
          </w:tcPr>
          <w:p w:rsidR="001E221D" w:rsidRPr="009674DB" w:rsidRDefault="001E221D" w:rsidP="00810E24">
            <w:pPr>
              <w:spacing w:after="0" w:line="240" w:lineRule="auto"/>
              <w:jc w:val="center"/>
              <w:rPr>
                <w:rFonts w:eastAsia="Times New Roman" w:cstheme="minorHAnsi"/>
                <w:b/>
                <w:color w:val="000000"/>
                <w:sz w:val="18"/>
                <w:szCs w:val="24"/>
              </w:rPr>
            </w:pPr>
            <w:r w:rsidRPr="009674DB">
              <w:rPr>
                <w:rFonts w:eastAsia="Times New Roman" w:cstheme="minorHAnsi"/>
                <w:b/>
                <w:color w:val="000000"/>
                <w:sz w:val="18"/>
                <w:szCs w:val="24"/>
              </w:rPr>
              <w:t>Cases</w:t>
            </w:r>
          </w:p>
        </w:tc>
        <w:tc>
          <w:tcPr>
            <w:tcW w:w="1596" w:type="dxa"/>
            <w:vMerge w:val="restart"/>
            <w:shd w:val="clear" w:color="000000" w:fill="FFFFFF"/>
            <w:noWrap/>
            <w:vAlign w:val="bottom"/>
            <w:hideMark/>
          </w:tcPr>
          <w:p w:rsidR="001E221D" w:rsidRPr="009674DB" w:rsidRDefault="001E221D" w:rsidP="00810E24">
            <w:pPr>
              <w:spacing w:after="0" w:line="240" w:lineRule="auto"/>
              <w:jc w:val="right"/>
              <w:rPr>
                <w:rFonts w:eastAsia="Times New Roman" w:cstheme="minorHAnsi"/>
                <w:b/>
                <w:color w:val="000000"/>
                <w:sz w:val="18"/>
                <w:szCs w:val="24"/>
              </w:rPr>
            </w:pPr>
            <w:r w:rsidRPr="009674DB">
              <w:rPr>
                <w:rFonts w:eastAsia="Times New Roman" w:cstheme="minorHAnsi"/>
                <w:b/>
                <w:color w:val="000000"/>
                <w:sz w:val="18"/>
                <w:szCs w:val="24"/>
              </w:rPr>
              <w:t>SIR (95% CI)</w:t>
            </w:r>
          </w:p>
        </w:tc>
        <w:tc>
          <w:tcPr>
            <w:tcW w:w="3802" w:type="dxa"/>
            <w:gridSpan w:val="2"/>
            <w:tcBorders>
              <w:bottom w:val="single" w:sz="4" w:space="0" w:color="auto"/>
            </w:tcBorders>
            <w:shd w:val="clear" w:color="000000" w:fill="FFFFFF"/>
            <w:noWrap/>
            <w:vAlign w:val="bottom"/>
            <w:hideMark/>
          </w:tcPr>
          <w:p w:rsidR="001E221D" w:rsidRPr="009674DB" w:rsidRDefault="001E221D" w:rsidP="00810E24">
            <w:pPr>
              <w:spacing w:after="0" w:line="240" w:lineRule="auto"/>
              <w:jc w:val="center"/>
              <w:rPr>
                <w:rFonts w:eastAsia="Times New Roman" w:cstheme="minorHAnsi"/>
                <w:b/>
                <w:color w:val="000000"/>
                <w:sz w:val="18"/>
                <w:szCs w:val="24"/>
              </w:rPr>
            </w:pPr>
            <w:r w:rsidRPr="009674DB">
              <w:rPr>
                <w:rFonts w:eastAsia="Times New Roman" w:cstheme="minorHAnsi"/>
                <w:b/>
                <w:color w:val="000000"/>
                <w:sz w:val="18"/>
                <w:szCs w:val="24"/>
              </w:rPr>
              <w:t xml:space="preserve">Corrected SIR (95% CI) </w:t>
            </w:r>
          </w:p>
        </w:tc>
      </w:tr>
      <w:tr w:rsidR="001E221D" w:rsidRPr="009674DB" w:rsidTr="00810E24">
        <w:trPr>
          <w:trHeight w:val="210"/>
          <w:jc w:val="center"/>
        </w:trPr>
        <w:tc>
          <w:tcPr>
            <w:tcW w:w="1796" w:type="dxa"/>
            <w:vMerge/>
            <w:tcBorders>
              <w:bottom w:val="single" w:sz="4" w:space="0" w:color="auto"/>
            </w:tcBorders>
            <w:shd w:val="clear" w:color="auto" w:fill="auto"/>
            <w:noWrap/>
            <w:vAlign w:val="bottom"/>
          </w:tcPr>
          <w:p w:rsidR="001E221D" w:rsidRPr="009674DB" w:rsidRDefault="001E221D" w:rsidP="00810E24">
            <w:pPr>
              <w:spacing w:after="0" w:line="240" w:lineRule="auto"/>
              <w:rPr>
                <w:rFonts w:eastAsia="Times New Roman" w:cstheme="minorHAnsi"/>
                <w:b/>
                <w:color w:val="000000"/>
                <w:sz w:val="18"/>
                <w:szCs w:val="24"/>
              </w:rPr>
            </w:pPr>
          </w:p>
        </w:tc>
        <w:tc>
          <w:tcPr>
            <w:tcW w:w="726" w:type="dxa"/>
            <w:vMerge/>
            <w:tcBorders>
              <w:bottom w:val="single" w:sz="4" w:space="0" w:color="auto"/>
            </w:tcBorders>
            <w:shd w:val="clear" w:color="000000" w:fill="FFFFFF"/>
            <w:noWrap/>
            <w:vAlign w:val="bottom"/>
          </w:tcPr>
          <w:p w:rsidR="001E221D" w:rsidRPr="009674DB" w:rsidRDefault="001E221D" w:rsidP="00810E24">
            <w:pPr>
              <w:spacing w:after="0" w:line="240" w:lineRule="auto"/>
              <w:jc w:val="center"/>
              <w:rPr>
                <w:rFonts w:eastAsia="Times New Roman" w:cstheme="minorHAnsi"/>
                <w:b/>
                <w:color w:val="000000"/>
                <w:sz w:val="18"/>
                <w:szCs w:val="24"/>
              </w:rPr>
            </w:pPr>
          </w:p>
        </w:tc>
        <w:tc>
          <w:tcPr>
            <w:tcW w:w="1596" w:type="dxa"/>
            <w:vMerge/>
            <w:tcBorders>
              <w:bottom w:val="single" w:sz="4" w:space="0" w:color="auto"/>
            </w:tcBorders>
            <w:shd w:val="clear" w:color="000000" w:fill="FFFFFF"/>
            <w:noWrap/>
            <w:vAlign w:val="bottom"/>
          </w:tcPr>
          <w:p w:rsidR="001E221D" w:rsidRPr="009674DB" w:rsidRDefault="001E221D" w:rsidP="00810E24">
            <w:pPr>
              <w:spacing w:after="0" w:line="240" w:lineRule="auto"/>
              <w:jc w:val="right"/>
              <w:rPr>
                <w:rFonts w:eastAsia="Times New Roman" w:cstheme="minorHAnsi"/>
                <w:b/>
                <w:color w:val="000000"/>
                <w:sz w:val="18"/>
                <w:szCs w:val="24"/>
              </w:rPr>
            </w:pPr>
          </w:p>
        </w:tc>
        <w:tc>
          <w:tcPr>
            <w:tcW w:w="1912" w:type="dxa"/>
            <w:tcBorders>
              <w:top w:val="single" w:sz="4" w:space="0" w:color="auto"/>
              <w:bottom w:val="single" w:sz="4" w:space="0" w:color="auto"/>
            </w:tcBorders>
            <w:shd w:val="clear" w:color="000000" w:fill="FFFFFF"/>
            <w:noWrap/>
            <w:vAlign w:val="bottom"/>
          </w:tcPr>
          <w:p w:rsidR="001E221D" w:rsidRPr="009674DB" w:rsidRDefault="001E221D" w:rsidP="00810E24">
            <w:pPr>
              <w:spacing w:after="0" w:line="240" w:lineRule="auto"/>
              <w:jc w:val="right"/>
              <w:rPr>
                <w:rFonts w:eastAsia="Times New Roman" w:cstheme="minorHAnsi"/>
                <w:b/>
                <w:color w:val="000000"/>
                <w:sz w:val="18"/>
                <w:szCs w:val="24"/>
              </w:rPr>
            </w:pPr>
            <w:r w:rsidRPr="009674DB">
              <w:rPr>
                <w:rFonts w:eastAsia="Times New Roman" w:cstheme="minorHAnsi"/>
                <w:b/>
                <w:color w:val="000000"/>
                <w:sz w:val="18"/>
                <w:szCs w:val="24"/>
              </w:rPr>
              <w:t xml:space="preserve"> Method 1: SIR=100</w:t>
            </w:r>
          </w:p>
        </w:tc>
        <w:tc>
          <w:tcPr>
            <w:tcW w:w="1890" w:type="dxa"/>
            <w:tcBorders>
              <w:top w:val="single" w:sz="4" w:space="0" w:color="auto"/>
              <w:bottom w:val="single" w:sz="4" w:space="0" w:color="auto"/>
            </w:tcBorders>
            <w:shd w:val="clear" w:color="000000" w:fill="FFFFFF"/>
            <w:noWrap/>
            <w:vAlign w:val="bottom"/>
          </w:tcPr>
          <w:p w:rsidR="001E221D" w:rsidRPr="009674DB" w:rsidRDefault="001E221D" w:rsidP="00810E24">
            <w:pPr>
              <w:spacing w:after="0" w:line="240" w:lineRule="auto"/>
              <w:jc w:val="right"/>
              <w:rPr>
                <w:rFonts w:eastAsia="Times New Roman" w:cstheme="minorHAnsi"/>
                <w:b/>
                <w:color w:val="000000"/>
                <w:sz w:val="18"/>
                <w:szCs w:val="24"/>
              </w:rPr>
            </w:pPr>
            <w:r w:rsidRPr="009674DB">
              <w:rPr>
                <w:rFonts w:eastAsia="Times New Roman" w:cstheme="minorHAnsi"/>
                <w:b/>
                <w:color w:val="000000"/>
                <w:sz w:val="18"/>
                <w:szCs w:val="24"/>
              </w:rPr>
              <w:t>Method 2: SIR=SMR</w:t>
            </w:r>
          </w:p>
        </w:tc>
      </w:tr>
      <w:tr w:rsidR="001E221D" w:rsidRPr="009674DB" w:rsidDel="00807291" w:rsidTr="00810E24">
        <w:trPr>
          <w:trHeight w:val="300"/>
          <w:jc w:val="center"/>
        </w:trPr>
        <w:tc>
          <w:tcPr>
            <w:tcW w:w="1796" w:type="dxa"/>
            <w:tcBorders>
              <w:top w:val="single" w:sz="4" w:space="0" w:color="auto"/>
            </w:tcBorders>
            <w:shd w:val="clear" w:color="auto" w:fill="auto"/>
            <w:noWrap/>
            <w:vAlign w:val="center"/>
          </w:tcPr>
          <w:p w:rsidR="001E221D" w:rsidRPr="009674DB" w:rsidDel="00807291" w:rsidRDefault="001E221D" w:rsidP="00810E24">
            <w:pPr>
              <w:spacing w:after="0" w:line="240" w:lineRule="auto"/>
              <w:rPr>
                <w:rFonts w:eastAsia="Times New Roman" w:cstheme="minorHAnsi"/>
                <w:color w:val="000000"/>
                <w:sz w:val="18"/>
                <w:szCs w:val="24"/>
              </w:rPr>
            </w:pPr>
            <w:r w:rsidRPr="009674DB">
              <w:rPr>
                <w:rFonts w:eastAsia="Times New Roman" w:cstheme="minorHAnsi"/>
                <w:color w:val="000000"/>
                <w:sz w:val="18"/>
                <w:szCs w:val="24"/>
              </w:rPr>
              <w:t>Colon</w:t>
            </w:r>
          </w:p>
        </w:tc>
        <w:tc>
          <w:tcPr>
            <w:tcW w:w="726" w:type="dxa"/>
            <w:tcBorders>
              <w:top w:val="single" w:sz="4" w:space="0" w:color="auto"/>
            </w:tcBorders>
            <w:shd w:val="clear" w:color="000000" w:fill="FFFFFF"/>
            <w:noWrap/>
            <w:vAlign w:val="center"/>
          </w:tcPr>
          <w:p w:rsidR="001E221D" w:rsidRPr="009674DB" w:rsidDel="00807291" w:rsidRDefault="001E221D" w:rsidP="00810E24">
            <w:pPr>
              <w:spacing w:after="0" w:line="240" w:lineRule="auto"/>
              <w:jc w:val="right"/>
              <w:rPr>
                <w:rFonts w:eastAsia="Times New Roman" w:cstheme="minorHAnsi"/>
                <w:color w:val="000000"/>
                <w:sz w:val="18"/>
                <w:szCs w:val="24"/>
              </w:rPr>
            </w:pPr>
            <w:r w:rsidRPr="009674DB">
              <w:rPr>
                <w:rFonts w:eastAsia="Times New Roman" w:cstheme="minorHAnsi"/>
                <w:color w:val="000000"/>
                <w:sz w:val="18"/>
                <w:szCs w:val="24"/>
              </w:rPr>
              <w:t>1</w:t>
            </w:r>
          </w:p>
        </w:tc>
        <w:tc>
          <w:tcPr>
            <w:tcW w:w="1596" w:type="dxa"/>
            <w:tcBorders>
              <w:top w:val="single" w:sz="4" w:space="0" w:color="auto"/>
            </w:tcBorders>
            <w:shd w:val="clear" w:color="auto" w:fill="auto"/>
            <w:noWrap/>
            <w:vAlign w:val="center"/>
          </w:tcPr>
          <w:p w:rsidR="001E221D" w:rsidRPr="009674DB" w:rsidDel="00807291" w:rsidRDefault="001E221D" w:rsidP="00810E24">
            <w:pPr>
              <w:spacing w:after="0" w:line="240" w:lineRule="auto"/>
              <w:jc w:val="right"/>
              <w:rPr>
                <w:rFonts w:eastAsia="Times New Roman" w:cstheme="minorHAnsi"/>
                <w:color w:val="000000"/>
                <w:sz w:val="18"/>
                <w:szCs w:val="24"/>
              </w:rPr>
            </w:pPr>
            <w:r w:rsidRPr="009674DB">
              <w:rPr>
                <w:rFonts w:eastAsia="Times New Roman" w:cstheme="minorHAnsi"/>
                <w:color w:val="000000"/>
                <w:sz w:val="18"/>
                <w:szCs w:val="24"/>
              </w:rPr>
              <w:t>26 (1–147)</w:t>
            </w:r>
          </w:p>
        </w:tc>
        <w:tc>
          <w:tcPr>
            <w:tcW w:w="1912" w:type="dxa"/>
            <w:tcBorders>
              <w:top w:val="single" w:sz="4" w:space="0" w:color="auto"/>
            </w:tcBorders>
            <w:shd w:val="clear" w:color="auto" w:fill="auto"/>
            <w:noWrap/>
            <w:vAlign w:val="center"/>
          </w:tcPr>
          <w:p w:rsidR="001E221D" w:rsidRPr="009674DB" w:rsidDel="00807291" w:rsidRDefault="001E221D" w:rsidP="00810E24">
            <w:pPr>
              <w:spacing w:after="0" w:line="240" w:lineRule="auto"/>
              <w:jc w:val="right"/>
              <w:rPr>
                <w:rFonts w:eastAsia="Times New Roman" w:cstheme="minorHAnsi"/>
                <w:color w:val="000000"/>
                <w:sz w:val="18"/>
                <w:szCs w:val="24"/>
              </w:rPr>
            </w:pPr>
            <w:r w:rsidRPr="009674DB">
              <w:rPr>
                <w:rFonts w:eastAsia="Times New Roman" w:cstheme="minorHAnsi"/>
                <w:color w:val="000000"/>
                <w:sz w:val="18"/>
                <w:szCs w:val="24"/>
              </w:rPr>
              <w:t>100 (26–262)</w:t>
            </w:r>
          </w:p>
        </w:tc>
        <w:tc>
          <w:tcPr>
            <w:tcW w:w="1890" w:type="dxa"/>
            <w:tcBorders>
              <w:top w:val="single" w:sz="4" w:space="0" w:color="auto"/>
            </w:tcBorders>
            <w:shd w:val="clear" w:color="auto" w:fill="auto"/>
            <w:noWrap/>
            <w:vAlign w:val="center"/>
          </w:tcPr>
          <w:p w:rsidR="001E221D" w:rsidRPr="009674DB" w:rsidDel="00807291" w:rsidRDefault="001E221D" w:rsidP="00810E24">
            <w:pPr>
              <w:spacing w:after="0" w:line="240" w:lineRule="auto"/>
              <w:jc w:val="right"/>
              <w:rPr>
                <w:rFonts w:eastAsia="Times New Roman" w:cstheme="minorHAnsi"/>
                <w:color w:val="000000"/>
                <w:sz w:val="18"/>
                <w:szCs w:val="24"/>
              </w:rPr>
            </w:pPr>
            <w:r w:rsidRPr="009674DB">
              <w:rPr>
                <w:rFonts w:eastAsia="Times New Roman" w:cstheme="minorHAnsi"/>
                <w:color w:val="000000"/>
                <w:sz w:val="18"/>
                <w:szCs w:val="24"/>
              </w:rPr>
              <w:t>52 (1–290)</w:t>
            </w:r>
          </w:p>
        </w:tc>
      </w:tr>
      <w:tr w:rsidR="001E221D" w:rsidRPr="009674DB" w:rsidTr="00810E24">
        <w:trPr>
          <w:trHeight w:val="300"/>
          <w:jc w:val="center"/>
        </w:trPr>
        <w:tc>
          <w:tcPr>
            <w:tcW w:w="1796" w:type="dxa"/>
            <w:shd w:val="clear" w:color="auto" w:fill="auto"/>
            <w:noWrap/>
            <w:vAlign w:val="center"/>
            <w:hideMark/>
          </w:tcPr>
          <w:p w:rsidR="001E221D" w:rsidRPr="009674DB" w:rsidRDefault="001E221D" w:rsidP="00810E24">
            <w:pPr>
              <w:spacing w:after="0" w:line="240" w:lineRule="auto"/>
              <w:rPr>
                <w:rFonts w:eastAsia="Times New Roman" w:cstheme="minorHAnsi"/>
                <w:color w:val="000000"/>
                <w:sz w:val="18"/>
                <w:szCs w:val="24"/>
              </w:rPr>
            </w:pPr>
            <w:r w:rsidRPr="009674DB">
              <w:rPr>
                <w:rFonts w:eastAsia="Times New Roman" w:cstheme="minorHAnsi"/>
                <w:color w:val="000000"/>
                <w:sz w:val="18"/>
                <w:szCs w:val="24"/>
              </w:rPr>
              <w:t>Hematologic</w:t>
            </w:r>
          </w:p>
        </w:tc>
        <w:tc>
          <w:tcPr>
            <w:tcW w:w="726" w:type="dxa"/>
            <w:shd w:val="clear" w:color="000000" w:fill="FFFFFF"/>
            <w:noWrap/>
            <w:vAlign w:val="center"/>
            <w:hideMark/>
          </w:tcPr>
          <w:p w:rsidR="001E221D" w:rsidRPr="009674DB" w:rsidRDefault="001E221D" w:rsidP="00810E24">
            <w:pPr>
              <w:spacing w:after="0" w:line="240" w:lineRule="auto"/>
              <w:jc w:val="right"/>
              <w:rPr>
                <w:rFonts w:eastAsia="Times New Roman" w:cstheme="minorHAnsi"/>
                <w:color w:val="000000"/>
                <w:sz w:val="18"/>
                <w:szCs w:val="24"/>
              </w:rPr>
            </w:pPr>
            <w:r w:rsidRPr="009674DB">
              <w:rPr>
                <w:rFonts w:eastAsia="Times New Roman" w:cstheme="minorHAnsi"/>
                <w:color w:val="000000"/>
                <w:sz w:val="18"/>
                <w:szCs w:val="24"/>
              </w:rPr>
              <w:t>4</w:t>
            </w:r>
          </w:p>
        </w:tc>
        <w:tc>
          <w:tcPr>
            <w:tcW w:w="1596" w:type="dxa"/>
            <w:shd w:val="clear" w:color="auto" w:fill="auto"/>
            <w:noWrap/>
            <w:vAlign w:val="center"/>
            <w:hideMark/>
          </w:tcPr>
          <w:p w:rsidR="001E221D" w:rsidRPr="009674DB" w:rsidRDefault="001E221D" w:rsidP="00810E24">
            <w:pPr>
              <w:spacing w:after="0" w:line="240" w:lineRule="auto"/>
              <w:jc w:val="right"/>
              <w:rPr>
                <w:rFonts w:eastAsia="Times New Roman" w:cstheme="minorHAnsi"/>
                <w:color w:val="000000"/>
                <w:sz w:val="18"/>
                <w:szCs w:val="24"/>
              </w:rPr>
            </w:pPr>
            <w:r w:rsidRPr="009674DB">
              <w:rPr>
                <w:rFonts w:eastAsia="Times New Roman" w:cstheme="minorHAnsi"/>
                <w:color w:val="000000"/>
                <w:sz w:val="18"/>
                <w:szCs w:val="24"/>
              </w:rPr>
              <w:t>219 (60–561)</w:t>
            </w:r>
          </w:p>
        </w:tc>
        <w:tc>
          <w:tcPr>
            <w:tcW w:w="1912" w:type="dxa"/>
            <w:shd w:val="clear" w:color="auto" w:fill="auto"/>
            <w:noWrap/>
            <w:vAlign w:val="center"/>
            <w:hideMark/>
          </w:tcPr>
          <w:p w:rsidR="001E221D" w:rsidRPr="009674DB" w:rsidRDefault="001E221D" w:rsidP="00810E24">
            <w:pPr>
              <w:spacing w:after="0" w:line="240" w:lineRule="auto"/>
              <w:jc w:val="right"/>
              <w:rPr>
                <w:rFonts w:eastAsia="Times New Roman" w:cstheme="minorHAnsi"/>
                <w:color w:val="000000"/>
                <w:sz w:val="18"/>
                <w:szCs w:val="24"/>
              </w:rPr>
            </w:pPr>
            <w:r w:rsidRPr="009674DB">
              <w:rPr>
                <w:rFonts w:eastAsia="Times New Roman" w:cstheme="minorHAnsi"/>
                <w:color w:val="000000"/>
                <w:sz w:val="18"/>
                <w:szCs w:val="24"/>
              </w:rPr>
              <w:t>100 (10–380)</w:t>
            </w:r>
          </w:p>
        </w:tc>
        <w:tc>
          <w:tcPr>
            <w:tcW w:w="1890" w:type="dxa"/>
            <w:shd w:val="clear" w:color="auto" w:fill="auto"/>
            <w:noWrap/>
            <w:vAlign w:val="center"/>
            <w:hideMark/>
          </w:tcPr>
          <w:p w:rsidR="001E221D" w:rsidRPr="009674DB" w:rsidRDefault="001E221D" w:rsidP="00810E24">
            <w:pPr>
              <w:spacing w:after="0" w:line="240" w:lineRule="auto"/>
              <w:jc w:val="right"/>
              <w:rPr>
                <w:rFonts w:eastAsia="Times New Roman" w:cstheme="minorHAnsi"/>
                <w:color w:val="000000"/>
                <w:sz w:val="18"/>
                <w:szCs w:val="24"/>
              </w:rPr>
            </w:pPr>
            <w:r w:rsidRPr="009674DB">
              <w:rPr>
                <w:rFonts w:eastAsia="Times New Roman" w:cstheme="minorHAnsi"/>
                <w:color w:val="000000"/>
                <w:sz w:val="18"/>
                <w:szCs w:val="24"/>
              </w:rPr>
              <w:t>72 (20–185)</w:t>
            </w:r>
          </w:p>
        </w:tc>
      </w:tr>
      <w:tr w:rsidR="001E221D" w:rsidRPr="009674DB" w:rsidTr="00810E24">
        <w:trPr>
          <w:trHeight w:val="300"/>
          <w:jc w:val="center"/>
        </w:trPr>
        <w:tc>
          <w:tcPr>
            <w:tcW w:w="1796" w:type="dxa"/>
            <w:tcBorders>
              <w:bottom w:val="single" w:sz="4" w:space="0" w:color="auto"/>
            </w:tcBorders>
            <w:shd w:val="clear" w:color="auto" w:fill="auto"/>
            <w:noWrap/>
            <w:vAlign w:val="center"/>
          </w:tcPr>
          <w:p w:rsidR="001E221D" w:rsidRPr="009674DB" w:rsidRDefault="001E221D" w:rsidP="00810E24">
            <w:pPr>
              <w:spacing w:after="0" w:line="240" w:lineRule="auto"/>
              <w:rPr>
                <w:rFonts w:eastAsia="Times New Roman" w:cstheme="minorHAnsi"/>
                <w:color w:val="000000"/>
                <w:sz w:val="18"/>
                <w:szCs w:val="24"/>
              </w:rPr>
            </w:pPr>
            <w:r w:rsidRPr="009674DB">
              <w:rPr>
                <w:rFonts w:eastAsia="Times New Roman" w:cstheme="minorHAnsi"/>
                <w:color w:val="000000"/>
                <w:sz w:val="18"/>
                <w:szCs w:val="24"/>
              </w:rPr>
              <w:t>Prostate</w:t>
            </w:r>
          </w:p>
        </w:tc>
        <w:tc>
          <w:tcPr>
            <w:tcW w:w="726" w:type="dxa"/>
            <w:tcBorders>
              <w:bottom w:val="single" w:sz="4" w:space="0" w:color="auto"/>
            </w:tcBorders>
            <w:shd w:val="clear" w:color="000000" w:fill="FFFFFF"/>
            <w:noWrap/>
            <w:vAlign w:val="center"/>
          </w:tcPr>
          <w:p w:rsidR="001E221D" w:rsidRPr="009674DB" w:rsidRDefault="001E221D" w:rsidP="00810E24">
            <w:pPr>
              <w:spacing w:after="0" w:line="240" w:lineRule="auto"/>
              <w:jc w:val="right"/>
              <w:rPr>
                <w:rFonts w:eastAsia="Times New Roman" w:cstheme="minorHAnsi"/>
                <w:color w:val="000000"/>
                <w:sz w:val="18"/>
                <w:szCs w:val="24"/>
              </w:rPr>
            </w:pPr>
            <w:r w:rsidRPr="009674DB">
              <w:rPr>
                <w:rFonts w:eastAsia="Times New Roman" w:cstheme="minorHAnsi"/>
                <w:color w:val="000000"/>
                <w:sz w:val="18"/>
                <w:szCs w:val="24"/>
              </w:rPr>
              <w:t>30</w:t>
            </w:r>
          </w:p>
        </w:tc>
        <w:tc>
          <w:tcPr>
            <w:tcW w:w="1596" w:type="dxa"/>
            <w:tcBorders>
              <w:bottom w:val="single" w:sz="4" w:space="0" w:color="auto"/>
            </w:tcBorders>
            <w:shd w:val="clear" w:color="auto" w:fill="auto"/>
            <w:noWrap/>
            <w:vAlign w:val="center"/>
          </w:tcPr>
          <w:p w:rsidR="001E221D" w:rsidRPr="009674DB" w:rsidRDefault="001E221D" w:rsidP="00810E24">
            <w:pPr>
              <w:spacing w:after="0" w:line="240" w:lineRule="auto"/>
              <w:jc w:val="right"/>
              <w:rPr>
                <w:rFonts w:eastAsia="Times New Roman" w:cstheme="minorHAnsi"/>
                <w:color w:val="000000"/>
                <w:sz w:val="18"/>
                <w:szCs w:val="24"/>
              </w:rPr>
            </w:pPr>
            <w:r w:rsidRPr="009674DB">
              <w:rPr>
                <w:rFonts w:eastAsia="Times New Roman" w:cstheme="minorHAnsi"/>
                <w:color w:val="000000"/>
                <w:sz w:val="18"/>
                <w:szCs w:val="24"/>
              </w:rPr>
              <w:t>187 (126–266)</w:t>
            </w:r>
          </w:p>
        </w:tc>
        <w:tc>
          <w:tcPr>
            <w:tcW w:w="1912" w:type="dxa"/>
            <w:tcBorders>
              <w:bottom w:val="single" w:sz="4" w:space="0" w:color="auto"/>
            </w:tcBorders>
            <w:shd w:val="clear" w:color="auto" w:fill="auto"/>
            <w:noWrap/>
            <w:vAlign w:val="center"/>
          </w:tcPr>
          <w:p w:rsidR="001E221D" w:rsidRPr="009674DB" w:rsidRDefault="001E221D" w:rsidP="00810E24">
            <w:pPr>
              <w:spacing w:after="0" w:line="240" w:lineRule="auto"/>
              <w:jc w:val="right"/>
              <w:rPr>
                <w:rFonts w:eastAsia="Times New Roman" w:cstheme="minorHAnsi"/>
                <w:color w:val="000000"/>
                <w:sz w:val="18"/>
                <w:szCs w:val="24"/>
              </w:rPr>
            </w:pPr>
            <w:r w:rsidRPr="009674DB">
              <w:rPr>
                <w:rFonts w:eastAsia="Times New Roman" w:cstheme="minorHAnsi"/>
                <w:color w:val="000000"/>
                <w:sz w:val="18"/>
                <w:szCs w:val="24"/>
              </w:rPr>
              <w:t>100 (57–162)</w:t>
            </w:r>
          </w:p>
        </w:tc>
        <w:tc>
          <w:tcPr>
            <w:tcW w:w="1890" w:type="dxa"/>
            <w:tcBorders>
              <w:bottom w:val="single" w:sz="4" w:space="0" w:color="auto"/>
            </w:tcBorders>
            <w:shd w:val="clear" w:color="auto" w:fill="auto"/>
            <w:noWrap/>
            <w:vAlign w:val="center"/>
          </w:tcPr>
          <w:p w:rsidR="001E221D" w:rsidRPr="009674DB" w:rsidRDefault="001E221D" w:rsidP="00810E24">
            <w:pPr>
              <w:spacing w:after="0" w:line="240" w:lineRule="auto"/>
              <w:jc w:val="right"/>
              <w:rPr>
                <w:rFonts w:eastAsia="Times New Roman" w:cstheme="minorHAnsi"/>
                <w:color w:val="000000"/>
                <w:sz w:val="18"/>
                <w:szCs w:val="24"/>
              </w:rPr>
            </w:pPr>
            <w:r w:rsidRPr="009674DB">
              <w:rPr>
                <w:rFonts w:eastAsia="Times New Roman" w:cstheme="minorHAnsi"/>
                <w:color w:val="000000"/>
                <w:sz w:val="18"/>
                <w:szCs w:val="24"/>
              </w:rPr>
              <w:t>166 (109–243)</w:t>
            </w:r>
          </w:p>
        </w:tc>
      </w:tr>
      <w:tr w:rsidR="001E221D" w:rsidRPr="009674DB" w:rsidTr="00810E24">
        <w:trPr>
          <w:trHeight w:val="300"/>
          <w:jc w:val="center"/>
        </w:trPr>
        <w:tc>
          <w:tcPr>
            <w:tcW w:w="1796" w:type="dxa"/>
            <w:tcBorders>
              <w:top w:val="single" w:sz="4" w:space="0" w:color="auto"/>
            </w:tcBorders>
            <w:shd w:val="clear" w:color="auto" w:fill="auto"/>
            <w:noWrap/>
            <w:vAlign w:val="center"/>
          </w:tcPr>
          <w:p w:rsidR="001E221D" w:rsidRPr="009674DB" w:rsidRDefault="001E221D" w:rsidP="00810E24">
            <w:pPr>
              <w:spacing w:after="0" w:line="240" w:lineRule="auto"/>
              <w:rPr>
                <w:rFonts w:eastAsia="Times New Roman" w:cstheme="minorHAnsi"/>
                <w:color w:val="000000"/>
                <w:sz w:val="18"/>
                <w:szCs w:val="24"/>
                <w:vertAlign w:val="superscript"/>
              </w:rPr>
            </w:pPr>
            <w:r w:rsidRPr="009674DB">
              <w:rPr>
                <w:rFonts w:eastAsia="Times New Roman" w:cstheme="minorHAnsi"/>
                <w:color w:val="000000"/>
                <w:sz w:val="18"/>
                <w:szCs w:val="24"/>
              </w:rPr>
              <w:t>All cancers</w:t>
            </w:r>
            <w:r w:rsidRPr="009674DB">
              <w:rPr>
                <w:rFonts w:eastAsia="Times New Roman" w:cstheme="minorHAnsi"/>
                <w:color w:val="000000"/>
                <w:sz w:val="18"/>
                <w:szCs w:val="24"/>
                <w:vertAlign w:val="superscript"/>
              </w:rPr>
              <w:t>*</w:t>
            </w:r>
          </w:p>
        </w:tc>
        <w:tc>
          <w:tcPr>
            <w:tcW w:w="726" w:type="dxa"/>
            <w:tcBorders>
              <w:top w:val="single" w:sz="4" w:space="0" w:color="auto"/>
            </w:tcBorders>
            <w:shd w:val="clear" w:color="000000" w:fill="FFFFFF"/>
            <w:noWrap/>
            <w:vAlign w:val="center"/>
          </w:tcPr>
          <w:p w:rsidR="001E221D" w:rsidRPr="009674DB" w:rsidRDefault="001E221D" w:rsidP="00810E24">
            <w:pPr>
              <w:spacing w:after="0" w:line="240" w:lineRule="auto"/>
              <w:jc w:val="right"/>
              <w:rPr>
                <w:rFonts w:eastAsia="Times New Roman" w:cstheme="minorHAnsi"/>
                <w:color w:val="000000"/>
                <w:sz w:val="18"/>
                <w:szCs w:val="24"/>
              </w:rPr>
            </w:pPr>
            <w:r w:rsidRPr="009674DB">
              <w:rPr>
                <w:rFonts w:eastAsia="Times New Roman" w:cstheme="minorHAnsi"/>
                <w:color w:val="000000"/>
                <w:sz w:val="18"/>
                <w:szCs w:val="24"/>
              </w:rPr>
              <w:t>65</w:t>
            </w:r>
          </w:p>
        </w:tc>
        <w:tc>
          <w:tcPr>
            <w:tcW w:w="1596" w:type="dxa"/>
            <w:tcBorders>
              <w:top w:val="single" w:sz="4" w:space="0" w:color="auto"/>
            </w:tcBorders>
            <w:shd w:val="clear" w:color="auto" w:fill="auto"/>
            <w:noWrap/>
            <w:vAlign w:val="center"/>
          </w:tcPr>
          <w:p w:rsidR="001E221D" w:rsidRPr="009674DB" w:rsidRDefault="001E221D" w:rsidP="00810E24">
            <w:pPr>
              <w:spacing w:after="0" w:line="240" w:lineRule="auto"/>
              <w:jc w:val="right"/>
              <w:rPr>
                <w:rFonts w:eastAsia="Times New Roman" w:cstheme="minorHAnsi"/>
                <w:color w:val="000000"/>
                <w:sz w:val="18"/>
                <w:szCs w:val="24"/>
              </w:rPr>
            </w:pPr>
            <w:r w:rsidRPr="009674DB">
              <w:rPr>
                <w:rFonts w:eastAsia="Times New Roman" w:cstheme="minorHAnsi"/>
                <w:color w:val="000000"/>
                <w:sz w:val="18"/>
                <w:szCs w:val="24"/>
              </w:rPr>
              <w:t>112 (86–143)</w:t>
            </w:r>
          </w:p>
        </w:tc>
        <w:tc>
          <w:tcPr>
            <w:tcW w:w="1912" w:type="dxa"/>
            <w:tcBorders>
              <w:top w:val="single" w:sz="4" w:space="0" w:color="auto"/>
            </w:tcBorders>
            <w:shd w:val="clear" w:color="auto" w:fill="auto"/>
            <w:noWrap/>
            <w:vAlign w:val="center"/>
          </w:tcPr>
          <w:p w:rsidR="001E221D" w:rsidRPr="009674DB" w:rsidRDefault="001E221D" w:rsidP="00810E24">
            <w:pPr>
              <w:spacing w:after="0" w:line="240" w:lineRule="auto"/>
              <w:jc w:val="right"/>
              <w:rPr>
                <w:rFonts w:eastAsia="Times New Roman" w:cstheme="minorHAnsi"/>
                <w:color w:val="000000"/>
                <w:sz w:val="18"/>
                <w:szCs w:val="24"/>
              </w:rPr>
            </w:pPr>
            <w:r w:rsidRPr="009674DB">
              <w:rPr>
                <w:rFonts w:eastAsia="Times New Roman" w:cstheme="minorHAnsi"/>
                <w:color w:val="000000"/>
                <w:sz w:val="18"/>
                <w:szCs w:val="24"/>
              </w:rPr>
              <w:t>92 (70–119)</w:t>
            </w:r>
          </w:p>
        </w:tc>
        <w:tc>
          <w:tcPr>
            <w:tcW w:w="1890" w:type="dxa"/>
            <w:tcBorders>
              <w:top w:val="single" w:sz="4" w:space="0" w:color="auto"/>
            </w:tcBorders>
            <w:shd w:val="clear" w:color="auto" w:fill="auto"/>
            <w:noWrap/>
            <w:vAlign w:val="center"/>
          </w:tcPr>
          <w:p w:rsidR="001E221D" w:rsidRPr="009674DB" w:rsidRDefault="001E221D" w:rsidP="00810E24">
            <w:pPr>
              <w:spacing w:after="0" w:line="240" w:lineRule="auto"/>
              <w:jc w:val="right"/>
              <w:rPr>
                <w:rFonts w:eastAsia="Times New Roman" w:cstheme="minorHAnsi"/>
                <w:color w:val="000000"/>
                <w:sz w:val="18"/>
                <w:szCs w:val="24"/>
              </w:rPr>
            </w:pPr>
            <w:r w:rsidRPr="009674DB">
              <w:rPr>
                <w:rFonts w:eastAsia="Times New Roman" w:cstheme="minorHAnsi"/>
                <w:color w:val="000000"/>
                <w:sz w:val="18"/>
                <w:szCs w:val="24"/>
              </w:rPr>
              <w:t>103 (79–133)</w:t>
            </w:r>
          </w:p>
        </w:tc>
      </w:tr>
      <w:tr w:rsidR="001E221D" w:rsidRPr="009674DB" w:rsidTr="00810E24">
        <w:trPr>
          <w:trHeight w:val="300"/>
          <w:jc w:val="center"/>
        </w:trPr>
        <w:tc>
          <w:tcPr>
            <w:tcW w:w="1796" w:type="dxa"/>
            <w:tcBorders>
              <w:bottom w:val="single" w:sz="4" w:space="0" w:color="auto"/>
            </w:tcBorders>
            <w:shd w:val="clear" w:color="auto" w:fill="auto"/>
            <w:noWrap/>
            <w:vAlign w:val="center"/>
          </w:tcPr>
          <w:p w:rsidR="001E221D" w:rsidRPr="009674DB" w:rsidRDefault="001E221D" w:rsidP="00810E24">
            <w:pPr>
              <w:spacing w:after="0" w:line="240" w:lineRule="auto"/>
              <w:rPr>
                <w:rFonts w:eastAsia="Times New Roman" w:cstheme="minorHAnsi"/>
                <w:color w:val="000000"/>
                <w:sz w:val="18"/>
                <w:szCs w:val="24"/>
                <w:vertAlign w:val="superscript"/>
              </w:rPr>
            </w:pPr>
            <w:r w:rsidRPr="009674DB">
              <w:rPr>
                <w:rFonts w:eastAsia="Times New Roman" w:cstheme="minorHAnsi"/>
                <w:color w:val="000000"/>
                <w:sz w:val="18"/>
                <w:szCs w:val="24"/>
              </w:rPr>
              <w:t>All non-skin cancers</w:t>
            </w:r>
            <w:r w:rsidRPr="009674DB">
              <w:rPr>
                <w:rFonts w:eastAsia="Times New Roman" w:cstheme="minorHAnsi"/>
                <w:color w:val="000000"/>
                <w:sz w:val="18"/>
                <w:szCs w:val="24"/>
                <w:vertAlign w:val="superscript"/>
              </w:rPr>
              <w:t>*</w:t>
            </w:r>
            <w:r>
              <w:rPr>
                <w:rFonts w:eastAsia="Times New Roman" w:cstheme="minorHAnsi"/>
                <w:color w:val="000000"/>
                <w:sz w:val="18"/>
                <w:szCs w:val="24"/>
                <w:vertAlign w:val="superscript"/>
              </w:rPr>
              <w:t>*</w:t>
            </w:r>
          </w:p>
        </w:tc>
        <w:tc>
          <w:tcPr>
            <w:tcW w:w="726" w:type="dxa"/>
            <w:tcBorders>
              <w:bottom w:val="single" w:sz="4" w:space="0" w:color="auto"/>
            </w:tcBorders>
            <w:shd w:val="clear" w:color="000000" w:fill="FFFFFF"/>
            <w:noWrap/>
            <w:vAlign w:val="center"/>
          </w:tcPr>
          <w:p w:rsidR="001E221D" w:rsidRPr="009674DB" w:rsidRDefault="001E221D" w:rsidP="00810E24">
            <w:pPr>
              <w:spacing w:after="0" w:line="240" w:lineRule="auto"/>
              <w:jc w:val="right"/>
              <w:rPr>
                <w:rFonts w:eastAsia="Times New Roman" w:cstheme="minorHAnsi"/>
                <w:color w:val="000000"/>
                <w:sz w:val="18"/>
                <w:szCs w:val="24"/>
              </w:rPr>
            </w:pPr>
            <w:r w:rsidRPr="009674DB">
              <w:rPr>
                <w:rFonts w:eastAsia="Times New Roman" w:cstheme="minorHAnsi"/>
                <w:color w:val="000000"/>
                <w:sz w:val="18"/>
                <w:szCs w:val="24"/>
              </w:rPr>
              <w:t>54</w:t>
            </w:r>
          </w:p>
        </w:tc>
        <w:tc>
          <w:tcPr>
            <w:tcW w:w="1596" w:type="dxa"/>
            <w:tcBorders>
              <w:bottom w:val="single" w:sz="4" w:space="0" w:color="auto"/>
            </w:tcBorders>
            <w:shd w:val="clear" w:color="auto" w:fill="auto"/>
            <w:noWrap/>
            <w:vAlign w:val="center"/>
          </w:tcPr>
          <w:p w:rsidR="001E221D" w:rsidRPr="009674DB" w:rsidRDefault="001E221D" w:rsidP="00810E24">
            <w:pPr>
              <w:spacing w:after="0" w:line="240" w:lineRule="auto"/>
              <w:jc w:val="right"/>
              <w:rPr>
                <w:rFonts w:eastAsia="Times New Roman" w:cstheme="minorHAnsi"/>
                <w:color w:val="000000"/>
                <w:sz w:val="18"/>
                <w:szCs w:val="24"/>
              </w:rPr>
            </w:pPr>
            <w:r w:rsidRPr="009674DB">
              <w:rPr>
                <w:rFonts w:eastAsia="Times New Roman" w:cstheme="minorHAnsi"/>
                <w:color w:val="000000"/>
                <w:sz w:val="18"/>
                <w:szCs w:val="24"/>
              </w:rPr>
              <w:t>98 (73–128)</w:t>
            </w:r>
          </w:p>
        </w:tc>
        <w:tc>
          <w:tcPr>
            <w:tcW w:w="1912" w:type="dxa"/>
            <w:tcBorders>
              <w:bottom w:val="single" w:sz="4" w:space="0" w:color="auto"/>
            </w:tcBorders>
            <w:shd w:val="clear" w:color="auto" w:fill="auto"/>
            <w:noWrap/>
            <w:vAlign w:val="center"/>
          </w:tcPr>
          <w:p w:rsidR="001E221D" w:rsidRPr="009674DB" w:rsidRDefault="001E221D" w:rsidP="00810E24">
            <w:pPr>
              <w:spacing w:after="0" w:line="240" w:lineRule="auto"/>
              <w:jc w:val="right"/>
              <w:rPr>
                <w:rFonts w:eastAsia="Times New Roman" w:cstheme="minorHAnsi"/>
                <w:color w:val="000000"/>
                <w:sz w:val="18"/>
                <w:szCs w:val="24"/>
              </w:rPr>
            </w:pPr>
            <w:r w:rsidRPr="009674DB">
              <w:rPr>
                <w:rFonts w:eastAsia="Times New Roman" w:cstheme="minorHAnsi"/>
                <w:color w:val="000000"/>
                <w:sz w:val="18"/>
                <w:szCs w:val="24"/>
              </w:rPr>
              <w:t>74 (53–100)</w:t>
            </w:r>
          </w:p>
        </w:tc>
        <w:tc>
          <w:tcPr>
            <w:tcW w:w="1890" w:type="dxa"/>
            <w:tcBorders>
              <w:bottom w:val="single" w:sz="4" w:space="0" w:color="auto"/>
            </w:tcBorders>
            <w:shd w:val="clear" w:color="auto" w:fill="auto"/>
            <w:noWrap/>
            <w:vAlign w:val="center"/>
          </w:tcPr>
          <w:p w:rsidR="001E221D" w:rsidRPr="009674DB" w:rsidRDefault="001E221D" w:rsidP="00810E24">
            <w:pPr>
              <w:spacing w:after="0" w:line="240" w:lineRule="auto"/>
              <w:jc w:val="right"/>
              <w:rPr>
                <w:rFonts w:eastAsia="Times New Roman" w:cstheme="minorHAnsi"/>
                <w:color w:val="000000"/>
                <w:sz w:val="18"/>
                <w:szCs w:val="24"/>
              </w:rPr>
            </w:pPr>
            <w:r w:rsidRPr="009674DB">
              <w:rPr>
                <w:rFonts w:eastAsia="Times New Roman" w:cstheme="minorHAnsi"/>
                <w:color w:val="000000"/>
                <w:sz w:val="18"/>
                <w:szCs w:val="24"/>
              </w:rPr>
              <w:t>89 (66–117)</w:t>
            </w:r>
          </w:p>
        </w:tc>
      </w:tr>
      <w:tr w:rsidR="001E221D" w:rsidRPr="009674DB" w:rsidTr="00810E24">
        <w:trPr>
          <w:trHeight w:val="440"/>
          <w:jc w:val="center"/>
        </w:trPr>
        <w:tc>
          <w:tcPr>
            <w:tcW w:w="7920" w:type="dxa"/>
            <w:gridSpan w:val="5"/>
            <w:tcBorders>
              <w:top w:val="single" w:sz="4" w:space="0" w:color="auto"/>
            </w:tcBorders>
            <w:shd w:val="clear" w:color="auto" w:fill="auto"/>
            <w:noWrap/>
            <w:vAlign w:val="center"/>
          </w:tcPr>
          <w:p w:rsidR="001E221D" w:rsidRPr="009674DB" w:rsidRDefault="001E221D" w:rsidP="00810E24">
            <w:pPr>
              <w:spacing w:after="0" w:line="240" w:lineRule="auto"/>
              <w:rPr>
                <w:rFonts w:eastAsia="Times New Roman" w:cstheme="minorHAnsi"/>
                <w:color w:val="000000"/>
                <w:sz w:val="18"/>
                <w:szCs w:val="24"/>
              </w:rPr>
            </w:pPr>
            <w:r w:rsidRPr="009674DB">
              <w:rPr>
                <w:rFonts w:cstheme="minorHAnsi"/>
                <w:sz w:val="16"/>
                <w:szCs w:val="18"/>
              </w:rPr>
              <w:t>* Estimates computed by using bias-corrected observed tumor counts for the individual cancers listed above</w:t>
            </w:r>
            <w:r>
              <w:rPr>
                <w:rFonts w:cstheme="minorHAnsi"/>
                <w:sz w:val="16"/>
                <w:szCs w:val="18"/>
              </w:rPr>
              <w:t xml:space="preserve"> using the two methods outlined.</w:t>
            </w:r>
          </w:p>
        </w:tc>
      </w:tr>
      <w:tr w:rsidR="001E221D" w:rsidRPr="009674DB" w:rsidTr="00810E24">
        <w:trPr>
          <w:trHeight w:val="450"/>
          <w:jc w:val="center"/>
        </w:trPr>
        <w:tc>
          <w:tcPr>
            <w:tcW w:w="7920" w:type="dxa"/>
            <w:gridSpan w:val="5"/>
            <w:shd w:val="clear" w:color="auto" w:fill="auto"/>
            <w:noWrap/>
            <w:vAlign w:val="center"/>
          </w:tcPr>
          <w:p w:rsidR="001E221D" w:rsidRPr="009674DB" w:rsidRDefault="001E221D" w:rsidP="00810E24">
            <w:pPr>
              <w:spacing w:after="0" w:line="240" w:lineRule="auto"/>
              <w:rPr>
                <w:rFonts w:eastAsia="Times New Roman" w:cstheme="minorHAnsi"/>
                <w:color w:val="000000"/>
                <w:sz w:val="18"/>
                <w:szCs w:val="24"/>
              </w:rPr>
            </w:pPr>
            <w:r w:rsidRPr="009674DB">
              <w:rPr>
                <w:rFonts w:cstheme="minorHAnsi"/>
                <w:sz w:val="16"/>
                <w:szCs w:val="18"/>
              </w:rPr>
              <w:t>*</w:t>
            </w:r>
            <w:r>
              <w:rPr>
                <w:rFonts w:cstheme="minorHAnsi"/>
                <w:sz w:val="16"/>
                <w:szCs w:val="18"/>
              </w:rPr>
              <w:t>*</w:t>
            </w:r>
            <w:r w:rsidRPr="009674DB">
              <w:rPr>
                <w:rFonts w:cstheme="minorHAnsi"/>
                <w:sz w:val="16"/>
                <w:szCs w:val="18"/>
              </w:rPr>
              <w:t xml:space="preserve"> Estimates computed by using bias-corrected observed tumor counts for the individual cancers listed above</w:t>
            </w:r>
            <w:r>
              <w:rPr>
                <w:rFonts w:cstheme="minorHAnsi"/>
                <w:sz w:val="16"/>
                <w:szCs w:val="18"/>
              </w:rPr>
              <w:t xml:space="preserve"> using the two methods outlined, excluding melanoma.</w:t>
            </w:r>
          </w:p>
        </w:tc>
      </w:tr>
    </w:tbl>
    <w:p w:rsidR="001E221D" w:rsidRPr="009674DB" w:rsidRDefault="001E221D" w:rsidP="001E221D">
      <w:pPr>
        <w:spacing w:after="0" w:line="480" w:lineRule="auto"/>
        <w:ind w:firstLine="567"/>
        <w:jc w:val="both"/>
        <w:rPr>
          <w:rFonts w:cstheme="minorHAnsi"/>
          <w:sz w:val="24"/>
          <w:szCs w:val="24"/>
        </w:rPr>
      </w:pPr>
    </w:p>
    <w:p w:rsidR="001E221D" w:rsidRPr="009674DB" w:rsidRDefault="001E221D" w:rsidP="001E221D">
      <w:pPr>
        <w:spacing w:after="0" w:line="480" w:lineRule="auto"/>
        <w:ind w:firstLine="567"/>
        <w:jc w:val="both"/>
        <w:rPr>
          <w:rFonts w:cstheme="minorHAnsi"/>
          <w:sz w:val="24"/>
          <w:szCs w:val="24"/>
        </w:rPr>
      </w:pPr>
      <w:r w:rsidRPr="009674DB">
        <w:rPr>
          <w:rFonts w:cstheme="minorHAnsi"/>
          <w:sz w:val="24"/>
          <w:szCs w:val="24"/>
        </w:rPr>
        <w:t>The composite measures in Table A1, all cancers combined and all non-skin cancers combined, were recomputed using the corrected observed values derived from the corrected SIRs under the two methods outlined above. The uncorrected SIR for all cancers combined is 112 (95% CI = 86–143). After correction with the first method (assuming the observed is equal to the expected for the three potential biased tumor types)</w:t>
      </w:r>
      <w:r>
        <w:rPr>
          <w:rFonts w:cstheme="minorHAnsi"/>
          <w:sz w:val="24"/>
          <w:szCs w:val="24"/>
        </w:rPr>
        <w:t>,</w:t>
      </w:r>
      <w:r w:rsidRPr="009674DB">
        <w:rPr>
          <w:rFonts w:cstheme="minorHAnsi"/>
          <w:sz w:val="24"/>
          <w:szCs w:val="24"/>
        </w:rPr>
        <w:t xml:space="preserve"> the SIR is 92 (95% CI = 70–119). After correction using the second method, the all-cancer SIR is 103 (95% CI = 79–133). The non-</w:t>
      </w:r>
      <w:r w:rsidRPr="009674DB">
        <w:rPr>
          <w:rFonts w:cstheme="minorHAnsi"/>
          <w:sz w:val="24"/>
          <w:szCs w:val="24"/>
        </w:rPr>
        <w:lastRenderedPageBreak/>
        <w:t>skin, all-cancer SIR is 98 (95% CI = 73–128); after correction by the first method</w:t>
      </w:r>
      <w:r>
        <w:rPr>
          <w:rFonts w:cstheme="minorHAnsi"/>
          <w:sz w:val="24"/>
          <w:szCs w:val="24"/>
        </w:rPr>
        <w:t>,</w:t>
      </w:r>
      <w:r w:rsidRPr="009674DB">
        <w:rPr>
          <w:rFonts w:cstheme="minorHAnsi"/>
          <w:sz w:val="24"/>
          <w:szCs w:val="24"/>
        </w:rPr>
        <w:t xml:space="preserve"> it is 74 (95% CI = 53–100), and after correction by the second method</w:t>
      </w:r>
      <w:r>
        <w:rPr>
          <w:rFonts w:cstheme="minorHAnsi"/>
          <w:sz w:val="24"/>
          <w:szCs w:val="24"/>
        </w:rPr>
        <w:t>,</w:t>
      </w:r>
      <w:r w:rsidRPr="009674DB">
        <w:rPr>
          <w:rFonts w:cstheme="minorHAnsi"/>
          <w:sz w:val="24"/>
          <w:szCs w:val="24"/>
        </w:rPr>
        <w:t xml:space="preserve"> it is 89 (95% CI = 66–117).</w:t>
      </w:r>
    </w:p>
    <w:p w:rsidR="001E221D" w:rsidRPr="009674DB" w:rsidRDefault="001E221D" w:rsidP="001E221D">
      <w:pPr>
        <w:spacing w:after="0" w:line="480" w:lineRule="auto"/>
        <w:ind w:firstLine="567"/>
        <w:jc w:val="both"/>
        <w:rPr>
          <w:rFonts w:cstheme="minorHAnsi"/>
          <w:sz w:val="24"/>
          <w:szCs w:val="24"/>
        </w:rPr>
      </w:pPr>
      <w:r w:rsidRPr="009674DB">
        <w:rPr>
          <w:rFonts w:cstheme="minorHAnsi"/>
          <w:sz w:val="24"/>
          <w:szCs w:val="24"/>
        </w:rPr>
        <w:t>In view of the large uncertainties that remain in these estimates, interpretation of differences between these two methods of bias correction, or in differences from the uncorrected SIR, is difficult. However, we feel that these estimates may provide further insight on the potential impact of detection bias among astronauts for several tumor types.</w:t>
      </w:r>
    </w:p>
    <w:p w:rsidR="001E221D" w:rsidRPr="009674DB" w:rsidRDefault="001E221D" w:rsidP="001E221D">
      <w:pPr>
        <w:spacing w:after="0" w:line="240" w:lineRule="auto"/>
        <w:rPr>
          <w:rFonts w:cstheme="minorHAnsi"/>
          <w:b/>
          <w:bCs/>
          <w:sz w:val="20"/>
          <w:szCs w:val="24"/>
        </w:rPr>
      </w:pPr>
    </w:p>
    <w:p w:rsidR="001E221D" w:rsidRPr="009674DB" w:rsidRDefault="001E221D" w:rsidP="001E221D">
      <w:pPr>
        <w:rPr>
          <w:rFonts w:cstheme="minorHAnsi"/>
        </w:rPr>
      </w:pPr>
    </w:p>
    <w:p w:rsidR="00F5286F" w:rsidRDefault="00F5286F"/>
    <w:sectPr w:rsidR="00F5286F" w:rsidSect="0098771D">
      <w:footerReference w:type="default" r:id="rId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7684505"/>
      <w:docPartObj>
        <w:docPartGallery w:val="Page Numbers (Bottom of Page)"/>
        <w:docPartUnique/>
      </w:docPartObj>
    </w:sdtPr>
    <w:sdtEndPr>
      <w:rPr>
        <w:noProof/>
      </w:rPr>
    </w:sdtEndPr>
    <w:sdtContent>
      <w:p w:rsidR="00F934C3" w:rsidRDefault="001E221D">
        <w:pPr>
          <w:pStyle w:val="Footer"/>
          <w:jc w:val="center"/>
        </w:pPr>
        <w:r>
          <w:fldChar w:fldCharType="begin"/>
        </w:r>
        <w:r>
          <w:instrText xml:space="preserve"> PAGE   \* MERGEFORMAT </w:instrText>
        </w:r>
        <w:r>
          <w:fldChar w:fldCharType="separate"/>
        </w:r>
        <w:r>
          <w:rPr>
            <w:noProof/>
          </w:rPr>
          <w:t>3</w:t>
        </w:r>
        <w:r>
          <w:rPr>
            <w:noProof/>
          </w:rPr>
          <w:fldChar w:fldCharType="end"/>
        </w:r>
      </w:p>
    </w:sdtContent>
  </w:sdt>
  <w:p w:rsidR="00F934C3" w:rsidRDefault="001E221D">
    <w:pPr>
      <w:pStyle w:val="Footer"/>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1E221D"/>
    <w:rsid w:val="001E221D"/>
    <w:rsid w:val="00F5286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221D"/>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E22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221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672</Words>
  <Characters>3834</Characters>
  <Application>Microsoft Office Word</Application>
  <DocSecurity>0</DocSecurity>
  <Lines>31</Lines>
  <Paragraphs>8</Paragraphs>
  <ScaleCrop>false</ScaleCrop>
  <Company/>
  <LinksUpToDate>false</LinksUpToDate>
  <CharactersWithSpaces>4498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Ruchi</dc:creator>
  <cp:lastModifiedBy>Ruchi</cp:lastModifiedBy>
  <cp:revision>1</cp:revision>
  <dcterms:created xsi:type="dcterms:W3CDTF">2020-08-20T08:20:00Z</dcterms:created>
  <dcterms:modified xsi:type="dcterms:W3CDTF">2020-08-20T08:20:00Z</dcterms:modified>
</cp:coreProperties>
</file>