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2F3BDF" w14:textId="77777777" w:rsidR="007D28B0" w:rsidRPr="00BA4533" w:rsidRDefault="007D28B0" w:rsidP="007D28B0">
      <w:pPr>
        <w:spacing w:line="480" w:lineRule="auto"/>
        <w:rPr>
          <w:rFonts w:cs="Times New Roman"/>
          <w:sz w:val="24"/>
        </w:rPr>
      </w:pPr>
      <w:r w:rsidRPr="00BA4533">
        <w:rPr>
          <w:rFonts w:cs="Times New Roman"/>
          <w:b/>
          <w:bCs/>
          <w:sz w:val="24"/>
        </w:rPr>
        <w:t>Supplementary Figure 1. Cell proliferation inhibition assay using small interfering RNA transfection in colorectal cancer cell lines.</w:t>
      </w:r>
    </w:p>
    <w:p w14:paraId="3018E06F" w14:textId="77777777" w:rsidR="007D28B0" w:rsidRDefault="007D28B0" w:rsidP="007D28B0">
      <w:pPr>
        <w:spacing w:line="480" w:lineRule="auto"/>
        <w:rPr>
          <w:rFonts w:cs="Times New Roman"/>
          <w:sz w:val="24"/>
        </w:rPr>
      </w:pPr>
      <w:r w:rsidRPr="00A611A9">
        <w:rPr>
          <w:rFonts w:cs="Times New Roman"/>
          <w:sz w:val="24"/>
        </w:rPr>
        <w:t>qRT-PCR analysis of GLUT1 mRNA levels (A) and cell proliferation assay (B) after transfection with control or GLUT1-targeting siRNA. The expression pattern in control cells was used as a reference value.</w:t>
      </w:r>
    </w:p>
    <w:p w14:paraId="4566D711" w14:textId="77777777" w:rsidR="007D28B0" w:rsidRPr="00A611A9" w:rsidRDefault="007D28B0" w:rsidP="007D28B0">
      <w:pPr>
        <w:spacing w:line="480" w:lineRule="auto"/>
        <w:rPr>
          <w:rFonts w:cs="Times New Roman"/>
          <w:sz w:val="24"/>
        </w:rPr>
      </w:pPr>
    </w:p>
    <w:p w14:paraId="155591BA" w14:textId="77777777" w:rsidR="007D28B0" w:rsidRPr="00BA4533" w:rsidRDefault="007D28B0" w:rsidP="007D28B0">
      <w:pPr>
        <w:spacing w:line="480" w:lineRule="auto"/>
        <w:rPr>
          <w:rFonts w:cs="Times New Roman"/>
          <w:b/>
          <w:bCs/>
          <w:sz w:val="24"/>
        </w:rPr>
      </w:pPr>
      <w:r w:rsidRPr="00BA4533">
        <w:rPr>
          <w:rFonts w:cs="Times New Roman"/>
          <w:b/>
          <w:bCs/>
          <w:sz w:val="24"/>
        </w:rPr>
        <w:t>Supplementary Figure 2. Increased reactive oxygen species (ROS) levels were visually confirmed by fluorescence microscopy.</w:t>
      </w:r>
    </w:p>
    <w:p w14:paraId="0EC44B4A" w14:textId="77777777" w:rsidR="007D28B0" w:rsidRPr="00BA4533" w:rsidRDefault="007D28B0" w:rsidP="007D28B0">
      <w:pPr>
        <w:spacing w:line="480" w:lineRule="auto"/>
        <w:rPr>
          <w:rFonts w:cs="Times New Roman"/>
          <w:sz w:val="24"/>
        </w:rPr>
      </w:pPr>
      <w:r w:rsidRPr="00BA4533">
        <w:rPr>
          <w:rFonts w:cs="Times New Roman"/>
          <w:sz w:val="24"/>
        </w:rPr>
        <w:t>ROS-positive cells labeled with DCFH-DA were observed using a fluorescence microscope in HCT116 and Caco-2 cells (magnification: 40</w:t>
      </w:r>
      <w:r w:rsidRPr="00BA4533">
        <w:rPr>
          <w:rFonts w:cs="Times New Roman"/>
          <w:sz w:val="24"/>
        </w:rPr>
        <w:sym w:font="Symbol" w:char="F0B4"/>
      </w:r>
      <w:r w:rsidRPr="00BA4533">
        <w:rPr>
          <w:rFonts w:cs="Times New Roman"/>
          <w:sz w:val="24"/>
        </w:rPr>
        <w:t>).</w:t>
      </w:r>
    </w:p>
    <w:p w14:paraId="1B890AA3" w14:textId="77777777" w:rsidR="007D28B0" w:rsidRPr="00BA4533" w:rsidRDefault="007D28B0" w:rsidP="007D28B0">
      <w:pPr>
        <w:spacing w:line="480" w:lineRule="auto"/>
        <w:rPr>
          <w:rFonts w:cs="Times New Roman"/>
          <w:sz w:val="24"/>
        </w:rPr>
      </w:pPr>
    </w:p>
    <w:p w14:paraId="7369BDE4" w14:textId="77777777" w:rsidR="007D28B0" w:rsidRPr="00BA4533" w:rsidRDefault="007D28B0" w:rsidP="007D28B0">
      <w:pPr>
        <w:spacing w:line="480" w:lineRule="auto"/>
        <w:rPr>
          <w:rFonts w:cs="Times New Roman"/>
          <w:b/>
          <w:bCs/>
          <w:sz w:val="24"/>
        </w:rPr>
      </w:pPr>
      <w:r w:rsidRPr="00BA4533">
        <w:rPr>
          <w:rFonts w:cs="Times New Roman"/>
          <w:b/>
          <w:bCs/>
          <w:sz w:val="24"/>
        </w:rPr>
        <w:t>Supplementary Figure 3. Western blot analysis of cleaved-PARP expression showed a similar pattern to that observed in the Annexin-V assay.</w:t>
      </w:r>
    </w:p>
    <w:p w14:paraId="3AA6DA40" w14:textId="77777777" w:rsidR="007D28B0" w:rsidRDefault="007D28B0" w:rsidP="007D28B0">
      <w:pPr>
        <w:spacing w:line="480" w:lineRule="auto"/>
        <w:rPr>
          <w:rFonts w:cs="Times New Roman"/>
          <w:color w:val="000000" w:themeColor="text1"/>
          <w:sz w:val="24"/>
        </w:rPr>
      </w:pPr>
      <w:r w:rsidRPr="00BA4533">
        <w:rPr>
          <w:rFonts w:cs="Times New Roman"/>
          <w:color w:val="000000" w:themeColor="text1"/>
          <w:sz w:val="24"/>
        </w:rPr>
        <w:t xml:space="preserve">The full-length blots are presented in Supplementary Figure </w:t>
      </w:r>
      <w:r>
        <w:rPr>
          <w:rFonts w:cs="Times New Roman"/>
          <w:color w:val="000000" w:themeColor="text1"/>
          <w:sz w:val="24"/>
        </w:rPr>
        <w:t>8</w:t>
      </w:r>
      <w:r w:rsidRPr="00BA4533">
        <w:rPr>
          <w:rFonts w:cs="Times New Roman"/>
          <w:color w:val="000000" w:themeColor="text1"/>
          <w:sz w:val="24"/>
        </w:rPr>
        <w:t>.</w:t>
      </w:r>
    </w:p>
    <w:p w14:paraId="2E0F9DFF" w14:textId="77777777" w:rsidR="007D28B0" w:rsidRPr="00A611A9" w:rsidRDefault="007D28B0" w:rsidP="007D28B0">
      <w:pPr>
        <w:spacing w:line="480" w:lineRule="auto"/>
        <w:rPr>
          <w:rFonts w:cs="Times New Roman"/>
          <w:b/>
          <w:bCs/>
          <w:sz w:val="24"/>
        </w:rPr>
      </w:pPr>
    </w:p>
    <w:p w14:paraId="282D03D3" w14:textId="77777777" w:rsidR="007D28B0" w:rsidRPr="00BA4533" w:rsidRDefault="007D28B0" w:rsidP="007D28B0">
      <w:pPr>
        <w:spacing w:line="480" w:lineRule="auto"/>
        <w:rPr>
          <w:rFonts w:cs="Times New Roman"/>
          <w:sz w:val="24"/>
        </w:rPr>
      </w:pPr>
      <w:r w:rsidRPr="00BA4533">
        <w:rPr>
          <w:rFonts w:cs="Times New Roman"/>
          <w:b/>
          <w:bCs/>
          <w:sz w:val="24"/>
        </w:rPr>
        <w:t>Supplementary Figure 4. Western blot analysis of cleaved-PARP expression showed a large expression difference between the samples, with no clear trend.</w:t>
      </w:r>
    </w:p>
    <w:p w14:paraId="61F8745E" w14:textId="77777777" w:rsidR="007D28B0" w:rsidRDefault="007D28B0" w:rsidP="007D28B0">
      <w:pPr>
        <w:spacing w:line="480" w:lineRule="auto"/>
        <w:rPr>
          <w:rFonts w:cs="Times New Roman"/>
          <w:color w:val="000000" w:themeColor="text1"/>
          <w:sz w:val="24"/>
        </w:rPr>
      </w:pPr>
      <w:r w:rsidRPr="00BA4533">
        <w:rPr>
          <w:rFonts w:cs="Times New Roman"/>
          <w:color w:val="000000" w:themeColor="text1"/>
          <w:sz w:val="24"/>
        </w:rPr>
        <w:t xml:space="preserve">The full-length blots are presented in Supplementary Figure </w:t>
      </w:r>
      <w:r>
        <w:rPr>
          <w:rFonts w:cs="Times New Roman"/>
          <w:color w:val="000000" w:themeColor="text1"/>
          <w:sz w:val="24"/>
        </w:rPr>
        <w:t>9</w:t>
      </w:r>
      <w:r w:rsidRPr="00BA4533">
        <w:rPr>
          <w:rFonts w:cs="Times New Roman"/>
          <w:color w:val="000000" w:themeColor="text1"/>
          <w:sz w:val="24"/>
        </w:rPr>
        <w:t>.</w:t>
      </w:r>
    </w:p>
    <w:p w14:paraId="13951544" w14:textId="77777777" w:rsidR="007D28B0" w:rsidRPr="00A611A9" w:rsidRDefault="007D28B0" w:rsidP="007D28B0">
      <w:pPr>
        <w:spacing w:line="480" w:lineRule="auto"/>
        <w:rPr>
          <w:rFonts w:cs="Times New Roman"/>
          <w:sz w:val="24"/>
        </w:rPr>
      </w:pPr>
    </w:p>
    <w:p w14:paraId="595D8062" w14:textId="77777777" w:rsidR="007D28B0" w:rsidRPr="00BA4533" w:rsidRDefault="007D28B0" w:rsidP="007D28B0">
      <w:pPr>
        <w:spacing w:line="480" w:lineRule="auto"/>
        <w:rPr>
          <w:rFonts w:cs="Times New Roman"/>
          <w:b/>
          <w:bCs/>
          <w:sz w:val="24"/>
        </w:rPr>
      </w:pPr>
      <w:r w:rsidRPr="00BA4533">
        <w:rPr>
          <w:rFonts w:cs="Times New Roman"/>
          <w:b/>
          <w:bCs/>
          <w:sz w:val="24"/>
        </w:rPr>
        <w:t>Supplementary Figure 5. Comparison of glucose transporter 1 (GLUT1) protein expression levels among cell lines.</w:t>
      </w:r>
    </w:p>
    <w:p w14:paraId="73130FA8" w14:textId="77777777" w:rsidR="007D28B0" w:rsidRPr="00BA4533" w:rsidRDefault="007D28B0" w:rsidP="007D28B0">
      <w:pPr>
        <w:spacing w:line="480" w:lineRule="auto"/>
        <w:rPr>
          <w:rFonts w:cs="Times New Roman"/>
          <w:sz w:val="24"/>
        </w:rPr>
      </w:pPr>
      <w:r w:rsidRPr="00BA4533">
        <w:rPr>
          <w:rFonts w:cs="Times New Roman"/>
          <w:sz w:val="24"/>
        </w:rPr>
        <w:t>The expression pattern in HCT116 cells was used as a reference value.</w:t>
      </w:r>
    </w:p>
    <w:p w14:paraId="3D4C9AFD" w14:textId="77777777" w:rsidR="007D28B0" w:rsidRPr="00BA4533" w:rsidRDefault="007D28B0" w:rsidP="007D28B0">
      <w:pPr>
        <w:spacing w:line="480" w:lineRule="auto"/>
        <w:rPr>
          <w:rFonts w:cs="Times New Roman"/>
          <w:sz w:val="24"/>
        </w:rPr>
      </w:pPr>
    </w:p>
    <w:p w14:paraId="3EE2B899" w14:textId="77777777" w:rsidR="007D28B0" w:rsidRPr="00BA4533" w:rsidRDefault="007D28B0" w:rsidP="007D28B0">
      <w:pPr>
        <w:spacing w:line="480" w:lineRule="auto"/>
        <w:rPr>
          <w:rFonts w:cs="Times New Roman"/>
          <w:b/>
          <w:bCs/>
          <w:sz w:val="24"/>
        </w:rPr>
      </w:pPr>
      <w:r w:rsidRPr="00BA4533">
        <w:rPr>
          <w:rFonts w:cs="Times New Roman"/>
          <w:b/>
          <w:bCs/>
          <w:sz w:val="24"/>
        </w:rPr>
        <w:t>Supplementary Figure 6. Full-length blots of the samples</w:t>
      </w:r>
      <w:r>
        <w:rPr>
          <w:rFonts w:cs="Times New Roman"/>
          <w:b/>
          <w:bCs/>
          <w:sz w:val="24"/>
        </w:rPr>
        <w:t xml:space="preserve"> in Figure 2</w:t>
      </w:r>
      <w:r w:rsidRPr="00BA4533">
        <w:rPr>
          <w:rFonts w:cs="Times New Roman"/>
          <w:b/>
          <w:bCs/>
          <w:sz w:val="24"/>
        </w:rPr>
        <w:t xml:space="preserve">. </w:t>
      </w:r>
    </w:p>
    <w:p w14:paraId="1AD09383" w14:textId="77777777" w:rsidR="007D28B0" w:rsidRPr="00BA4533" w:rsidRDefault="007D28B0" w:rsidP="007D28B0">
      <w:pPr>
        <w:spacing w:line="480" w:lineRule="auto"/>
        <w:rPr>
          <w:rFonts w:cs="Times New Roman"/>
          <w:sz w:val="24"/>
        </w:rPr>
      </w:pPr>
      <w:r>
        <w:rPr>
          <w:rFonts w:cs="Times New Roman"/>
          <w:sz w:val="24"/>
        </w:rPr>
        <w:t xml:space="preserve">HCT116 (A), COLO205 (B), DLD1 (C), LoVo (D) and Caco-2 (E) samples. </w:t>
      </w:r>
      <w:r w:rsidRPr="00BA4533">
        <w:rPr>
          <w:rFonts w:cs="Times New Roman"/>
          <w:sz w:val="24"/>
        </w:rPr>
        <w:t>The red lines indicate cropped areas.</w:t>
      </w:r>
    </w:p>
    <w:p w14:paraId="4EB7B878" w14:textId="77777777" w:rsidR="007D28B0" w:rsidRPr="00BA4533" w:rsidRDefault="007D28B0" w:rsidP="007D28B0">
      <w:pPr>
        <w:spacing w:line="480" w:lineRule="auto"/>
        <w:rPr>
          <w:rFonts w:cs="Times New Roman"/>
          <w:sz w:val="24"/>
        </w:rPr>
      </w:pPr>
    </w:p>
    <w:p w14:paraId="792CB00D" w14:textId="77777777" w:rsidR="007D28B0" w:rsidRPr="00BA4533" w:rsidRDefault="007D28B0" w:rsidP="007D28B0">
      <w:pPr>
        <w:spacing w:line="480" w:lineRule="auto"/>
        <w:rPr>
          <w:rFonts w:cs="Times New Roman"/>
          <w:b/>
          <w:bCs/>
          <w:sz w:val="24"/>
        </w:rPr>
      </w:pPr>
      <w:r w:rsidRPr="00BA4533">
        <w:rPr>
          <w:rFonts w:cs="Times New Roman"/>
          <w:b/>
          <w:bCs/>
          <w:sz w:val="24"/>
        </w:rPr>
        <w:t xml:space="preserve">Supplementary Figure 7. Full-length blots of the samples in Figure 6D. </w:t>
      </w:r>
    </w:p>
    <w:p w14:paraId="426AE878" w14:textId="77777777" w:rsidR="007D28B0" w:rsidRPr="00BA4533" w:rsidRDefault="007D28B0" w:rsidP="007D28B0">
      <w:pPr>
        <w:spacing w:line="480" w:lineRule="auto"/>
        <w:rPr>
          <w:rFonts w:cs="Times New Roman"/>
          <w:sz w:val="24"/>
        </w:rPr>
      </w:pPr>
      <w:r w:rsidRPr="00BA4533">
        <w:rPr>
          <w:rFonts w:cs="Times New Roman"/>
          <w:sz w:val="24"/>
        </w:rPr>
        <w:t>The red lines indicate cropped areas.</w:t>
      </w:r>
    </w:p>
    <w:p w14:paraId="1A652647" w14:textId="77777777" w:rsidR="007D28B0" w:rsidRPr="00BA4533" w:rsidRDefault="007D28B0" w:rsidP="007D28B0">
      <w:pPr>
        <w:spacing w:line="480" w:lineRule="auto"/>
        <w:rPr>
          <w:rFonts w:cs="Times New Roman"/>
          <w:sz w:val="24"/>
        </w:rPr>
      </w:pPr>
    </w:p>
    <w:p w14:paraId="357A2DBD" w14:textId="77777777" w:rsidR="007D28B0" w:rsidRPr="00BA4533" w:rsidRDefault="007D28B0" w:rsidP="007D28B0">
      <w:pPr>
        <w:spacing w:line="480" w:lineRule="auto"/>
        <w:rPr>
          <w:rFonts w:cs="Times New Roman"/>
          <w:sz w:val="24"/>
        </w:rPr>
      </w:pPr>
      <w:r w:rsidRPr="00BA4533">
        <w:rPr>
          <w:rFonts w:cs="Times New Roman"/>
          <w:b/>
          <w:bCs/>
          <w:sz w:val="24"/>
        </w:rPr>
        <w:t>Supplementary Figure 8. Full-length blots of samples in Supplementary Figure 3.</w:t>
      </w:r>
    </w:p>
    <w:p w14:paraId="2B396B20" w14:textId="77777777" w:rsidR="007D28B0" w:rsidRPr="00BA4533" w:rsidRDefault="007D28B0" w:rsidP="007D28B0">
      <w:pPr>
        <w:spacing w:line="480" w:lineRule="auto"/>
        <w:rPr>
          <w:rFonts w:cs="Times New Roman"/>
          <w:sz w:val="24"/>
        </w:rPr>
      </w:pPr>
      <w:r w:rsidRPr="00BA4533">
        <w:rPr>
          <w:rFonts w:cs="Times New Roman"/>
          <w:sz w:val="24"/>
        </w:rPr>
        <w:t>The red lines indicate cropped areas.</w:t>
      </w:r>
    </w:p>
    <w:p w14:paraId="54CF7EB2" w14:textId="77777777" w:rsidR="007D28B0" w:rsidRPr="00BA4533" w:rsidRDefault="007D28B0" w:rsidP="007D28B0">
      <w:pPr>
        <w:spacing w:line="480" w:lineRule="auto"/>
        <w:rPr>
          <w:rFonts w:cs="Times New Roman"/>
          <w:sz w:val="24"/>
        </w:rPr>
      </w:pPr>
    </w:p>
    <w:p w14:paraId="373C44DC" w14:textId="77777777" w:rsidR="007D28B0" w:rsidRPr="00BA4533" w:rsidRDefault="007D28B0" w:rsidP="007D28B0">
      <w:pPr>
        <w:spacing w:line="480" w:lineRule="auto"/>
        <w:rPr>
          <w:rFonts w:cs="Times New Roman"/>
          <w:sz w:val="24"/>
        </w:rPr>
      </w:pPr>
      <w:r w:rsidRPr="00BA4533">
        <w:rPr>
          <w:rFonts w:cs="Times New Roman"/>
          <w:b/>
          <w:bCs/>
          <w:sz w:val="24"/>
        </w:rPr>
        <w:t>Supplementary Figure 9. Full-length blots of samples in Supplementary Figure 4.</w:t>
      </w:r>
    </w:p>
    <w:p w14:paraId="1E2A8FBB" w14:textId="77777777" w:rsidR="007D28B0" w:rsidRPr="00BA4533" w:rsidRDefault="007D28B0" w:rsidP="007D28B0">
      <w:pPr>
        <w:spacing w:line="480" w:lineRule="auto"/>
        <w:rPr>
          <w:rFonts w:cs="Times New Roman"/>
          <w:sz w:val="24"/>
        </w:rPr>
      </w:pPr>
      <w:r w:rsidRPr="00BA4533">
        <w:rPr>
          <w:rFonts w:cs="Times New Roman"/>
          <w:sz w:val="24"/>
        </w:rPr>
        <w:t>The red lines indicate cropped areas.</w:t>
      </w:r>
    </w:p>
    <w:p w14:paraId="61D8AA4F" w14:textId="77777777" w:rsidR="007D28B0" w:rsidRPr="00BA4533" w:rsidRDefault="007D28B0" w:rsidP="007D28B0">
      <w:pPr>
        <w:spacing w:line="480" w:lineRule="auto"/>
        <w:rPr>
          <w:rFonts w:cs="Times New Roman"/>
          <w:sz w:val="24"/>
        </w:rPr>
      </w:pPr>
    </w:p>
    <w:p w14:paraId="500A8D70" w14:textId="77777777" w:rsidR="007D28B0" w:rsidRPr="00BA4533" w:rsidRDefault="007D28B0" w:rsidP="007D28B0">
      <w:pPr>
        <w:spacing w:line="480" w:lineRule="auto"/>
        <w:rPr>
          <w:rFonts w:cs="Times New Roman"/>
          <w:b/>
          <w:bCs/>
          <w:sz w:val="24"/>
        </w:rPr>
      </w:pPr>
      <w:r w:rsidRPr="00BA4533">
        <w:rPr>
          <w:rFonts w:cs="Times New Roman"/>
          <w:b/>
          <w:bCs/>
          <w:sz w:val="24"/>
        </w:rPr>
        <w:lastRenderedPageBreak/>
        <w:t>Supplementary Table 1</w:t>
      </w:r>
    </w:p>
    <w:p w14:paraId="3FE0DB61" w14:textId="77777777" w:rsidR="007D28B0" w:rsidRPr="00BA4533" w:rsidRDefault="007D28B0" w:rsidP="007D28B0">
      <w:pPr>
        <w:spacing w:line="480" w:lineRule="auto"/>
        <w:rPr>
          <w:rFonts w:cs="Times New Roman"/>
          <w:sz w:val="24"/>
        </w:rPr>
      </w:pPr>
      <w:r w:rsidRPr="00BA4533">
        <w:rPr>
          <w:rFonts w:cs="Times New Roman"/>
          <w:sz w:val="24"/>
        </w:rPr>
        <w:t>Mutation status of colorectal cancer cell lines (WT: wild-type, Mut: mutated).</w:t>
      </w:r>
    </w:p>
    <w:p w14:paraId="304CDBFA" w14:textId="77777777" w:rsidR="007D28B0" w:rsidRPr="00BA4533" w:rsidRDefault="007D28B0" w:rsidP="007D28B0">
      <w:pPr>
        <w:spacing w:line="480" w:lineRule="auto"/>
        <w:rPr>
          <w:rFonts w:cs="Times New Roman"/>
          <w:sz w:val="24"/>
        </w:rPr>
      </w:pPr>
    </w:p>
    <w:p w14:paraId="0F9FC118" w14:textId="77777777" w:rsidR="007D28B0" w:rsidRPr="00BA4533" w:rsidRDefault="007D28B0" w:rsidP="007D28B0">
      <w:pPr>
        <w:spacing w:line="480" w:lineRule="auto"/>
        <w:rPr>
          <w:rFonts w:cs="Times New Roman"/>
          <w:b/>
          <w:bCs/>
          <w:sz w:val="24"/>
        </w:rPr>
      </w:pPr>
      <w:r w:rsidRPr="00BA4533">
        <w:rPr>
          <w:rFonts w:cs="Times New Roman"/>
          <w:b/>
          <w:bCs/>
          <w:sz w:val="24"/>
        </w:rPr>
        <w:t>Supplementary Table 2</w:t>
      </w:r>
    </w:p>
    <w:p w14:paraId="7EBF5CD4" w14:textId="77777777" w:rsidR="007D28B0" w:rsidRPr="00BA4533" w:rsidRDefault="007D28B0" w:rsidP="007D28B0">
      <w:pPr>
        <w:spacing w:line="480" w:lineRule="auto"/>
        <w:rPr>
          <w:rFonts w:cs="Times New Roman"/>
          <w:sz w:val="24"/>
        </w:rPr>
      </w:pPr>
      <w:r w:rsidRPr="00BA4533">
        <w:rPr>
          <w:rFonts w:cs="Times New Roman"/>
          <w:sz w:val="24"/>
        </w:rPr>
        <w:t>Sequences of quantitative RT-PCR primers.</w:t>
      </w:r>
    </w:p>
    <w:p w14:paraId="166D49D6" w14:textId="77777777" w:rsidR="008C374B" w:rsidRDefault="008C374B"/>
    <w:sectPr w:rsidR="008C374B" w:rsidSect="007D28B0">
      <w:footerReference w:type="even" r:id="rId4"/>
      <w:footerReference w:type="default" r:id="rId5"/>
      <w:pgSz w:w="11900" w:h="16840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448821380"/>
      <w:docPartObj>
        <w:docPartGallery w:val="Page Numbers (Bottom of Page)"/>
        <w:docPartUnique/>
      </w:docPartObj>
    </w:sdtPr>
    <w:sdtContent>
      <w:p w14:paraId="0E592A2E" w14:textId="77777777" w:rsidR="00000000" w:rsidRDefault="00000000" w:rsidP="00E6191F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21</w:t>
        </w:r>
        <w:r>
          <w:rPr>
            <w:rStyle w:val="PageNumber"/>
          </w:rPr>
          <w:fldChar w:fldCharType="end"/>
        </w:r>
      </w:p>
    </w:sdtContent>
  </w:sdt>
  <w:p w14:paraId="0DB3CF40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asciiTheme="majorBidi" w:hAnsiTheme="majorBidi"/>
        <w:sz w:val="24"/>
      </w:rPr>
      <w:id w:val="-2124226686"/>
      <w:docPartObj>
        <w:docPartGallery w:val="Page Numbers (Bottom of Page)"/>
        <w:docPartUnique/>
      </w:docPartObj>
    </w:sdtPr>
    <w:sdtContent>
      <w:p w14:paraId="35C7E887" w14:textId="77777777" w:rsidR="00000000" w:rsidRPr="0097151F" w:rsidRDefault="00000000" w:rsidP="00E6191F">
        <w:pPr>
          <w:pStyle w:val="Footer"/>
          <w:framePr w:wrap="none" w:vAnchor="text" w:hAnchor="margin" w:xAlign="center" w:y="1"/>
          <w:rPr>
            <w:rStyle w:val="PageNumber"/>
            <w:rFonts w:asciiTheme="majorBidi" w:hAnsiTheme="majorBidi"/>
            <w:sz w:val="24"/>
          </w:rPr>
        </w:pPr>
        <w:r w:rsidRPr="0097151F">
          <w:rPr>
            <w:rStyle w:val="PageNumber"/>
            <w:rFonts w:asciiTheme="majorBidi" w:hAnsiTheme="majorBidi"/>
            <w:sz w:val="24"/>
          </w:rPr>
          <w:fldChar w:fldCharType="begin"/>
        </w:r>
        <w:r w:rsidRPr="0097151F">
          <w:rPr>
            <w:rStyle w:val="PageNumber"/>
            <w:rFonts w:asciiTheme="majorBidi" w:hAnsiTheme="majorBidi"/>
            <w:sz w:val="24"/>
          </w:rPr>
          <w:instrText xml:space="preserve"> PAGE </w:instrText>
        </w:r>
        <w:r w:rsidRPr="0097151F">
          <w:rPr>
            <w:rStyle w:val="PageNumber"/>
            <w:rFonts w:asciiTheme="majorBidi" w:hAnsiTheme="majorBidi"/>
            <w:sz w:val="24"/>
          </w:rPr>
          <w:fldChar w:fldCharType="separate"/>
        </w:r>
        <w:r>
          <w:rPr>
            <w:rStyle w:val="PageNumber"/>
            <w:rFonts w:asciiTheme="majorBidi" w:hAnsiTheme="majorBidi"/>
            <w:noProof/>
            <w:sz w:val="24"/>
          </w:rPr>
          <w:t>30</w:t>
        </w:r>
        <w:r w:rsidRPr="0097151F">
          <w:rPr>
            <w:rStyle w:val="PageNumber"/>
            <w:rFonts w:asciiTheme="majorBidi" w:hAnsiTheme="majorBidi"/>
            <w:sz w:val="24"/>
          </w:rPr>
          <w:fldChar w:fldCharType="end"/>
        </w:r>
      </w:p>
    </w:sdtContent>
  </w:sdt>
  <w:p w14:paraId="513040EF" w14:textId="77777777" w:rsidR="00000000" w:rsidRPr="0097151F" w:rsidRDefault="00000000">
    <w:pPr>
      <w:pStyle w:val="Footer"/>
      <w:rPr>
        <w:rFonts w:asciiTheme="majorBidi" w:hAnsiTheme="majorBidi" w:cstheme="majorBidi"/>
        <w:sz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8B0"/>
    <w:rsid w:val="002A5090"/>
    <w:rsid w:val="003F36CB"/>
    <w:rsid w:val="005C6F5D"/>
    <w:rsid w:val="007D28B0"/>
    <w:rsid w:val="008C374B"/>
    <w:rsid w:val="00954821"/>
    <w:rsid w:val="00AF416B"/>
    <w:rsid w:val="00CF674C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60480"/>
  <w15:chartTrackingRefBased/>
  <w15:docId w15:val="{BC3A26F8-6349-481B-8146-ABEF8549E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28B0"/>
    <w:pPr>
      <w:widowControl w:val="0"/>
      <w:spacing w:after="0" w:line="240" w:lineRule="auto"/>
      <w:jc w:val="both"/>
    </w:pPr>
    <w:rPr>
      <w:rFonts w:ascii="Times New Roman" w:eastAsiaTheme="minorEastAsia" w:hAnsi="Times New Roman"/>
      <w:sz w:val="21"/>
      <w:szCs w:val="21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28B0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28B0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28B0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28B0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28B0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28B0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28B0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28B0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28B0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28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28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28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28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28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28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28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28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28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28B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D28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28B0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D28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28B0"/>
    <w:pPr>
      <w:widowControl/>
      <w:spacing w:before="160" w:after="160" w:line="259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D28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28B0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D28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28B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28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28B0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7D28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28B0"/>
    <w:rPr>
      <w:rFonts w:ascii="Times New Roman" w:eastAsiaTheme="minorEastAsia" w:hAnsi="Times New Roman"/>
      <w:sz w:val="21"/>
      <w:szCs w:val="21"/>
      <w:lang w:eastAsia="ja-JP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7D28B0"/>
  </w:style>
  <w:style w:type="character" w:styleId="LineNumber">
    <w:name w:val="line number"/>
    <w:basedOn w:val="DefaultParagraphFont"/>
    <w:uiPriority w:val="99"/>
    <w:semiHidden/>
    <w:unhideWhenUsed/>
    <w:rsid w:val="007D28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282</Words>
  <Characters>1612</Characters>
  <Application>Microsoft Office Word</Application>
  <DocSecurity>0</DocSecurity>
  <Lines>13</Lines>
  <Paragraphs>3</Paragraphs>
  <ScaleCrop>false</ScaleCrop>
  <Company>Springer Nature</Company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2025-03-27T04:32:00Z</dcterms:created>
  <dcterms:modified xsi:type="dcterms:W3CDTF">2025-03-27T04:32:00Z</dcterms:modified>
</cp:coreProperties>
</file>