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76" w:tblpY="2406"/>
        <w:tblOverlap w:val="never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000" w:type="pct"/>
            <w:tcBorders>
              <w:tl2br w:val="nil"/>
              <w:tr2bl w:val="nil"/>
            </w:tcBorders>
          </w:tcPr>
          <w:p>
            <w:pPr>
              <w:spacing w:before="66"/>
              <w:ind w:right="0" w:firstLine="5040" w:firstLineChars="2100"/>
              <w:jc w:val="left"/>
              <w:rPr>
                <w:rFonts w:hint="default" w:ascii="Times New Roman" w:hAnsi="Times New Roman" w:eastAsia="Arial Narrow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Score</w:t>
            </w:r>
            <w:r>
              <w:rPr>
                <w:rFonts w:hint="default" w:ascii="Times New Roman" w:hAnsi="Times New Roman" w:cs="Times New Roman"/>
                <w:color w:val="231F20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 xml:space="preserve">5   </w:t>
            </w:r>
            <w:r>
              <w:rPr>
                <w:rFonts w:hint="default" w:ascii="Times New Roman" w:hAnsi="Times New Roman" w:cs="Times New Roman"/>
                <w:color w:val="231F20"/>
                <w:spacing w:val="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Score</w:t>
            </w:r>
            <w:r>
              <w:rPr>
                <w:rFonts w:hint="default" w:ascii="Times New Roman" w:hAnsi="Times New Roman" w:cs="Times New Roman"/>
                <w:color w:val="231F20"/>
                <w:spacing w:val="-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 xml:space="preserve">3   </w:t>
            </w:r>
            <w:r>
              <w:rPr>
                <w:rFonts w:hint="default" w:ascii="Times New Roman" w:hAnsi="Times New Roman" w:cs="Times New Roman"/>
                <w:color w:val="231F20"/>
                <w:spacing w:val="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Score</w:t>
            </w:r>
            <w:r>
              <w:rPr>
                <w:rFonts w:hint="default" w:ascii="Times New Roman" w:hAnsi="Times New Roman" w:cs="Times New Roman"/>
                <w:color w:val="231F20"/>
                <w:spacing w:val="-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1</w:t>
            </w:r>
          </w:p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5" w:hRule="atLeast"/>
        </w:trPr>
        <w:tc>
          <w:tcPr>
            <w:tcW w:w="5000" w:type="pct"/>
            <w:tcBorders>
              <w:tl2br w:val="nil"/>
              <w:tr2bl w:val="nil"/>
            </w:tcBorders>
          </w:tcPr>
          <w:p>
            <w:pPr>
              <w:spacing w:before="69"/>
              <w:ind w:right="0"/>
              <w:jc w:val="left"/>
              <w:rPr>
                <w:rFonts w:hint="default" w:ascii="Times New Roman" w:hAnsi="Times New Roman" w:eastAsia="Arial Narrow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Original</w:t>
            </w:r>
            <w:r>
              <w:rPr>
                <w:rFonts w:hint="default" w:ascii="Times New Roman" w:hAnsi="Times New Roman" w:cs="Times New Roman"/>
                <w:color w:val="231F20"/>
                <w:spacing w:val="-1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disease</w:t>
            </w:r>
          </w:p>
          <w:p>
            <w:pPr>
              <w:tabs>
                <w:tab w:val="left" w:pos="3039"/>
              </w:tabs>
              <w:spacing w:before="12"/>
              <w:ind w:left="276" w:right="0" w:firstLine="0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Arial Narrow" w:cs="Times New Roman"/>
                <w:color w:val="231F20"/>
                <w:sz w:val="24"/>
                <w:szCs w:val="24"/>
              </w:rPr>
              <w:t>Liver-oriented</w:t>
            </w:r>
            <w:r>
              <w:rPr>
                <w:rFonts w:hint="default" w:ascii="Times New Roman" w:hAnsi="Times New Roman" w:eastAsia="Arial Narrow" w:cs="Times New Roman"/>
                <w:color w:val="231F20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Arial Narrow" w:cs="Times New Roman"/>
                <w:color w:val="231F20"/>
                <w:sz w:val="24"/>
                <w:szCs w:val="24"/>
              </w:rPr>
              <w:t>disease</w:t>
            </w:r>
            <w:r>
              <w:rPr>
                <w:rFonts w:hint="default" w:ascii="Times New Roman" w:hAnsi="Times New Roman" w:eastAsia="Arial Narrow" w:cs="Times New Roman"/>
                <w:color w:val="231F2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宋体" w:cs="Times New Roman"/>
                <w:color w:val="231F2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eastAsia="宋体" w:cs="Times New Roman"/>
                <w:color w:val="231F2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Calibri" w:cs="Times New Roman"/>
                <w:color w:val="231F20"/>
                <w:sz w:val="24"/>
                <w:szCs w:val="24"/>
              </w:rPr>
              <w:t>○</w:t>
            </w:r>
          </w:p>
          <w:p>
            <w:pPr>
              <w:tabs>
                <w:tab w:val="left" w:pos="3651"/>
              </w:tabs>
              <w:spacing w:before="4"/>
              <w:ind w:left="276" w:right="0" w:firstLine="0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Arial Narrow" w:cs="Times New Roman"/>
                <w:color w:val="231F20"/>
                <w:sz w:val="24"/>
                <w:szCs w:val="24"/>
              </w:rPr>
              <w:t>Previous</w:t>
            </w:r>
            <w:r>
              <w:rPr>
                <w:rFonts w:hint="default" w:ascii="Times New Roman" w:hAnsi="Times New Roman" w:eastAsia="Arial Narrow" w:cs="Times New Roman"/>
                <w:color w:val="231F20"/>
                <w:spacing w:val="-1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Arial Narrow" w:cs="Times New Roman"/>
                <w:color w:val="231F20"/>
                <w:sz w:val="24"/>
                <w:szCs w:val="24"/>
              </w:rPr>
              <w:t>case</w:t>
            </w:r>
            <w:r>
              <w:rPr>
                <w:rFonts w:hint="default" w:ascii="Times New Roman" w:hAnsi="Times New Roman" w:eastAsia="Arial Narrow" w:cs="Times New Roman"/>
                <w:color w:val="231F20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Arial Narrow" w:cs="Times New Roman"/>
                <w:color w:val="231F20"/>
                <w:sz w:val="24"/>
                <w:szCs w:val="24"/>
              </w:rPr>
              <w:t>report</w:t>
            </w:r>
            <w:r>
              <w:rPr>
                <w:rFonts w:hint="default" w:ascii="Times New Roman" w:hAnsi="Times New Roman" w:eastAsia="Arial Narrow" w:cs="Times New Roman"/>
                <w:color w:val="231F2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宋体" w:cs="Times New Roman"/>
                <w:color w:val="231F20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default" w:ascii="Times New Roman" w:hAnsi="Times New Roman" w:eastAsia="Calibri" w:cs="Times New Roman"/>
                <w:color w:val="231F20"/>
                <w:sz w:val="24"/>
                <w:szCs w:val="24"/>
              </w:rPr>
              <w:t>○</w:t>
            </w:r>
          </w:p>
          <w:p>
            <w:pPr>
              <w:spacing w:before="69"/>
              <w:ind w:right="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Effectiveness of medical treatment</w:t>
            </w:r>
          </w:p>
          <w:p>
            <w:pPr>
              <w:spacing w:before="69"/>
              <w:ind w:right="0" w:firstLine="240" w:firstLineChars="1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Metabolic decompensation which necessitated hospitalization</w:t>
            </w:r>
          </w:p>
          <w:p>
            <w:pPr>
              <w:spacing w:before="69"/>
              <w:ind w:left="118" w:right="0" w:firstLine="480" w:firstLineChars="2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≥6 times/yr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○</w:t>
            </w:r>
          </w:p>
          <w:p>
            <w:pPr>
              <w:spacing w:before="69"/>
              <w:ind w:left="118" w:right="0" w:firstLine="480" w:firstLineChars="2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3–5 times/yr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○</w:t>
            </w:r>
          </w:p>
          <w:p>
            <w:pPr>
              <w:spacing w:before="69"/>
              <w:ind w:left="118" w:right="0" w:firstLine="240" w:firstLineChars="1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Metabolic decompensation which necessitated admission</w:t>
            </w:r>
          </w:p>
          <w:p>
            <w:pPr>
              <w:spacing w:before="69"/>
              <w:ind w:left="118" w:right="0" w:firstLine="480" w:firstLineChars="2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≥6 times/yr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○</w:t>
            </w:r>
          </w:p>
          <w:p>
            <w:pPr>
              <w:spacing w:before="69"/>
              <w:ind w:left="118" w:right="0" w:firstLine="240" w:firstLineChars="1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Metabolic decompensation which necessitated ICU care with apheresis</w:t>
            </w:r>
          </w:p>
          <w:p>
            <w:pPr>
              <w:spacing w:before="69"/>
              <w:ind w:left="118" w:right="0" w:firstLine="480" w:firstLineChars="2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≥2 times/yr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○</w:t>
            </w:r>
          </w:p>
          <w:p>
            <w:pPr>
              <w:spacing w:before="69"/>
              <w:ind w:left="118" w:right="0" w:firstLine="240" w:firstLineChars="1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Extremely poor response/adherence for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medical treatment</w:t>
            </w:r>
            <w:r>
              <w:rPr>
                <w:rFonts w:hint="eastAsia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○</w:t>
            </w:r>
          </w:p>
          <w:p>
            <w:pPr>
              <w:spacing w:before="69"/>
              <w:ind w:left="118" w:right="0" w:firstLine="240" w:firstLineChars="1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Poor response/adherence for medical</w:t>
            </w:r>
            <w:r>
              <w:rPr>
                <w:rFonts w:hint="eastAsia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treatment                      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○</w:t>
            </w:r>
          </w:p>
          <w:p>
            <w:pPr>
              <w:spacing w:before="69"/>
              <w:ind w:right="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Quality of life</w:t>
            </w:r>
          </w:p>
          <w:p>
            <w:pPr>
              <w:spacing w:before="69"/>
              <w:ind w:left="118" w:right="0" w:firstLine="240" w:firstLineChars="1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Nasogastric tube feeding/frequent meal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ab/>
            </w:r>
            <w:r>
              <w:rPr>
                <w:rFonts w:hint="eastAsia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○</w:t>
            </w:r>
          </w:p>
          <w:p>
            <w:pPr>
              <w:spacing w:before="69"/>
              <w:ind w:left="118" w:right="0" w:firstLine="240" w:firstLineChars="1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Progressive neurological impairment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ab/>
            </w:r>
            <w:r>
              <w:rPr>
                <w:rFonts w:hint="eastAsia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○</w:t>
            </w:r>
          </w:p>
          <w:p>
            <w:pPr>
              <w:spacing w:before="69"/>
              <w:ind w:right="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Present status</w:t>
            </w:r>
          </w:p>
          <w:p>
            <w:pPr>
              <w:spacing w:before="69"/>
              <w:ind w:left="118" w:right="0" w:firstLine="240" w:firstLineChars="1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Good social interaction, full ambulation,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ab/>
            </w:r>
            <w:r>
              <w:rPr>
                <w:rFonts w:hint="eastAsia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○</w:t>
            </w:r>
          </w:p>
          <w:p>
            <w:pPr>
              <w:spacing w:before="69"/>
              <w:ind w:left="357" w:leftChars="170" w:right="0" w:firstLine="240" w:firstLineChars="1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 xml:space="preserve">partially impaired gross and fine motor </w:t>
            </w:r>
          </w:p>
          <w:p>
            <w:pPr>
              <w:spacing w:before="69"/>
              <w:ind w:left="357" w:leftChars="170" w:right="0" w:firstLine="240" w:firstLineChars="1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 xml:space="preserve">skills, use of language, mildly delayed </w:t>
            </w:r>
          </w:p>
          <w:p>
            <w:pPr>
              <w:spacing w:before="69"/>
              <w:ind w:left="357" w:leftChars="170" w:right="0" w:firstLine="240" w:firstLineChars="1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development, only modest learning deficits</w:t>
            </w:r>
          </w:p>
          <w:p>
            <w:pPr>
              <w:spacing w:before="69"/>
              <w:ind w:left="118" w:right="0" w:firstLine="240" w:firstLineChars="1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Growth retardation (height&lt;2.5 s.d.)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ab/>
            </w:r>
            <w:r>
              <w:rPr>
                <w:rFonts w:hint="eastAsia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○</w:t>
            </w:r>
          </w:p>
          <w:p>
            <w:pPr>
              <w:spacing w:before="69"/>
              <w:ind w:left="118" w:right="0" w:firstLine="240" w:firstLineChars="1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Continuous abnormal laboratory test (NH3,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ab/>
            </w:r>
            <w:r>
              <w:rPr>
                <w:rFonts w:hint="eastAsia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○</w:t>
            </w:r>
          </w:p>
          <w:p>
            <w:pPr>
              <w:spacing w:before="69"/>
              <w:ind w:left="118" w:right="0" w:firstLine="480" w:firstLineChars="2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lactate, base excess, liver function,</w:t>
            </w:r>
          </w:p>
          <w:p>
            <w:pPr>
              <w:spacing w:before="69"/>
              <w:ind w:left="118" w:right="0" w:firstLine="480" w:firstLineChars="20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cholesterol, glucose)</w:t>
            </w:r>
          </w:p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24"/>
                <w:szCs w:val="24"/>
              </w:rPr>
              <w:t>Score</w:t>
            </w:r>
            <w:r>
              <w:rPr>
                <w:rFonts w:hint="default" w:ascii="Times New Roman" w:hAnsi="Times New Roman" w:cs="Times New Roman"/>
                <w:color w:val="231F20"/>
                <w:w w:val="95"/>
                <w:sz w:val="24"/>
                <w:szCs w:val="24"/>
              </w:rPr>
              <w:tab/>
            </w:r>
            <w:r>
              <w:rPr>
                <w:rFonts w:hint="eastAsia" w:ascii="Times New Roman" w:hAnsi="Times New Roman" w:cs="Times New Roman"/>
                <w:color w:val="231F20"/>
                <w:w w:val="95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default" w:ascii="Times New Roman" w:hAnsi="Times New Roman" w:cs="Times New Roman"/>
                <w:color w:val="231F20"/>
                <w:w w:val="95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Liver</w:t>
            </w:r>
            <w:r>
              <w:rPr>
                <w:rFonts w:hint="default" w:ascii="Times New Roman" w:hAnsi="Times New Roman" w:cs="Times New Roman"/>
                <w:color w:val="231F20"/>
                <w:spacing w:val="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231F20"/>
                <w:spacing w:val="-1"/>
                <w:sz w:val="24"/>
                <w:szCs w:val="24"/>
              </w:rPr>
              <w:t>transplantation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5000" w:type="pct"/>
            <w:tcBorders>
              <w:tl2br w:val="nil"/>
              <w:tr2bl w:val="nil"/>
            </w:tcBorders>
          </w:tcPr>
          <w:p>
            <w:pPr>
              <w:spacing w:before="69"/>
              <w:ind w:right="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≧10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ab/>
            </w:r>
            <w:r>
              <w:rPr>
                <w:rFonts w:hint="eastAsia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</w:t>
            </w:r>
            <w:bookmarkStart w:id="0" w:name="OLE_LINK1"/>
            <w:r>
              <w:rPr>
                <w:rFonts w:hint="eastAsia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                             </w:t>
            </w:r>
            <w:bookmarkEnd w:id="0"/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Absolute indication</w:t>
            </w:r>
          </w:p>
          <w:p>
            <w:pPr>
              <w:spacing w:before="69"/>
              <w:ind w:right="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10&gt; score ≧5</w:t>
            </w:r>
            <w:r>
              <w:rPr>
                <w:rFonts w:hint="eastAsia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                            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Relative indication</w:t>
            </w:r>
          </w:p>
          <w:p>
            <w:pPr>
              <w:spacing w:before="69"/>
              <w:ind w:right="0"/>
              <w:jc w:val="left"/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5&gt; score ≧3</w:t>
            </w:r>
            <w:r>
              <w:rPr>
                <w:rFonts w:hint="eastAsia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Prudence indication</w:t>
            </w:r>
          </w:p>
          <w:p>
            <w:pPr>
              <w:rPr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3&gt;</w:t>
            </w:r>
            <w:r>
              <w:rPr>
                <w:rFonts w:hint="eastAsia" w:ascii="Times New Roman" w:hAnsi="Times New Roman" w:cs="Times New Roman"/>
                <w:color w:val="231F20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default" w:ascii="Times New Roman" w:hAnsi="Times New Roman" w:cs="Times New Roman"/>
                <w:color w:val="231F20"/>
                <w:sz w:val="24"/>
                <w:szCs w:val="24"/>
              </w:rPr>
              <w:t>Contraindication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color w:val="231F20"/>
          <w:sz w:val="24"/>
          <w:szCs w:val="24"/>
          <w:lang w:val="en-US" w:eastAsia="zh-CN"/>
        </w:rPr>
        <w:t>Supplementary t</w:t>
      </w:r>
      <w:bookmarkStart w:id="1" w:name="_GoBack"/>
      <w:bookmarkEnd w:id="1"/>
      <w:r>
        <w:rPr>
          <w:rFonts w:hint="default" w:ascii="Times New Roman" w:hAnsi="Times New Roman" w:cs="Times New Roman"/>
          <w:b/>
          <w:bCs/>
          <w:color w:val="231F20"/>
          <w:sz w:val="24"/>
          <w:szCs w:val="24"/>
        </w:rPr>
        <w:t>able</w:t>
      </w:r>
      <w:r>
        <w:rPr>
          <w:rFonts w:hint="eastAsia" w:ascii="Times New Roman" w:hAnsi="Times New Roman" w:cs="Times New Roman"/>
          <w:b/>
          <w:bCs/>
          <w:color w:val="231F20"/>
          <w:sz w:val="24"/>
          <w:szCs w:val="24"/>
          <w:lang w:val="en-US" w:eastAsia="zh-CN"/>
        </w:rPr>
        <w:t xml:space="preserve"> 1</w:t>
      </w:r>
      <w:r>
        <w:rPr>
          <w:rFonts w:hint="default" w:ascii="Times New Roman" w:hAnsi="Times New Roman" w:cs="Times New Roman"/>
          <w:color w:val="231F20"/>
          <w:sz w:val="24"/>
          <w:szCs w:val="24"/>
        </w:rPr>
        <w:t>. Scoring</w:t>
      </w:r>
      <w:r>
        <w:rPr>
          <w:rFonts w:hint="default"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231F20"/>
          <w:sz w:val="24"/>
          <w:szCs w:val="24"/>
        </w:rPr>
        <w:t>system</w:t>
      </w:r>
      <w:r>
        <w:rPr>
          <w:rFonts w:hint="default"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231F20"/>
          <w:sz w:val="24"/>
          <w:szCs w:val="24"/>
        </w:rPr>
        <w:t>for</w:t>
      </w:r>
      <w:r>
        <w:rPr>
          <w:rFonts w:hint="default"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231F20"/>
          <w:sz w:val="24"/>
          <w:szCs w:val="24"/>
        </w:rPr>
        <w:t>indication</w:t>
      </w:r>
      <w:r>
        <w:rPr>
          <w:rFonts w:hint="default"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231F20"/>
          <w:sz w:val="24"/>
          <w:szCs w:val="24"/>
        </w:rPr>
        <w:t>of</w:t>
      </w:r>
      <w:r>
        <w:rPr>
          <w:rFonts w:hint="default"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231F20"/>
          <w:sz w:val="24"/>
          <w:szCs w:val="24"/>
        </w:rPr>
        <w:t>LT</w:t>
      </w:r>
      <w:r>
        <w:rPr>
          <w:rFonts w:hint="default"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231F20"/>
          <w:sz w:val="24"/>
          <w:szCs w:val="24"/>
        </w:rPr>
        <w:t>for</w:t>
      </w:r>
      <w:r>
        <w:rPr>
          <w:rFonts w:hint="default"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231F20"/>
          <w:sz w:val="24"/>
          <w:szCs w:val="24"/>
        </w:rPr>
        <w:t>metabolic</w:t>
      </w:r>
      <w:r>
        <w:rPr>
          <w:rFonts w:hint="default"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231F20"/>
          <w:sz w:val="24"/>
          <w:szCs w:val="24"/>
        </w:rPr>
        <w:t>disorders</w:t>
      </w:r>
      <w:r>
        <w:rPr>
          <w:rFonts w:hint="default"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231F20"/>
          <w:sz w:val="24"/>
          <w:szCs w:val="24"/>
        </w:rPr>
        <w:t>(Transplantation</w:t>
      </w:r>
      <w:r>
        <w:rPr>
          <w:rFonts w:hint="default"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231F20"/>
          <w:sz w:val="24"/>
          <w:szCs w:val="24"/>
        </w:rPr>
        <w:t>score)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9C4281"/>
    <w:rsid w:val="083C396B"/>
    <w:rsid w:val="16A57823"/>
    <w:rsid w:val="2E1C48C5"/>
    <w:rsid w:val="30422038"/>
    <w:rsid w:val="33455568"/>
    <w:rsid w:val="416A0246"/>
    <w:rsid w:val="43CA2D72"/>
    <w:rsid w:val="44DC1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WPS_1611388912</cp:lastModifiedBy>
  <dcterms:modified xsi:type="dcterms:W3CDTF">2021-05-24T13:47:02Z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6620D83840E74B10B2B7265DBC3F04D6</vt:lpwstr>
  </property>
</Properties>
</file>