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6C893D" w14:textId="77777777" w:rsidR="00E14DDD" w:rsidRPr="00E14DDD" w:rsidRDefault="00E14DDD" w:rsidP="00E14D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lang w:val="en"/>
        </w:rPr>
      </w:pPr>
      <w:bookmarkStart w:id="0" w:name="_Hlk72699307"/>
      <w:r w:rsidRPr="00E14DDD">
        <w:rPr>
          <w:rFonts w:ascii="Times New Roman" w:hAnsi="Times New Roman" w:cs="Times New Roman"/>
          <w:b/>
          <w:bCs/>
          <w:sz w:val="24"/>
          <w:lang w:val="en"/>
        </w:rPr>
        <w:t>Genomic Alterations and Possible Druggable Mutations in Carcinoma of Unknown Primary (CUP)</w:t>
      </w:r>
      <w:bookmarkEnd w:id="0"/>
    </w:p>
    <w:p w14:paraId="35D9C3C0" w14:textId="77777777" w:rsidR="00E14DDD" w:rsidRPr="00E14DDD" w:rsidRDefault="00E14DDD" w:rsidP="00E14DDD">
      <w:pPr>
        <w:rPr>
          <w:rFonts w:ascii="Times New Roman" w:hAnsi="Times New Roman" w:cs="Times New Roman"/>
          <w:sz w:val="22"/>
          <w:szCs w:val="28"/>
        </w:rPr>
      </w:pPr>
      <w:r w:rsidRPr="00E14DDD">
        <w:rPr>
          <w:rFonts w:ascii="Times New Roman" w:hAnsi="Times New Roman" w:cs="Times New Roman"/>
          <w:sz w:val="22"/>
          <w:szCs w:val="28"/>
        </w:rPr>
        <w:t>Hamidreza Aboulkheyr Es</w:t>
      </w:r>
      <w:r w:rsidRPr="00E14DDD">
        <w:rPr>
          <w:rFonts w:ascii="Times New Roman" w:hAnsi="Times New Roman" w:cs="Times New Roman"/>
          <w:sz w:val="22"/>
          <w:szCs w:val="28"/>
          <w:vertAlign w:val="superscript"/>
        </w:rPr>
        <w:t>1, 2</w:t>
      </w:r>
      <w:r w:rsidRPr="00E14DDD">
        <w:rPr>
          <w:rFonts w:ascii="Times New Roman" w:hAnsi="Times New Roman" w:cs="Times New Roman"/>
          <w:sz w:val="22"/>
          <w:szCs w:val="28"/>
        </w:rPr>
        <w:t>, Hamid Mahdizadeh</w:t>
      </w:r>
      <w:r w:rsidRPr="00E14DDD">
        <w:rPr>
          <w:rFonts w:ascii="Times New Roman" w:hAnsi="Times New Roman" w:cs="Times New Roman"/>
          <w:sz w:val="22"/>
          <w:szCs w:val="28"/>
          <w:vertAlign w:val="superscript"/>
        </w:rPr>
        <w:t>1,3</w:t>
      </w:r>
      <w:r w:rsidRPr="00E14DDD">
        <w:rPr>
          <w:rFonts w:ascii="Times New Roman" w:hAnsi="Times New Roman" w:cs="Times New Roman"/>
          <w:sz w:val="22"/>
          <w:szCs w:val="28"/>
        </w:rPr>
        <w:t>, Amir Abbas Hedayati Asl</w:t>
      </w:r>
      <w:r w:rsidRPr="00E14DDD">
        <w:rPr>
          <w:rFonts w:ascii="Times New Roman" w:hAnsi="Times New Roman" w:cs="Times New Roman"/>
          <w:sz w:val="22"/>
          <w:szCs w:val="28"/>
          <w:vertAlign w:val="superscript"/>
        </w:rPr>
        <w:t>3</w:t>
      </w:r>
      <w:r w:rsidRPr="00E14DDD">
        <w:rPr>
          <w:rFonts w:ascii="Times New Roman" w:hAnsi="Times New Roman" w:cs="Times New Roman"/>
          <w:sz w:val="22"/>
          <w:szCs w:val="28"/>
        </w:rPr>
        <w:t>, Mehdi Totonchi</w:t>
      </w:r>
      <w:r w:rsidRPr="00E14DDD">
        <w:rPr>
          <w:rFonts w:ascii="Times New Roman" w:hAnsi="Times New Roman" w:cs="Times New Roman"/>
          <w:sz w:val="22"/>
          <w:szCs w:val="28"/>
          <w:vertAlign w:val="superscript"/>
        </w:rPr>
        <w:t xml:space="preserve">1,3, 4* </w:t>
      </w:r>
    </w:p>
    <w:p w14:paraId="7E376760" w14:textId="77777777" w:rsidR="00E14DDD" w:rsidRPr="00E14DDD" w:rsidRDefault="00E14DDD" w:rsidP="00E14DDD">
      <w:pPr>
        <w:rPr>
          <w:rFonts w:ascii="Times New Roman" w:hAnsi="Times New Roman" w:cs="Times New Roman"/>
          <w:sz w:val="24"/>
          <w:szCs w:val="32"/>
        </w:rPr>
      </w:pPr>
    </w:p>
    <w:p w14:paraId="2E85CAC8" w14:textId="77777777" w:rsidR="00E14DDD" w:rsidRPr="00E14DDD" w:rsidRDefault="00E14DDD" w:rsidP="00E14DDD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22"/>
          <w:szCs w:val="28"/>
        </w:rPr>
      </w:pPr>
      <w:r w:rsidRPr="00E14DDD">
        <w:rPr>
          <w:rFonts w:ascii="Times New Roman" w:hAnsi="Times New Roman" w:cs="Times New Roman"/>
          <w:sz w:val="22"/>
          <w:szCs w:val="28"/>
        </w:rPr>
        <w:t>Department of Genetics, Reproductive Biomedicine Research Center, Royan Institute for Reproductive Biomedicine, ACECR, Tehran, Iran.</w:t>
      </w:r>
    </w:p>
    <w:p w14:paraId="5DC12CB4" w14:textId="77777777" w:rsidR="00E14DDD" w:rsidRPr="00E14DDD" w:rsidRDefault="00E14DDD" w:rsidP="00E14DDD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2"/>
          <w:szCs w:val="28"/>
        </w:rPr>
      </w:pPr>
      <w:r w:rsidRPr="00E14DDD">
        <w:rPr>
          <w:rFonts w:ascii="Times New Roman" w:hAnsi="Times New Roman" w:cs="Times New Roman"/>
          <w:sz w:val="22"/>
          <w:szCs w:val="28"/>
        </w:rPr>
        <w:t>School of Biomedical Engineering, University of Technology Sydney, Sydney, Australia.</w:t>
      </w:r>
    </w:p>
    <w:p w14:paraId="56DCCB42" w14:textId="77777777" w:rsidR="00E14DDD" w:rsidRPr="00E14DDD" w:rsidRDefault="00E14DDD" w:rsidP="00E14DDD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2"/>
          <w:szCs w:val="28"/>
        </w:rPr>
      </w:pPr>
      <w:r w:rsidRPr="00E14DDD">
        <w:rPr>
          <w:rFonts w:ascii="Times New Roman" w:hAnsi="Times New Roman" w:cs="Times New Roman"/>
          <w:sz w:val="22"/>
          <w:szCs w:val="28"/>
        </w:rPr>
        <w:t xml:space="preserve">Department of Stem Cells and Developmental Biology, Cell Science Research Center, Royan Institute for Stem Cell Biology and Technology, ACECR, Tehran, Iran. </w:t>
      </w:r>
    </w:p>
    <w:p w14:paraId="6F6E82F5" w14:textId="77777777" w:rsidR="00E14DDD" w:rsidRPr="00E14DDD" w:rsidRDefault="00E14DDD" w:rsidP="00E14DDD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2"/>
          <w:szCs w:val="28"/>
        </w:rPr>
      </w:pPr>
      <w:r w:rsidRPr="00E14DDD">
        <w:rPr>
          <w:rFonts w:ascii="Times New Roman" w:hAnsi="Times New Roman" w:cs="Times New Roman"/>
          <w:sz w:val="22"/>
          <w:szCs w:val="28"/>
        </w:rPr>
        <w:t>School of Biological Sciences, Institute for Research in Fundamental Sciences (IPM), Tehran, Iran.</w:t>
      </w:r>
    </w:p>
    <w:p w14:paraId="1DBDE0B9" w14:textId="6D37C501" w:rsidR="0064386F" w:rsidRPr="00E14DDD" w:rsidRDefault="0064386F">
      <w:pPr>
        <w:rPr>
          <w:rFonts w:ascii="Times New Roman" w:hAnsi="Times New Roman" w:cs="Times New Roman"/>
        </w:rPr>
      </w:pPr>
    </w:p>
    <w:p w14:paraId="0F8DA463" w14:textId="6D498D5F" w:rsidR="00E14DDD" w:rsidRDefault="00E14DDD">
      <w:pPr>
        <w:rPr>
          <w:rFonts w:ascii="Times New Roman" w:hAnsi="Times New Roman" w:cs="Times New Roman"/>
        </w:rPr>
      </w:pPr>
    </w:p>
    <w:p w14:paraId="39C15D5D" w14:textId="4A278955" w:rsidR="00A6261A" w:rsidRDefault="00A6261A">
      <w:pPr>
        <w:rPr>
          <w:rFonts w:ascii="Times New Roman" w:hAnsi="Times New Roman" w:cs="Times New Roman"/>
        </w:rPr>
      </w:pPr>
    </w:p>
    <w:p w14:paraId="69CC65D5" w14:textId="616B820E" w:rsidR="00A6261A" w:rsidRDefault="00A6261A">
      <w:pPr>
        <w:rPr>
          <w:rFonts w:ascii="Times New Roman" w:hAnsi="Times New Roman" w:cs="Times New Roman"/>
        </w:rPr>
      </w:pPr>
    </w:p>
    <w:p w14:paraId="74693F94" w14:textId="04B91192" w:rsidR="00A6261A" w:rsidRDefault="00A6261A">
      <w:pPr>
        <w:rPr>
          <w:rFonts w:ascii="Times New Roman" w:hAnsi="Times New Roman" w:cs="Times New Roman"/>
        </w:rPr>
      </w:pPr>
    </w:p>
    <w:p w14:paraId="4AE3CACE" w14:textId="1FE82697" w:rsidR="00A6261A" w:rsidRDefault="00A6261A">
      <w:pPr>
        <w:rPr>
          <w:rFonts w:ascii="Times New Roman" w:hAnsi="Times New Roman" w:cs="Times New Roman"/>
        </w:rPr>
      </w:pPr>
    </w:p>
    <w:p w14:paraId="281D3BF5" w14:textId="77777777" w:rsidR="00A6261A" w:rsidRPr="00E14DDD" w:rsidRDefault="00A6261A">
      <w:pPr>
        <w:rPr>
          <w:rFonts w:ascii="Times New Roman" w:hAnsi="Times New Roman" w:cs="Times New Roman"/>
        </w:rPr>
      </w:pPr>
    </w:p>
    <w:p w14:paraId="3067B695" w14:textId="15D44F6B" w:rsidR="00E14DDD" w:rsidRPr="00E14DDD" w:rsidRDefault="00E14DDD">
      <w:pPr>
        <w:rPr>
          <w:rFonts w:ascii="Times New Roman" w:hAnsi="Times New Roman" w:cs="Times New Roman"/>
        </w:rPr>
      </w:pPr>
    </w:p>
    <w:p w14:paraId="0CF774D2" w14:textId="385FBE83" w:rsidR="00E14DDD" w:rsidRDefault="00E14DDD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E14DDD">
        <w:rPr>
          <w:rFonts w:ascii="Times New Roman" w:hAnsi="Times New Roman" w:cs="Times New Roman"/>
          <w:b/>
          <w:bCs/>
          <w:sz w:val="24"/>
          <w:szCs w:val="32"/>
        </w:rPr>
        <w:t>This article contains five supplementary excel files:</w:t>
      </w:r>
    </w:p>
    <w:p w14:paraId="4C1C7E48" w14:textId="7C257010" w:rsidR="00E14DDD" w:rsidRDefault="00E14DDD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276CC3DA" w14:textId="233CC606" w:rsidR="00A6261A" w:rsidRPr="00A6261A" w:rsidRDefault="00E14DDD" w:rsidP="00A6261A">
      <w:pPr>
        <w:pStyle w:val="ListParagraph"/>
        <w:numPr>
          <w:ilvl w:val="0"/>
          <w:numId w:val="2"/>
        </w:numPr>
        <w:spacing w:line="480" w:lineRule="auto"/>
        <w:ind w:left="36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Supplementary Table-1: Identified significant mutated genes in CUP samples</w:t>
      </w:r>
      <w:r w:rsidR="00A6261A">
        <w:rPr>
          <w:rFonts w:ascii="Times New Roman" w:hAnsi="Times New Roman" w:cs="Times New Roman"/>
          <w:b/>
          <w:bCs/>
          <w:sz w:val="24"/>
          <w:szCs w:val="32"/>
        </w:rPr>
        <w:t>.</w:t>
      </w:r>
    </w:p>
    <w:p w14:paraId="09CF2E49" w14:textId="35E25A2F" w:rsidR="00E14DDD" w:rsidRDefault="00E14DDD" w:rsidP="00A6261A">
      <w:pPr>
        <w:pStyle w:val="ListParagraph"/>
        <w:numPr>
          <w:ilvl w:val="0"/>
          <w:numId w:val="2"/>
        </w:numPr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Supplementary Table-2: The result of p</w:t>
      </w:r>
      <w:r w:rsidRPr="00E14DDD">
        <w:rPr>
          <w:rFonts w:ascii="Times New Roman" w:hAnsi="Times New Roman" w:cs="Times New Roman"/>
          <w:b/>
          <w:bCs/>
          <w:sz w:val="24"/>
          <w:szCs w:val="32"/>
        </w:rPr>
        <w:t>athway enrichment analysis of SMGs from MSigDB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</w:p>
    <w:p w14:paraId="47AA8155" w14:textId="77777777" w:rsidR="00A6261A" w:rsidRDefault="00A6261A" w:rsidP="00A6261A">
      <w:pPr>
        <w:pStyle w:val="ListParagraph"/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32"/>
        </w:rPr>
      </w:pPr>
    </w:p>
    <w:p w14:paraId="08607EC5" w14:textId="2F914096" w:rsidR="00E14DDD" w:rsidRDefault="00E14DDD" w:rsidP="00A6261A">
      <w:pPr>
        <w:pStyle w:val="ListParagraph"/>
        <w:numPr>
          <w:ilvl w:val="0"/>
          <w:numId w:val="2"/>
        </w:numPr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Supplementary Table-3: Co-occurrence and mutual </w:t>
      </w:r>
      <w:r w:rsidRPr="00E14DDD">
        <w:rPr>
          <w:rFonts w:ascii="Times New Roman" w:hAnsi="Times New Roman" w:cs="Times New Roman"/>
          <w:b/>
          <w:bCs/>
          <w:sz w:val="24"/>
          <w:szCs w:val="32"/>
        </w:rPr>
        <w:t>exclusivity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across identified SMG in CUP samples.</w:t>
      </w:r>
    </w:p>
    <w:p w14:paraId="7267771B" w14:textId="77777777" w:rsidR="00A6261A" w:rsidRDefault="00A6261A" w:rsidP="00A6261A">
      <w:pPr>
        <w:pStyle w:val="ListParagraph"/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32"/>
        </w:rPr>
      </w:pPr>
    </w:p>
    <w:p w14:paraId="589985D5" w14:textId="691E22A3" w:rsidR="00A6261A" w:rsidRPr="00A6261A" w:rsidRDefault="00E14DDD" w:rsidP="00A6261A">
      <w:pPr>
        <w:pStyle w:val="ListParagraph"/>
        <w:numPr>
          <w:ilvl w:val="0"/>
          <w:numId w:val="2"/>
        </w:numPr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Supplementary Table-4: Copy number alterations, amplifications, and deletion of CUP-SMG.</w:t>
      </w:r>
      <w:bookmarkStart w:id="1" w:name="_GoBack"/>
      <w:bookmarkEnd w:id="1"/>
    </w:p>
    <w:p w14:paraId="4F6B0B33" w14:textId="77777777" w:rsidR="00A6261A" w:rsidRDefault="00A6261A" w:rsidP="00A6261A">
      <w:pPr>
        <w:pStyle w:val="ListParagraph"/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32"/>
        </w:rPr>
      </w:pPr>
    </w:p>
    <w:p w14:paraId="512FA55D" w14:textId="0CF238A8" w:rsidR="00E14DDD" w:rsidRPr="00E14DDD" w:rsidRDefault="00E14DDD" w:rsidP="00A6261A">
      <w:pPr>
        <w:pStyle w:val="ListParagraph"/>
        <w:numPr>
          <w:ilvl w:val="0"/>
          <w:numId w:val="2"/>
        </w:numPr>
        <w:spacing w:line="240" w:lineRule="auto"/>
        <w:ind w:left="36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Supplementary Table-5: The results gene mutation-drug association analysis from </w:t>
      </w:r>
      <w:r w:rsidRPr="00E14DDD">
        <w:rPr>
          <w:rFonts w:ascii="Times New Roman" w:hAnsi="Times New Roman" w:cs="Times New Roman"/>
          <w:b/>
          <w:bCs/>
          <w:sz w:val="24"/>
          <w:szCs w:val="32"/>
        </w:rPr>
        <w:t>PanDrug platforms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</w:p>
    <w:sectPr w:rsidR="00E14DDD" w:rsidRPr="00E14D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81907"/>
    <w:multiLevelType w:val="multilevel"/>
    <w:tmpl w:val="11581907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CE6F45"/>
    <w:multiLevelType w:val="hybridMultilevel"/>
    <w:tmpl w:val="59380AA0"/>
    <w:lvl w:ilvl="0" w:tplc="D2D6EA6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xMDM0t7QwMDcxNzVR0lEKTi0uzszPAykwrAUAXN58DywAAAA="/>
  </w:docVars>
  <w:rsids>
    <w:rsidRoot w:val="0062213B"/>
    <w:rsid w:val="0062213B"/>
    <w:rsid w:val="0064386F"/>
    <w:rsid w:val="00A6261A"/>
    <w:rsid w:val="00E1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2E4FD"/>
  <w15:chartTrackingRefBased/>
  <w15:docId w15:val="{92F5DBED-F5D6-451F-9249-B85B46332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DDD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14D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HAMIDREZA ABOULKHEYR ESTARABADI</dc:creator>
  <cp:keywords/>
  <dc:description/>
  <cp:lastModifiedBy>HAMIDREZA ABOULKHEYR ESTARABADI</cp:lastModifiedBy>
  <cp:revision>3</cp:revision>
  <dcterms:created xsi:type="dcterms:W3CDTF">2021-05-25T08:49:00Z</dcterms:created>
  <dcterms:modified xsi:type="dcterms:W3CDTF">2021-05-25T08:59:00Z</dcterms:modified>
</cp:coreProperties>
</file>