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0E" w:rsidRDefault="0054740E" w:rsidP="0054740E">
      <w:pPr>
        <w:spacing w:line="240" w:lineRule="auto"/>
        <w:jc w:val="both"/>
        <w:rPr>
          <w:rFonts w:asciiTheme="majorBidi" w:hAnsiTheme="majorBidi" w:cstheme="majorBidi"/>
          <w:b/>
          <w:bCs/>
          <w:color w:val="262626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62626"/>
          <w:sz w:val="24"/>
          <w:szCs w:val="24"/>
        </w:rPr>
        <w:t>Clinical Characteristics and Short-Term Outcomes of Pediatric Lymphoma: A Retrospective Cohort Study from a Large Tertiary Hospital in a Low- and Middle-Income Country</w:t>
      </w:r>
    </w:p>
    <w:p w:rsidR="0054740E" w:rsidRDefault="0054740E" w:rsidP="0054740E">
      <w:pPr>
        <w:spacing w:line="240" w:lineRule="auto"/>
        <w:jc w:val="both"/>
        <w:rPr>
          <w:rFonts w:asciiTheme="majorBidi" w:hAnsiTheme="majorBidi" w:cstheme="majorBidi"/>
          <w:b/>
          <w:bCs/>
          <w:color w:val="262626"/>
          <w:sz w:val="24"/>
          <w:szCs w:val="24"/>
        </w:rPr>
      </w:pP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Dania Abuhalima </w:t>
      </w:r>
      <w:r w:rsidRPr="00D1224F">
        <w:rPr>
          <w:rFonts w:asciiTheme="majorBidi" w:eastAsia="Times New Roman" w:hAnsiTheme="majorBidi" w:cstheme="majorBidi"/>
          <w:bCs/>
          <w:sz w:val="24"/>
          <w:szCs w:val="24"/>
          <w:vertAlign w:val="superscript"/>
        </w:rPr>
        <w:t>1*</w:t>
      </w: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>Email:</w:t>
      </w:r>
      <w:r w:rsidRPr="00D1224F">
        <w:rPr>
          <w:rFonts w:asciiTheme="majorBidi" w:hAnsiTheme="majorBidi" w:cstheme="majorBidi"/>
        </w:rPr>
        <w:t xml:space="preserve"> </w:t>
      </w:r>
      <w:hyperlink r:id="rId5" w:tgtFrame="_blank" w:history="1">
        <w:r w:rsidRPr="00D1224F">
          <w:rPr>
            <w:rStyle w:val="Hyperlink"/>
            <w:rFonts w:asciiTheme="majorBidi" w:hAnsiTheme="majorBidi" w:cstheme="majorBidi"/>
            <w:bCs/>
            <w:sz w:val="24"/>
            <w:szCs w:val="24"/>
          </w:rPr>
          <w:t>dabuhalima@gmail.com</w:t>
        </w:r>
      </w:hyperlink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Dima </w:t>
      </w:r>
      <w:proofErr w:type="spellStart"/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>Malhis</w:t>
      </w:r>
      <w:proofErr w:type="spellEnd"/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1224F">
        <w:rPr>
          <w:rFonts w:asciiTheme="majorBidi" w:eastAsia="Times New Roman" w:hAnsiTheme="majorBidi" w:cstheme="majorBidi"/>
          <w:bCs/>
          <w:sz w:val="24"/>
          <w:szCs w:val="24"/>
          <w:vertAlign w:val="superscript"/>
        </w:rPr>
        <w:t>1</w:t>
      </w: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sz w:val="24"/>
          <w:szCs w:val="24"/>
        </w:rPr>
        <w:t>Email:</w:t>
      </w:r>
      <w:r w:rsidRPr="00D1224F">
        <w:rPr>
          <w:rFonts w:asciiTheme="majorBidi" w:hAnsiTheme="majorBidi" w:cstheme="majorBidi"/>
        </w:rPr>
        <w:t xml:space="preserve"> </w:t>
      </w:r>
      <w:hyperlink r:id="rId6" w:tgtFrame="_blank" w:history="1">
        <w:r w:rsidRPr="00D1224F">
          <w:rPr>
            <w:rStyle w:val="Hyperlink"/>
            <w:rFonts w:asciiTheme="majorBidi" w:hAnsiTheme="majorBidi" w:cstheme="majorBidi"/>
            <w:sz w:val="24"/>
            <w:szCs w:val="24"/>
          </w:rPr>
          <w:t>malhiss.dima@gmail.com</w:t>
        </w:r>
      </w:hyperlink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vertAlign w:val="superscript"/>
        </w:rPr>
      </w:pPr>
      <w:r w:rsidRPr="00D1224F">
        <w:rPr>
          <w:rFonts w:asciiTheme="majorBidi" w:eastAsia="Times New Roman" w:hAnsiTheme="majorBidi" w:cstheme="majorBidi"/>
          <w:sz w:val="24"/>
          <w:szCs w:val="24"/>
        </w:rPr>
        <w:t xml:space="preserve">Zeina Qadi </w:t>
      </w:r>
      <w:r w:rsidRPr="00D1224F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>Email:</w:t>
      </w:r>
      <w:r w:rsidRPr="00D1224F">
        <w:rPr>
          <w:rFonts w:asciiTheme="majorBidi" w:hAnsiTheme="majorBidi" w:cstheme="majorBidi"/>
        </w:rPr>
        <w:t xml:space="preserve"> </w:t>
      </w:r>
      <w:hyperlink r:id="rId7" w:tgtFrame="_blank" w:history="1">
        <w:r w:rsidRPr="00D1224F">
          <w:rPr>
            <w:rStyle w:val="Hyperlink"/>
            <w:rFonts w:asciiTheme="majorBidi" w:hAnsiTheme="majorBidi" w:cstheme="majorBidi"/>
            <w:bCs/>
            <w:sz w:val="24"/>
            <w:szCs w:val="24"/>
          </w:rPr>
          <w:t>zeinaraedqadi@gmail.com</w:t>
        </w:r>
      </w:hyperlink>
    </w:p>
    <w:p w:rsidR="008606BF" w:rsidRPr="00D1224F" w:rsidRDefault="008606BF" w:rsidP="008606B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>Adham</w:t>
      </w:r>
      <w:proofErr w:type="spellEnd"/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 Abu Taha </w:t>
      </w:r>
      <w:r w:rsidRPr="00D1224F">
        <w:rPr>
          <w:rFonts w:asciiTheme="majorBidi" w:eastAsia="Times New Roman" w:hAnsiTheme="majorBidi" w:cstheme="majorBidi"/>
          <w:bCs/>
          <w:sz w:val="24"/>
          <w:szCs w:val="24"/>
          <w:vertAlign w:val="superscript"/>
        </w:rPr>
        <w:t>2,3</w:t>
      </w: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>Email:</w:t>
      </w:r>
      <w:r w:rsidRPr="00D1224F">
        <w:rPr>
          <w:rFonts w:asciiTheme="majorBidi" w:hAnsiTheme="majorBidi" w:cstheme="majorBidi"/>
        </w:rPr>
        <w:t xml:space="preserve"> </w:t>
      </w:r>
      <w:hyperlink r:id="rId8" w:tgtFrame="_blank" w:history="1">
        <w:r w:rsidRPr="00D1224F">
          <w:rPr>
            <w:rStyle w:val="Hyperlink"/>
            <w:rFonts w:asciiTheme="majorBidi" w:hAnsiTheme="majorBidi" w:cstheme="majorBidi"/>
            <w:bCs/>
            <w:sz w:val="24"/>
            <w:szCs w:val="24"/>
          </w:rPr>
          <w:t>aabutaha@najah.edu</w:t>
        </w:r>
      </w:hyperlink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Sultan </w:t>
      </w:r>
      <w:proofErr w:type="spellStart"/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>Mosleh</w:t>
      </w:r>
      <w:proofErr w:type="spellEnd"/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1224F">
        <w:rPr>
          <w:rFonts w:asciiTheme="majorBidi" w:eastAsia="Times New Roman" w:hAnsiTheme="majorBidi" w:cstheme="majorBidi"/>
          <w:bCs/>
          <w:sz w:val="24"/>
          <w:szCs w:val="24"/>
          <w:vertAlign w:val="superscript"/>
        </w:rPr>
        <w:t>1,4*</w:t>
      </w:r>
    </w:p>
    <w:p w:rsidR="008606BF" w:rsidRPr="00D1224F" w:rsidRDefault="008606BF" w:rsidP="008606B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224F">
        <w:rPr>
          <w:rFonts w:asciiTheme="majorBidi" w:hAnsiTheme="majorBidi" w:cstheme="majorBidi"/>
          <w:sz w:val="24"/>
          <w:szCs w:val="24"/>
        </w:rPr>
        <w:t xml:space="preserve">Email: </w:t>
      </w:r>
      <w:hyperlink r:id="rId9" w:tgtFrame="_blank" w:history="1">
        <w:r w:rsidRPr="00D1224F">
          <w:rPr>
            <w:rStyle w:val="Hyperlink"/>
            <w:rFonts w:asciiTheme="majorBidi" w:hAnsiTheme="majorBidi" w:cstheme="majorBidi"/>
            <w:sz w:val="24"/>
            <w:szCs w:val="24"/>
          </w:rPr>
          <w:t>sultan.mosleh@najah.edu</w:t>
        </w:r>
      </w:hyperlink>
    </w:p>
    <w:p w:rsidR="008606BF" w:rsidRPr="00D1224F" w:rsidRDefault="008606BF" w:rsidP="008606B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224F">
        <w:rPr>
          <w:rFonts w:asciiTheme="majorBidi" w:hAnsiTheme="majorBidi" w:cstheme="majorBidi"/>
          <w:sz w:val="24"/>
          <w:szCs w:val="24"/>
        </w:rPr>
        <w:t>Sa’ed</w:t>
      </w:r>
      <w:proofErr w:type="spellEnd"/>
      <w:r w:rsidRPr="00D1224F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D1224F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D1224F">
        <w:rPr>
          <w:rFonts w:asciiTheme="majorBidi" w:hAnsiTheme="majorBidi" w:cstheme="majorBidi"/>
          <w:sz w:val="24"/>
          <w:szCs w:val="24"/>
        </w:rPr>
        <w:t xml:space="preserve"> </w:t>
      </w:r>
      <w:r w:rsidRPr="00D1224F">
        <w:rPr>
          <w:rFonts w:asciiTheme="majorBidi" w:hAnsiTheme="majorBidi" w:cstheme="majorBidi"/>
          <w:sz w:val="24"/>
          <w:szCs w:val="24"/>
          <w:vertAlign w:val="superscript"/>
        </w:rPr>
        <w:t>5,6,7</w:t>
      </w: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Email: </w:t>
      </w:r>
      <w:hyperlink r:id="rId10" w:history="1">
        <w:r w:rsidRPr="00D1224F">
          <w:rPr>
            <w:rStyle w:val="Hyperlink"/>
            <w:rFonts w:asciiTheme="majorBidi" w:hAnsiTheme="majorBidi" w:cstheme="majorBidi"/>
            <w:bCs/>
            <w:sz w:val="24"/>
            <w:szCs w:val="24"/>
          </w:rPr>
          <w:t>saedzyoud@najah.edu</w:t>
        </w:r>
      </w:hyperlink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heading=h.x24by55rm34b"/>
      <w:bookmarkStart w:id="1" w:name="_heading=h.v6mcz7grue5d"/>
      <w:bookmarkStart w:id="2" w:name="_heading=h.eksaatm7qsq0"/>
      <w:bookmarkStart w:id="3" w:name="_heading=h.f32zydeqhhw"/>
      <w:bookmarkStart w:id="4" w:name="_heading=h.uvwv7zfgwoba"/>
      <w:bookmarkStart w:id="5" w:name="_heading=h.pzvtnj38sq6t"/>
      <w:bookmarkStart w:id="6" w:name="_heading=h.qmtxpxff9vry"/>
      <w:bookmarkStart w:id="7" w:name="_heading=h.4qla0eisbwxf"/>
      <w:bookmarkStart w:id="8" w:name="_heading=h.33vci73pcxuh"/>
      <w:bookmarkStart w:id="9" w:name="_heading=h.h1x6be8r5du9"/>
      <w:bookmarkStart w:id="10" w:name="_heading=h.90qx7cax97og"/>
      <w:bookmarkStart w:id="11" w:name="_heading=h.ymshjphc4zay"/>
      <w:bookmarkStart w:id="12" w:name="_heading=h.edngblycwppx"/>
      <w:bookmarkStart w:id="13" w:name="_heading=h.4mh5nzqc7pt0"/>
      <w:bookmarkStart w:id="14" w:name="_heading=h.q9hvcja2x1w3"/>
      <w:bookmarkStart w:id="15" w:name="_heading=h.fhmw6tlgpve"/>
      <w:bookmarkStart w:id="16" w:name="_heading=h.a99r46b6po52"/>
      <w:bookmarkStart w:id="17" w:name="_heading=h.hg32m88jrm37"/>
      <w:bookmarkStart w:id="18" w:name="_heading=h.hwqt60l2zhjn"/>
      <w:bookmarkStart w:id="19" w:name="_heading=h.g08g5xlandt3"/>
      <w:bookmarkStart w:id="20" w:name="_heading=h.9k8m45wqq22k"/>
      <w:bookmarkStart w:id="21" w:name="_heading=h.ls2jgbg2q10x"/>
      <w:bookmarkStart w:id="22" w:name="_heading=h.7il1jcyi3a1s"/>
      <w:bookmarkStart w:id="23" w:name="_heading=h.yx26y8o17bim"/>
      <w:bookmarkStart w:id="24" w:name="_heading=h.hqks1o8m4z74"/>
      <w:bookmarkStart w:id="25" w:name="_heading=h.3yyam6l4jxp9"/>
      <w:bookmarkStart w:id="26" w:name="_heading=h.c214tslyonuk"/>
      <w:bookmarkStart w:id="27" w:name="_heading=h.5zms74h25di3"/>
      <w:bookmarkStart w:id="28" w:name="_heading=h.b9sopp3wl7yn"/>
      <w:bookmarkStart w:id="29" w:name="_heading=h.q6x3ssft2v8b"/>
      <w:bookmarkStart w:id="30" w:name="_heading=h.g5cnhus7x0dl"/>
      <w:bookmarkStart w:id="31" w:name="_heading=h.xd06nvil6cvk"/>
      <w:bookmarkStart w:id="32" w:name="_heading=h.9yxk3c9gb3w6"/>
      <w:bookmarkStart w:id="33" w:name="_heading=h.wm7fx2l4i26q"/>
      <w:bookmarkStart w:id="34" w:name="_heading=h.9a4p1840cfdl"/>
      <w:bookmarkStart w:id="35" w:name="_heading=h.e4cle9vpecu3"/>
      <w:bookmarkStart w:id="36" w:name="_heading=h.p2135b8r5zn7"/>
      <w:bookmarkStart w:id="37" w:name="_heading=h.x42x8xn7dp1l"/>
      <w:bookmarkStart w:id="38" w:name="_heading=h.a150d59ypslw"/>
      <w:bookmarkStart w:id="39" w:name="_heading=h.mf857jamvkra"/>
      <w:bookmarkStart w:id="40" w:name="_heading=h.3wms8rguhtu4"/>
      <w:bookmarkStart w:id="41" w:name="_heading=h.5prsy3ssa8yn"/>
      <w:bookmarkStart w:id="42" w:name="_heading=h.524q4j76zbxp"/>
      <w:bookmarkStart w:id="43" w:name="_heading=h.hua6q18icht7"/>
      <w:bookmarkStart w:id="44" w:name="_heading=h.lzxdfxty8zdk"/>
      <w:bookmarkStart w:id="45" w:name="_heading=h.7eukdb7xjucg"/>
      <w:bookmarkStart w:id="46" w:name="_heading=h.4dw3d9ia37l3"/>
      <w:bookmarkStart w:id="47" w:name="_heading=h.yf8a1p94t0az"/>
      <w:bookmarkStart w:id="48" w:name="_heading=h.m48mtl2qzoyb"/>
      <w:bookmarkStart w:id="49" w:name="_heading=h.6a4pg549u3c2"/>
      <w:bookmarkStart w:id="50" w:name="_heading=h.e16ixial0f2w"/>
      <w:bookmarkStart w:id="51" w:name="_heading=h.3x6vnjkztw0m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D1224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D1224F">
        <w:rPr>
          <w:rFonts w:asciiTheme="majorBidi" w:hAnsiTheme="majorBidi" w:cstheme="majorBidi"/>
          <w:sz w:val="24"/>
          <w:szCs w:val="24"/>
        </w:rPr>
        <w:t xml:space="preserve"> Department of Medicine, College of Medicine and Health Sciences, An-Najah National University, Nablus 44839, Palestine</w:t>
      </w:r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122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bookmarkStart w:id="52" w:name="_Hlk183634316"/>
      <w:r w:rsidRPr="00D1224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1224F">
        <w:rPr>
          <w:rFonts w:asciiTheme="majorBidi" w:hAnsiTheme="majorBidi" w:cstheme="majorBidi"/>
          <w:sz w:val="24"/>
          <w:szCs w:val="24"/>
        </w:rPr>
        <w:t>Department of Biomedical Sciences, Faculty of Medicine and Health Sciences, An-Najah National University</w:t>
      </w:r>
      <w:bookmarkEnd w:id="52"/>
      <w:r w:rsidRPr="00D1224F">
        <w:rPr>
          <w:rFonts w:asciiTheme="majorBidi" w:hAnsiTheme="majorBidi" w:cstheme="majorBidi"/>
          <w:sz w:val="24"/>
          <w:szCs w:val="24"/>
        </w:rPr>
        <w:t>, Nablus 44839, Palestine</w:t>
      </w:r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3</w:t>
      </w:r>
      <w:r w:rsidRPr="00D1224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1224F">
        <w:rPr>
          <w:rFonts w:asciiTheme="majorBidi" w:eastAsia="Times New Roman" w:hAnsiTheme="majorBidi" w:cstheme="majorBidi"/>
          <w:color w:val="000000"/>
          <w:sz w:val="24"/>
          <w:szCs w:val="24"/>
        </w:rPr>
        <w:t>Department of Pathology, An-Najah National University Hospital, Nablus 44839, Palestine</w:t>
      </w:r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1224F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 xml:space="preserve">4 </w:t>
      </w:r>
      <w:r w:rsidRPr="00D1224F">
        <w:rPr>
          <w:rFonts w:asciiTheme="majorBidi" w:eastAsia="Times New Roman" w:hAnsiTheme="majorBidi" w:cstheme="majorBidi"/>
          <w:color w:val="000000"/>
          <w:sz w:val="24"/>
          <w:szCs w:val="24"/>
        </w:rPr>
        <w:t>Department of Pediatric Oncology, An-Najah National University Hospital, Nablus 44839, Palestine</w:t>
      </w:r>
    </w:p>
    <w:p w:rsidR="008606BF" w:rsidRPr="00D1224F" w:rsidRDefault="008606BF" w:rsidP="008606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1224F">
        <w:rPr>
          <w:rFonts w:asciiTheme="majorBidi" w:hAnsiTheme="majorBidi" w:cstheme="majorBidi"/>
          <w:sz w:val="24"/>
          <w:szCs w:val="24"/>
          <w:vertAlign w:val="superscript"/>
        </w:rPr>
        <w:t xml:space="preserve">5 </w:t>
      </w:r>
      <w:r w:rsidRPr="00D1224F">
        <w:rPr>
          <w:rFonts w:asciiTheme="majorBidi" w:hAnsiTheme="majorBidi" w:cstheme="majorBidi"/>
          <w:sz w:val="24"/>
          <w:szCs w:val="24"/>
        </w:rPr>
        <w:t>Department of Clinical and Community Pharmacy, College of Medicine and Health Sciences, An-Najah National University, Nablus 44839, Palestine</w:t>
      </w:r>
    </w:p>
    <w:p w:rsidR="008606BF" w:rsidRPr="00D1224F" w:rsidRDefault="008606BF" w:rsidP="008606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1224F">
        <w:rPr>
          <w:rFonts w:asciiTheme="majorBidi" w:hAnsiTheme="majorBidi" w:cstheme="majorBidi"/>
          <w:sz w:val="24"/>
          <w:szCs w:val="24"/>
          <w:vertAlign w:val="superscript"/>
        </w:rPr>
        <w:t xml:space="preserve">6 </w:t>
      </w:r>
      <w:r w:rsidRPr="00D1224F">
        <w:rPr>
          <w:rFonts w:asciiTheme="majorBidi" w:hAnsiTheme="majorBidi" w:cstheme="majorBidi"/>
          <w:sz w:val="24"/>
          <w:szCs w:val="24"/>
        </w:rPr>
        <w:t>Poison Control and Drug Information Center (PCDIC), College of Medicine and Health Sciences, An-Najah National University, Nablus 44839, Palestine</w:t>
      </w:r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D1224F">
        <w:rPr>
          <w:rFonts w:asciiTheme="majorBidi" w:hAnsiTheme="majorBidi" w:cstheme="majorBidi"/>
          <w:sz w:val="24"/>
          <w:szCs w:val="24"/>
          <w:vertAlign w:val="superscript"/>
        </w:rPr>
        <w:t xml:space="preserve">7 </w:t>
      </w:r>
      <w:r w:rsidRPr="00D1224F">
        <w:rPr>
          <w:rFonts w:asciiTheme="majorBidi" w:hAnsiTheme="majorBidi" w:cstheme="majorBidi"/>
          <w:sz w:val="24"/>
          <w:szCs w:val="24"/>
        </w:rPr>
        <w:t>Clinical Research Center, An-Najah National University Hospital, Nablus 44839, Palestine</w:t>
      </w:r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606BF" w:rsidRPr="00D1224F" w:rsidRDefault="008606BF" w:rsidP="008606BF">
      <w:pPr>
        <w:tabs>
          <w:tab w:val="left" w:pos="8460"/>
          <w:tab w:val="left" w:pos="8640"/>
        </w:tabs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606BF" w:rsidRPr="00D1224F" w:rsidRDefault="008606BF" w:rsidP="008606BF">
      <w:pPr>
        <w:spacing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D1224F">
        <w:rPr>
          <w:rFonts w:asciiTheme="majorBidi" w:hAnsiTheme="majorBidi" w:cstheme="majorBidi"/>
          <w:b/>
          <w:sz w:val="24"/>
          <w:szCs w:val="24"/>
        </w:rPr>
        <w:t>*Corresponding authors</w:t>
      </w:r>
      <w:bookmarkStart w:id="53" w:name="_Hlk183633953"/>
      <w:r w:rsidRPr="00D1224F">
        <w:rPr>
          <w:rFonts w:asciiTheme="majorBidi" w:eastAsia="Times New Roman" w:hAnsiTheme="majorBidi" w:cstheme="majorBidi"/>
          <w:b/>
          <w:sz w:val="24"/>
          <w:szCs w:val="24"/>
        </w:rPr>
        <w:t>:</w:t>
      </w:r>
      <w:r w:rsidRPr="00D1224F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bookmarkStart w:id="54" w:name="_Hlk183634371"/>
      <w:r w:rsidRPr="00D1224F">
        <w:rPr>
          <w:rFonts w:asciiTheme="majorBidi" w:hAnsiTheme="majorBidi" w:cstheme="majorBidi"/>
        </w:rPr>
        <w:fldChar w:fldCharType="begin"/>
      </w:r>
      <w:r w:rsidRPr="00D1224F">
        <w:rPr>
          <w:rFonts w:asciiTheme="majorBidi" w:hAnsiTheme="majorBidi" w:cstheme="majorBidi"/>
        </w:rPr>
        <w:instrText xml:space="preserve"> HYPERLINK "mailto:sultan.mosleh@najah.edu" </w:instrText>
      </w:r>
      <w:r w:rsidRPr="00D1224F">
        <w:rPr>
          <w:rFonts w:asciiTheme="majorBidi" w:hAnsiTheme="majorBidi" w:cstheme="majorBidi"/>
        </w:rPr>
        <w:fldChar w:fldCharType="separate"/>
      </w:r>
      <w:r w:rsidRPr="00D1224F">
        <w:rPr>
          <w:rStyle w:val="Hyperlink"/>
          <w:rFonts w:asciiTheme="majorBidi" w:hAnsiTheme="majorBidi" w:cstheme="majorBidi"/>
          <w:bCs/>
          <w:sz w:val="24"/>
          <w:szCs w:val="24"/>
        </w:rPr>
        <w:t>sultan.mosleh@najah.edu</w:t>
      </w:r>
      <w:r w:rsidRPr="00D1224F">
        <w:rPr>
          <w:rFonts w:asciiTheme="majorBidi" w:hAnsiTheme="majorBidi" w:cstheme="majorBidi"/>
        </w:rPr>
        <w:fldChar w:fldCharType="end"/>
      </w:r>
      <w:bookmarkStart w:id="55" w:name="_Hlk183633830"/>
      <w:bookmarkEnd w:id="53"/>
      <w:bookmarkEnd w:id="54"/>
      <w:r w:rsidRPr="00D1224F">
        <w:rPr>
          <w:rStyle w:val="Hyperlink"/>
          <w:rFonts w:asciiTheme="majorBidi" w:hAnsiTheme="majorBidi" w:cstheme="majorBidi"/>
          <w:b/>
          <w:sz w:val="24"/>
          <w:szCs w:val="24"/>
        </w:rPr>
        <w:t xml:space="preserve">; </w:t>
      </w:r>
      <w:hyperlink r:id="rId11" w:history="1">
        <w:r w:rsidRPr="00D1224F">
          <w:rPr>
            <w:rStyle w:val="Hyperlink"/>
            <w:rFonts w:asciiTheme="majorBidi" w:hAnsiTheme="majorBidi" w:cstheme="majorBidi"/>
            <w:bCs/>
            <w:sz w:val="24"/>
            <w:szCs w:val="24"/>
          </w:rPr>
          <w:t>dabuhalima@gmail.com</w:t>
        </w:r>
      </w:hyperlink>
      <w:bookmarkEnd w:id="55"/>
    </w:p>
    <w:p w:rsidR="008606BF" w:rsidRPr="00D1224F" w:rsidRDefault="008606BF" w:rsidP="008606BF">
      <w:pPr>
        <w:shd w:val="clear" w:color="auto" w:fill="FFFFFF"/>
        <w:tabs>
          <w:tab w:val="left" w:pos="3090"/>
          <w:tab w:val="center" w:pos="4513"/>
        </w:tabs>
        <w:spacing w:after="160" w:line="240" w:lineRule="auto"/>
        <w:jc w:val="center"/>
        <w:rPr>
          <w:rStyle w:val="Hyperlink"/>
          <w:rFonts w:asciiTheme="majorBidi" w:hAnsiTheme="majorBidi" w:cstheme="majorBidi"/>
          <w:bCs/>
          <w:i/>
          <w:iCs/>
        </w:rPr>
      </w:pPr>
    </w:p>
    <w:p w:rsidR="008606BF" w:rsidRDefault="008606BF" w:rsidP="008606BF">
      <w:pPr>
        <w:shd w:val="clear" w:color="auto" w:fill="FFFFFF"/>
        <w:tabs>
          <w:tab w:val="left" w:pos="3090"/>
          <w:tab w:val="center" w:pos="4513"/>
        </w:tabs>
        <w:spacing w:after="160" w:line="480" w:lineRule="auto"/>
      </w:pPr>
    </w:p>
    <w:p w:rsidR="00155492" w:rsidRDefault="00155492" w:rsidP="00155492"/>
    <w:p w:rsidR="00155492" w:rsidRDefault="00155492" w:rsidP="00155492"/>
    <w:p w:rsidR="00155492" w:rsidRDefault="00155492" w:rsidP="00155492"/>
    <w:p w:rsidR="00155492" w:rsidRDefault="00155492" w:rsidP="00155492"/>
    <w:p w:rsidR="00155492" w:rsidRDefault="00155492" w:rsidP="00155492"/>
    <w:p w:rsidR="00155492" w:rsidRDefault="00155492" w:rsidP="00155492"/>
    <w:p w:rsidR="00155492" w:rsidRDefault="00155492" w:rsidP="00155492"/>
    <w:p w:rsidR="00421C6C" w:rsidRDefault="00421C6C" w:rsidP="00155492"/>
    <w:p w:rsidR="00155492" w:rsidRDefault="00155492" w:rsidP="00155492"/>
    <w:p w:rsidR="00155492" w:rsidRDefault="00155492"/>
    <w:p w:rsidR="00155492" w:rsidRDefault="00155492"/>
    <w:tbl>
      <w:tblPr>
        <w:tblStyle w:val="ListTable21"/>
        <w:tblW w:w="919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95"/>
        <w:gridCol w:w="1650"/>
        <w:gridCol w:w="1851"/>
        <w:gridCol w:w="1977"/>
        <w:gridCol w:w="1725"/>
      </w:tblGrid>
      <w:tr w:rsidR="00155492" w:rsidRPr="000522C6" w:rsidTr="00233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8" w:type="dxa"/>
            <w:gridSpan w:val="5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hAnsiTheme="majorBidi" w:cstheme="majorBidi"/>
              </w:rPr>
              <w:lastRenderedPageBreak/>
              <w:t>Supplementary Table S1</w:t>
            </w:r>
            <w:r w:rsidRPr="000522C6">
              <w:rPr>
                <w:rFonts w:asciiTheme="majorBidi" w:eastAsia="Times New Roman" w:hAnsiTheme="majorBidi" w:cstheme="majorBidi"/>
              </w:rPr>
              <w:t>.  Survival rates in association with demographic and clinical characteristics</w:t>
            </w: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N of patients</w:t>
            </w:r>
            <w:r w:rsidRPr="000522C6">
              <w:rPr>
                <w:rFonts w:asciiTheme="majorBidi" w:hAnsiTheme="majorBidi" w:cstheme="majorBidi"/>
              </w:rPr>
              <w:tab/>
            </w: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N =75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N died (%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N survived (%)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Total lymphoma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75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 (4)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72 (96)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Lymphoma type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0.246*</w:t>
            </w: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NH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41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 (4)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38 (50.7)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H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34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34 (45.3)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Gender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0.999*</w:t>
            </w: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46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 (2.7)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44 (58.7)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29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28 (37.3)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Residence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0.999*</w:t>
            </w: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West Bank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42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 (2.7)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40 (53.3)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Gaza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33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32 (42.7)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Presentation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0.492*</w:t>
            </w: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4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Neck mass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36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4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35 (46.7)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</w:tr>
      <w:tr w:rsidR="00155492" w:rsidRPr="000522C6" w:rsidTr="00233A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9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Respiratory symptoms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10 (13.3)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68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GI manifestations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6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68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15 (20.0)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B symptoms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5 (6.7)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Others*</w:t>
            </w:r>
            <w:r>
              <w:rPr>
                <w:rFonts w:asciiTheme="majorBidi" w:eastAsia="Times New Roman" w:hAnsiTheme="majorBidi" w:cstheme="majorBidi"/>
              </w:rPr>
              <w:t>*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7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7 (9.3)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20"/>
              <w:rPr>
                <w:rFonts w:asciiTheme="majorBidi" w:eastAsia="Times New Roman" w:hAnsiTheme="majorBidi" w:cstheme="majorBidi"/>
                <w:i/>
              </w:rPr>
            </w:pPr>
            <w:r w:rsidRPr="000522C6">
              <w:rPr>
                <w:rFonts w:asciiTheme="majorBidi" w:eastAsia="Times New Roman" w:hAnsiTheme="majorBidi" w:cstheme="majorBidi"/>
                <w:i/>
              </w:rPr>
              <w:t>Pathological diagnosis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 xml:space="preserve">   0 .636*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DLBCL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5 (6.7)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BL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23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2 (2.7)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21 (28.0)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Classical nodular sclerosing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25 (33.3)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56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Classical lymphocyte rich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 (5.3)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2" w:lineRule="auto"/>
              <w:ind w:right="3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Classical mixed cellularity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 (5.3)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2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Nodular nonclassical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1(1.3)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</w:rPr>
            </w:pPr>
            <w:r w:rsidRPr="000522C6">
              <w:rPr>
                <w:rFonts w:asciiTheme="majorBidi" w:eastAsia="Times New Roman" w:hAnsiTheme="majorBidi" w:cstheme="majorBidi"/>
                <w:i/>
              </w:rPr>
              <w:t>Stage early/advanced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 xml:space="preserve"> 0.999*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Early &lt; 3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36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35 (46.7)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Advanced ≥ 3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39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2 (2.7)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37 (49.3)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B symptoms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0.246*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No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41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3 (4.0)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38 (50.7)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yes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34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34 (45.3)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BM involvement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0.999*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no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3 (4.0)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67 (89.3)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yes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5 (6.7)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LDH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0.802*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Less than 320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38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37 (49.3)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lastRenderedPageBreak/>
              <w:t>More than 320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18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17 (22.7)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Not done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19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18 (24)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Site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0.999*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Head/neck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28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27 (36.0)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4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mediastinal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74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15 (20.0)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abdomen/pelvis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14 (18.7)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Generalized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16 (21.3)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  <w:i/>
                <w:iCs/>
              </w:rPr>
            </w:pPr>
            <w:r w:rsidRPr="000522C6">
              <w:rPr>
                <w:rFonts w:asciiTheme="majorBidi" w:eastAsia="Times New Roman" w:hAnsiTheme="majorBidi" w:cstheme="majorBidi"/>
                <w:i/>
                <w:iCs/>
              </w:rPr>
              <w:t>Stage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0522C6">
              <w:rPr>
                <w:rFonts w:asciiTheme="majorBidi" w:eastAsia="Times New Roman" w:hAnsiTheme="majorBidi" w:cstheme="majorBidi"/>
                <w:b/>
                <w:bCs/>
              </w:rPr>
              <w:t>0.613*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I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0 (0)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6 (8)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</w:rPr>
            </w:pPr>
            <w:r w:rsidRPr="000522C6">
              <w:rPr>
                <w:rFonts w:asciiTheme="majorBidi" w:eastAsia="Times New Roman" w:hAnsiTheme="majorBidi" w:cstheme="majorBidi"/>
                <w:b/>
              </w:rPr>
              <w:t xml:space="preserve"> </w:t>
            </w: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II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29 (38.7)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III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29 (38.7)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155492" w:rsidRPr="000522C6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2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IV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185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 xml:space="preserve">      1 (1.3)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</w:rPr>
            </w:pPr>
            <w:r w:rsidRPr="000522C6">
              <w:rPr>
                <w:rFonts w:asciiTheme="majorBidi" w:eastAsia="Times New Roman" w:hAnsiTheme="majorBidi" w:cstheme="majorBidi"/>
              </w:rPr>
              <w:t>8 (10.7)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Pr="000522C6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</w:tbl>
    <w:p w:rsidR="00155492" w:rsidRDefault="00155492" w:rsidP="00155492">
      <w:pPr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</w:t>
      </w:r>
      <w:r w:rsidRPr="00A1722C">
        <w:rPr>
          <w:rFonts w:asciiTheme="majorBidi" w:eastAsia="Times New Roman" w:hAnsiTheme="majorBidi" w:cstheme="majorBidi"/>
          <w:b/>
          <w:bCs/>
          <w:sz w:val="20"/>
          <w:szCs w:val="20"/>
        </w:rPr>
        <w:t>* Fisher’s exact test</w:t>
      </w:r>
    </w:p>
    <w:p w:rsidR="00155492" w:rsidRPr="001011DB" w:rsidRDefault="00155492" w:rsidP="001554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</w:t>
      </w:r>
      <w:r w:rsidRPr="00A1722C">
        <w:rPr>
          <w:rFonts w:asciiTheme="majorBidi" w:eastAsia="Times New Roman" w:hAnsiTheme="majorBidi" w:cstheme="majorBidi"/>
          <w:b/>
          <w:bCs/>
          <w:sz w:val="20"/>
          <w:szCs w:val="20"/>
        </w:rPr>
        <w:t>*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*Others: </w:t>
      </w:r>
      <w:r w:rsidRPr="001011DB">
        <w:rPr>
          <w:rFonts w:asciiTheme="majorBidi" w:hAnsiTheme="majorBidi" w:cstheme="majorBidi"/>
          <w:sz w:val="24"/>
          <w:szCs w:val="24"/>
        </w:rPr>
        <w:t>encompassed diverse presentations, such as generalized edema, facial puffiness, back pain, headache, migratory arthralgia &amp; erythema, scrotal swelling, periorbital swelling, tooth pain, jaw mass, snoring, hoarseness, and double vision.</w:t>
      </w:r>
    </w:p>
    <w:p w:rsidR="00155492" w:rsidRDefault="00155492" w:rsidP="00155492">
      <w:pPr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155492" w:rsidRPr="000522C6" w:rsidRDefault="00155492" w:rsidP="00155492">
      <w:pPr>
        <w:rPr>
          <w:rFonts w:asciiTheme="majorBidi" w:hAnsiTheme="majorBidi" w:cstheme="majorBidi"/>
        </w:rPr>
      </w:pPr>
    </w:p>
    <w:tbl>
      <w:tblPr>
        <w:tblStyle w:val="ListTable21"/>
        <w:tblW w:w="936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6"/>
        <w:gridCol w:w="1752"/>
        <w:gridCol w:w="2125"/>
        <w:gridCol w:w="2310"/>
        <w:gridCol w:w="1167"/>
      </w:tblGrid>
      <w:tr w:rsidR="00155492" w:rsidTr="00233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  <w:r w:rsidRPr="00872725">
              <w:rPr>
                <w:rFonts w:ascii="Times New Roman" w:eastAsia="Times New Roman" w:hAnsi="Times New Roman" w:cs="Times New Roman"/>
              </w:rPr>
              <w:t>Supplementary Table S2. Event rate in association with demographic and clinical data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after="240"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 of patients        N =75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after="24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 event (death or relapse) (%)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 no events (%)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 value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lymphoma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(16)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(84)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Lymphoma type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0.999*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(9.3)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(45.3)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(38.7)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Gender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0.195*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 (54.7)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(9.3)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(29.3)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Residence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0.999*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West Bank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(9.3)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(46.7)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Gaza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(37.3)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Presentation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0.360*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4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Neck mass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4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4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(42.7)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9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Respiratory symptoms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(2.7)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(10.7)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68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 manifestations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68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(2.7)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68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(18.7)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symptoms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(2.7)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(4.0)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Others**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(2.7)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Pathological diagnosis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0.277*</w:t>
            </w:r>
          </w:p>
        </w:tc>
      </w:tr>
      <w:tr w:rsidR="00155492" w:rsidTr="00233A6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LL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(12.0)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DLBCL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(4.0)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(26.7)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Classical nodular sclerosing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(28.0)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Classical lymphocyte rich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7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Classical mixed cellularity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7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Nodular nonclassical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(1.3)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Stage early/advanced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0.351*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Early &lt; 3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(42.7)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Advanced ≥ 3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(10.7)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(41.3)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 symptoms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0.999*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(9.3)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(45.3)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(38.7)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BM involvement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0.999*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(14.7)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 (78.7)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(1.3)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LDH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0.999*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 than 320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(42.7)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More than 320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(20)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Not done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(21.3)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Site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0.251*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Head/neck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(2.7)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(34.7)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4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mediastinal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(4.0)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74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(16.0)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abdomen/pelvis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(2.7)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(17.3)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Generalized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(16.0)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Stage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7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72C0C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.434*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(5.3)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(34.7)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(6.7)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(33.3)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55492" w:rsidTr="00233A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(4.0)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(8.0)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492" w:rsidRDefault="00155492" w:rsidP="00233A6C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155492" w:rsidRDefault="00155492" w:rsidP="00155492">
      <w:pPr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</w:t>
      </w:r>
      <w:r w:rsidRPr="00A1722C">
        <w:rPr>
          <w:rFonts w:asciiTheme="majorBidi" w:eastAsia="Times New Roman" w:hAnsiTheme="majorBidi" w:cstheme="majorBidi"/>
          <w:b/>
          <w:bCs/>
          <w:sz w:val="20"/>
          <w:szCs w:val="20"/>
        </w:rPr>
        <w:t>* Fisher’s exact test</w:t>
      </w:r>
    </w:p>
    <w:p w:rsidR="00155492" w:rsidRPr="001011DB" w:rsidRDefault="00155492" w:rsidP="001554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</w:t>
      </w:r>
      <w:r w:rsidRPr="00A1722C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*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* Others: </w:t>
      </w:r>
      <w:r w:rsidRPr="001011DB">
        <w:rPr>
          <w:rFonts w:asciiTheme="majorBidi" w:hAnsiTheme="majorBidi" w:cstheme="majorBidi"/>
          <w:sz w:val="24"/>
          <w:szCs w:val="24"/>
        </w:rPr>
        <w:t>encompassed diverse presentations, such as generalized edema, facial puffiness, back pain, headache, migratory arthralgia &amp; erythema, scrotal swelling, periorbital swelling, tooth pain, jaw mass, snoring, hoarseness, and double vision.</w:t>
      </w:r>
    </w:p>
    <w:p w:rsidR="00155492" w:rsidRPr="00F747B5" w:rsidRDefault="00155492" w:rsidP="00155492">
      <w:pPr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421C6C" w:rsidRDefault="00421C6C" w:rsidP="00421C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C6C" w:rsidRDefault="00421C6C" w:rsidP="00421C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C6C" w:rsidRDefault="00421C6C" w:rsidP="00421C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C6C" w:rsidRDefault="00421C6C" w:rsidP="00421C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C6C" w:rsidRPr="00421C6C" w:rsidRDefault="00421C6C" w:rsidP="00421C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A30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30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Kaplan-Meier curve for Event-Free Survival (EFS) </w:t>
      </w:r>
      <w:r w:rsidRPr="00421C6C">
        <w:rPr>
          <w:rFonts w:asciiTheme="majorBidi" w:hAnsiTheme="majorBidi" w:cstheme="majorBidi"/>
          <w:b/>
          <w:bCs/>
          <w:sz w:val="24"/>
          <w:szCs w:val="24"/>
        </w:rPr>
        <w:t>in Pediatric Lymphoma</w:t>
      </w:r>
    </w:p>
    <w:p w:rsidR="0029261B" w:rsidRDefault="00421C6C">
      <w:r w:rsidRPr="00421C6C">
        <w:drawing>
          <wp:inline distT="0" distB="0" distL="0" distR="0" wp14:anchorId="041B9489" wp14:editId="014A5EB2">
            <wp:extent cx="5943600" cy="3507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6C" w:rsidRDefault="00421C6C"/>
    <w:p w:rsidR="00421C6C" w:rsidRPr="00421C6C" w:rsidRDefault="00421C6C" w:rsidP="00421C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</w:t>
      </w:r>
      <w:r w:rsidRPr="00A30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30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Kaplan-Meier curve for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Overall</w:t>
      </w:r>
      <w:r w:rsidRPr="00A30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Survival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421C6C">
        <w:rPr>
          <w:rFonts w:asciiTheme="majorBidi" w:hAnsiTheme="majorBidi" w:cstheme="majorBidi"/>
          <w:b/>
          <w:bCs/>
          <w:sz w:val="24"/>
          <w:szCs w:val="24"/>
        </w:rPr>
        <w:t>in Pediatric Lymphoma</w:t>
      </w:r>
    </w:p>
    <w:p w:rsidR="00421C6C" w:rsidRDefault="00421C6C">
      <w:r w:rsidRPr="00421C6C">
        <w:drawing>
          <wp:inline distT="0" distB="0" distL="0" distR="0" wp14:anchorId="3C82A1A1" wp14:editId="46E079D9">
            <wp:extent cx="5943600" cy="3507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6" w:name="_GoBack"/>
      <w:bookmarkEnd w:id="56"/>
    </w:p>
    <w:sectPr w:rsidR="0042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62A7"/>
    <w:multiLevelType w:val="multilevel"/>
    <w:tmpl w:val="C5AA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92"/>
    <w:rsid w:val="00155492"/>
    <w:rsid w:val="0029261B"/>
    <w:rsid w:val="00421C6C"/>
    <w:rsid w:val="0054740E"/>
    <w:rsid w:val="008606BF"/>
    <w:rsid w:val="00BE00BF"/>
    <w:rsid w:val="00D1224F"/>
    <w:rsid w:val="00D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C5F2B"/>
  <w15:chartTrackingRefBased/>
  <w15:docId w15:val="{8419612E-332A-4748-9EB8-F0C93D5F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492"/>
    <w:pPr>
      <w:spacing w:after="0" w:line="276" w:lineRule="auto"/>
    </w:pPr>
    <w:rPr>
      <w:rFonts w:ascii="Arial" w:eastAsia="Arial" w:hAnsi="Arial" w:cs="Arial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155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54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ListTable21">
    <w:name w:val="List Table 21"/>
    <w:basedOn w:val="TableNormal"/>
    <w:uiPriority w:val="47"/>
    <w:rsid w:val="00155492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554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55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butaha@najah.ed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zeinaraedqadi@g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hiss.dima@gmail.com" TargetMode="External"/><Relationship Id="rId11" Type="http://schemas.openxmlformats.org/officeDocument/2006/relationships/hyperlink" Target="mailto:dabuhalima@gmail.com" TargetMode="External"/><Relationship Id="rId5" Type="http://schemas.openxmlformats.org/officeDocument/2006/relationships/hyperlink" Target="mailto:dabuhalima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aedzyoud@naja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ltan.mosleh@naja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1010</Words>
  <Characters>4911</Characters>
  <Application>Microsoft Office Word</Application>
  <DocSecurity>0</DocSecurity>
  <Lines>701</Lines>
  <Paragraphs>493</Paragraphs>
  <ScaleCrop>false</ScaleCrop>
  <Company>AnNajah National University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Maather Sawalha</dc:creator>
  <cp:keywords/>
  <dc:description/>
  <cp:lastModifiedBy>Dania Abuhalima</cp:lastModifiedBy>
  <cp:revision>7</cp:revision>
  <dcterms:created xsi:type="dcterms:W3CDTF">2025-01-09T17:07:00Z</dcterms:created>
  <dcterms:modified xsi:type="dcterms:W3CDTF">2025-03-23T17:16:00Z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31289c2b-d6a9-49db-ab2e-1995d50d14e4</vt:lpwstr>
  </property>
</Properties>
</file>