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5C4AFCD2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23.5.2021</w:t>
      </w:r>
    </w:p>
    <w:p w14:paraId="420DB650" w14:textId="612554E7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Name:_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Dr Gurkaran Preet Singh</w:t>
      </w:r>
    </w:p>
    <w:p w14:paraId="16C4A7E3" w14:textId="30ECDCE6" w:rsidR="00A0085E" w:rsidRPr="009073FC" w:rsidRDefault="00A0085E" w:rsidP="005748CB">
      <w:pPr>
        <w:ind w:left="-900" w:right="-1440"/>
        <w:rPr>
          <w:rFonts w:asciiTheme="majorHAnsi" w:hAnsiTheme="majorHAnsi" w:cstheme="majorHAnsi"/>
          <w:bCs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Change in maximum incisal opening, caries experience and health-related quality of life in patients undergoing treatment for head and neck cancer – A longitudinal cohort study.</w:t>
      </w:r>
    </w:p>
    <w:p w14:paraId="49D94839" w14:textId="2A2E152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</w:t>
      </w:r>
      <w:r w:rsidR="009073F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073FC" w:rsidRPr="009073FC">
        <w:rPr>
          <w:rFonts w:asciiTheme="majorHAnsi" w:hAnsiTheme="majorHAnsi" w:cstheme="majorHAnsi"/>
          <w:bCs/>
          <w:sz w:val="22"/>
          <w:szCs w:val="22"/>
        </w:rPr>
        <w:t>Not Known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leGrid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8B063E5" w14:textId="1ED240C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0AE93BA9" w14:textId="4B6FD856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CA15BFD" w14:textId="21977BA9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8FCE045" w14:textId="32B5E65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664AA0D" w14:textId="329105F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B1A4541" w14:textId="51C5F9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56E6589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1F4D6D59" w14:textId="314FBAC8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441C131E" w14:textId="7E2D732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22134E53" w14:textId="182DCCF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FB7725C" w14:textId="7632A366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0BB6EC08" w14:textId="1705E1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530A5E96" w14:textId="22282A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05E60E0C" w:rsidR="008D018A" w:rsidRDefault="009073FC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[X]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073FC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0B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B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B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B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Prerna Jain</cp:lastModifiedBy>
  <cp:revision>9</cp:revision>
  <cp:lastPrinted>2019-11-15T18:47:00Z</cp:lastPrinted>
  <dcterms:created xsi:type="dcterms:W3CDTF">2020-12-18T16:01:00Z</dcterms:created>
  <dcterms:modified xsi:type="dcterms:W3CDTF">2021-05-22T23:35:00Z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