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B7E251" w14:textId="62E0EF8C" w:rsidR="0065648D" w:rsidRPr="004761C3" w:rsidRDefault="0065648D" w:rsidP="0065648D">
      <w:pPr>
        <w:spacing w:line="480" w:lineRule="auto"/>
        <w:jc w:val="both"/>
        <w:rPr>
          <w:b/>
          <w:bCs/>
        </w:rPr>
      </w:pPr>
      <w:bookmarkStart w:id="0" w:name="_heading=h.gjdgxs"/>
      <w:bookmarkEnd w:id="0"/>
      <w:r w:rsidRPr="5F814C4A">
        <w:rPr>
          <w:b/>
          <w:bCs/>
        </w:rPr>
        <w:t xml:space="preserve">GenomeFISH: genome-based fluorescence </w:t>
      </w:r>
      <w:r w:rsidRPr="5F814C4A">
        <w:rPr>
          <w:b/>
          <w:bCs/>
          <w:i/>
          <w:iCs/>
        </w:rPr>
        <w:t>in situ</w:t>
      </w:r>
      <w:r w:rsidRPr="5F814C4A">
        <w:rPr>
          <w:b/>
          <w:bCs/>
        </w:rPr>
        <w:t xml:space="preserve"> hybridisation for strain-level visualisation of microbial communities</w:t>
      </w:r>
    </w:p>
    <w:p w14:paraId="36F71403" w14:textId="77777777" w:rsidR="0065648D" w:rsidRDefault="0065648D" w:rsidP="0065648D">
      <w:pPr>
        <w:spacing w:after="160" w:line="259" w:lineRule="auto"/>
        <w:rPr>
          <w:b/>
          <w:sz w:val="22"/>
          <w:szCs w:val="22"/>
        </w:rPr>
      </w:pPr>
    </w:p>
    <w:p w14:paraId="53BCB80B" w14:textId="2CCC5C20" w:rsidR="0065648D" w:rsidRPr="0065648D" w:rsidRDefault="0065648D" w:rsidP="0065648D">
      <w:pPr>
        <w:spacing w:after="160" w:line="259" w:lineRule="auto"/>
        <w:rPr>
          <w:b/>
        </w:rPr>
      </w:pPr>
      <w:r w:rsidRPr="0065648D">
        <w:rPr>
          <w:b/>
        </w:rPr>
        <w:t>Supplementary Information</w:t>
      </w:r>
    </w:p>
    <w:p w14:paraId="1CF4D9AE" w14:textId="26F302BC" w:rsidR="0065648D" w:rsidRPr="00D35FC5" w:rsidRDefault="0065648D" w:rsidP="0065648D">
      <w:pPr>
        <w:spacing w:after="160" w:line="259" w:lineRule="auto"/>
        <w:rPr>
          <w:b/>
          <w:sz w:val="22"/>
          <w:szCs w:val="22"/>
        </w:rPr>
      </w:pPr>
      <w:r w:rsidRPr="00D35FC5">
        <w:rPr>
          <w:b/>
          <w:sz w:val="22"/>
          <w:szCs w:val="22"/>
        </w:rPr>
        <w:t>Supplementary Note 1</w:t>
      </w:r>
    </w:p>
    <w:p w14:paraId="784F9C48" w14:textId="7FE74A65" w:rsidR="0065648D" w:rsidRPr="00D35FC5" w:rsidRDefault="0065648D" w:rsidP="0065648D">
      <w:pPr>
        <w:spacing w:after="160" w:line="259" w:lineRule="auto"/>
        <w:jc w:val="both"/>
        <w:rPr>
          <w:sz w:val="22"/>
          <w:szCs w:val="22"/>
        </w:rPr>
      </w:pPr>
      <w:r w:rsidRPr="00D35FC5">
        <w:rPr>
          <w:sz w:val="22"/>
          <w:szCs w:val="22"/>
        </w:rPr>
        <w:t>To generate GenomeFISH polynucleotide probes, DNA of isolates, SAGs, and calf thymus (negative control) was sheared to ~130bp, a length consistent with the optimal fragment size suggested for nucleic acid hybridisations</w:t>
      </w:r>
      <w:r w:rsidR="00CB7F03">
        <w:rPr>
          <w:sz w:val="22"/>
          <w:szCs w:val="22"/>
        </w:rPr>
        <w:fldChar w:fldCharType="begin"/>
      </w:r>
      <w:r w:rsidR="00CB7F03">
        <w:rPr>
          <w:sz w:val="22"/>
          <w:szCs w:val="22"/>
        </w:rPr>
        <w:instrText xml:space="preserve"> ADDIN EN.CITE &lt;EndNote&gt;&lt;Cite&gt;&lt;Author&gt;Lichter&lt;/Author&gt;&lt;Year&gt;1992&lt;/Year&gt;&lt;RecNum&gt;772&lt;/RecNum&gt;&lt;DisplayText&gt;&lt;style face="superscript"&gt;1&lt;/style&gt;&lt;/DisplayText&gt;&lt;record&gt;&lt;rec-number&gt;772&lt;/rec-number&gt;&lt;foreign-keys&gt;&lt;key app="EN" db-id="9v9zsax5fxed5aeptx6v0t90v95rs0dsefa9" timestamp="1691390326" guid="db2beb9d-61fb-4b19-abd3-7b8945919314"&gt;772&lt;/key&gt;&lt;/foreign-keys&gt;&lt;ref-type name="Book Section"&gt;5&lt;/ref-type&gt;&lt;contributors&gt;&lt;authors&gt;&lt;author&gt;Lichter, Peter&lt;/author&gt;&lt;author&gt;Cremer, Thomas&lt;/author&gt;&lt;/authors&gt;&lt;secondary-authors&gt;&lt;author&gt;D.E. Rooney and B.H. Czepulkowski&lt;/author&gt;&lt;/secondary-authors&gt;&lt;/contributors&gt;&lt;titles&gt;&lt;title&gt;&lt;style face="normal" font="default" size="100%"&gt;Chromosome analysis by non-isotopic &lt;/style&gt;&lt;style face="italic" font="default" size="100%"&gt;in situ &lt;/style&gt;&lt;style face="normal" font="default" size="100%"&gt;hybridization&lt;/style&gt;&lt;/title&gt;&lt;secondary-title&gt;Human Cytogenetics: A Practical Approach&lt;/secondary-title&gt;&lt;/titles&gt;&lt;pages&gt;157–192&lt;/pages&gt;&lt;edition&gt;2nd&lt;/edition&gt;&lt;dates&gt;&lt;year&gt;1992&lt;/year&gt;&lt;/dates&gt;&lt;pub-location&gt;Oxford&lt;/pub-location&gt;&lt;publisher&gt;IRL Press&lt;/publisher&gt;&lt;isbn&gt;0199633134&lt;/isbn&gt;&lt;urls&gt;&lt;/urls&gt;&lt;/record&gt;&lt;/Cite&gt;&lt;/EndNote&gt;</w:instrText>
      </w:r>
      <w:r w:rsidR="00CB7F03">
        <w:rPr>
          <w:sz w:val="22"/>
          <w:szCs w:val="22"/>
        </w:rPr>
        <w:fldChar w:fldCharType="separate"/>
      </w:r>
      <w:r w:rsidR="00CB7F03" w:rsidRPr="00CB7F03">
        <w:rPr>
          <w:noProof/>
          <w:sz w:val="22"/>
          <w:szCs w:val="22"/>
          <w:vertAlign w:val="superscript"/>
        </w:rPr>
        <w:t>1</w:t>
      </w:r>
      <w:r w:rsidR="00CB7F03">
        <w:rPr>
          <w:sz w:val="22"/>
          <w:szCs w:val="22"/>
        </w:rPr>
        <w:fldChar w:fldCharType="end"/>
      </w:r>
      <w:r w:rsidRPr="00D35FC5">
        <w:rPr>
          <w:sz w:val="22"/>
          <w:szCs w:val="22"/>
        </w:rPr>
        <w:t xml:space="preserve">. Fragments were fluorescently labelled, and probe labelling efficiency was measured in </w:t>
      </w:r>
      <w:r>
        <w:rPr>
          <w:sz w:val="22"/>
          <w:szCs w:val="22"/>
        </w:rPr>
        <w:t>nucleotide</w:t>
      </w:r>
      <w:r w:rsidRPr="00D35FC5">
        <w:rPr>
          <w:sz w:val="22"/>
          <w:szCs w:val="22"/>
        </w:rPr>
        <w:t xml:space="preserve"> base to dye ratio (</w:t>
      </w:r>
      <w:r>
        <w:rPr>
          <w:sz w:val="22"/>
          <w:szCs w:val="22"/>
        </w:rPr>
        <w:t xml:space="preserve">BDR, </w:t>
      </w:r>
      <w:r w:rsidRPr="00D35FC5">
        <w:rPr>
          <w:b/>
          <w:sz w:val="22"/>
          <w:szCs w:val="22"/>
        </w:rPr>
        <w:t>Table S2</w:t>
      </w:r>
      <w:r w:rsidRPr="00D35FC5">
        <w:rPr>
          <w:sz w:val="22"/>
          <w:szCs w:val="22"/>
        </w:rPr>
        <w:t xml:space="preserve">). </w:t>
      </w:r>
      <w:r>
        <w:rPr>
          <w:sz w:val="22"/>
          <w:szCs w:val="22"/>
        </w:rPr>
        <w:t>For isolates, t</w:t>
      </w:r>
      <w:r w:rsidRPr="00D35FC5">
        <w:rPr>
          <w:sz w:val="22"/>
          <w:szCs w:val="22"/>
        </w:rPr>
        <w:t>he average labelling efficiencies per 130 nucleotides</w:t>
      </w:r>
      <w:r>
        <w:rPr>
          <w:sz w:val="22"/>
          <w:szCs w:val="22"/>
        </w:rPr>
        <w:t xml:space="preserve"> were</w:t>
      </w:r>
      <w:r w:rsidRPr="00D35FC5">
        <w:rPr>
          <w:sz w:val="22"/>
          <w:szCs w:val="22"/>
        </w:rPr>
        <w:t xml:space="preserve"> 1.</w:t>
      </w:r>
      <w:r>
        <w:rPr>
          <w:sz w:val="22"/>
          <w:szCs w:val="22"/>
        </w:rPr>
        <w:t>6 (for Alexa546),</w:t>
      </w:r>
      <w:r w:rsidRPr="00D35FC5">
        <w:rPr>
          <w:sz w:val="22"/>
          <w:szCs w:val="22"/>
        </w:rPr>
        <w:t xml:space="preserve"> 2.</w:t>
      </w:r>
      <w:r>
        <w:rPr>
          <w:sz w:val="22"/>
          <w:szCs w:val="22"/>
        </w:rPr>
        <w:t>3 (Alexa594), and</w:t>
      </w:r>
      <w:r w:rsidRPr="00D35FC5">
        <w:rPr>
          <w:sz w:val="22"/>
          <w:szCs w:val="22"/>
        </w:rPr>
        <w:t xml:space="preserve"> 2.</w:t>
      </w:r>
      <w:r>
        <w:rPr>
          <w:sz w:val="22"/>
          <w:szCs w:val="22"/>
        </w:rPr>
        <w:t>0 fluorophores (Alexa647)</w:t>
      </w:r>
      <w:r w:rsidRPr="00D35FC5">
        <w:rPr>
          <w:sz w:val="22"/>
          <w:szCs w:val="22"/>
        </w:rPr>
        <w:t xml:space="preserve">. </w:t>
      </w:r>
      <w:r>
        <w:rPr>
          <w:sz w:val="22"/>
          <w:szCs w:val="22"/>
        </w:rPr>
        <w:t>A</w:t>
      </w:r>
      <w:r w:rsidRPr="00D35FC5">
        <w:rPr>
          <w:sz w:val="22"/>
          <w:szCs w:val="22"/>
        </w:rPr>
        <w:t>verage labelling efficiencies were 1.</w:t>
      </w:r>
      <w:r>
        <w:rPr>
          <w:sz w:val="22"/>
          <w:szCs w:val="22"/>
        </w:rPr>
        <w:t>9 (Alexa546),</w:t>
      </w:r>
      <w:r w:rsidRPr="00D35FC5">
        <w:rPr>
          <w:sz w:val="22"/>
          <w:szCs w:val="22"/>
        </w:rPr>
        <w:t xml:space="preserve"> 2.2</w:t>
      </w:r>
      <w:r>
        <w:rPr>
          <w:sz w:val="22"/>
          <w:szCs w:val="22"/>
        </w:rPr>
        <w:t xml:space="preserve"> (Alexa594)</w:t>
      </w:r>
      <w:r w:rsidRPr="00D35FC5">
        <w:rPr>
          <w:sz w:val="22"/>
          <w:szCs w:val="22"/>
        </w:rPr>
        <w:t>, and 1.3</w:t>
      </w:r>
      <w:r>
        <w:rPr>
          <w:sz w:val="22"/>
          <w:szCs w:val="22"/>
        </w:rPr>
        <w:t xml:space="preserve"> fluorophores (Alexa647) for SAGs, and </w:t>
      </w:r>
      <w:r w:rsidRPr="00D35FC5">
        <w:rPr>
          <w:sz w:val="22"/>
          <w:szCs w:val="22"/>
        </w:rPr>
        <w:t>2.4, 1.8, and 2.2</w:t>
      </w:r>
      <w:r>
        <w:rPr>
          <w:sz w:val="22"/>
          <w:szCs w:val="22"/>
        </w:rPr>
        <w:t>, respectively, for calf thymus DNA</w:t>
      </w:r>
      <w:r w:rsidRPr="00D35FC5">
        <w:rPr>
          <w:sz w:val="22"/>
          <w:szCs w:val="22"/>
        </w:rPr>
        <w:t>.</w:t>
      </w:r>
      <w:r>
        <w:rPr>
          <w:sz w:val="22"/>
          <w:szCs w:val="22"/>
        </w:rPr>
        <w:t xml:space="preserve"> </w:t>
      </w:r>
    </w:p>
    <w:p w14:paraId="212B7F94" w14:textId="77777777" w:rsidR="0065648D" w:rsidRDefault="0065648D" w:rsidP="0065648D">
      <w:pPr>
        <w:spacing w:after="160" w:line="259" w:lineRule="auto"/>
        <w:jc w:val="both"/>
        <w:rPr>
          <w:sz w:val="20"/>
          <w:szCs w:val="20"/>
        </w:rPr>
      </w:pPr>
    </w:p>
    <w:p w14:paraId="1CCA0957" w14:textId="77777777" w:rsidR="0065648D" w:rsidRPr="00D35FC5" w:rsidRDefault="0065648D" w:rsidP="0065648D">
      <w:pPr>
        <w:spacing w:after="160" w:line="259" w:lineRule="auto"/>
        <w:jc w:val="both"/>
        <w:rPr>
          <w:b/>
          <w:bCs/>
          <w:sz w:val="22"/>
          <w:szCs w:val="22"/>
        </w:rPr>
      </w:pPr>
      <w:r w:rsidRPr="00D35FC5">
        <w:rPr>
          <w:b/>
          <w:bCs/>
          <w:sz w:val="22"/>
          <w:szCs w:val="22"/>
        </w:rPr>
        <w:t>Supplementary Note 2</w:t>
      </w:r>
    </w:p>
    <w:p w14:paraId="21C98CDC" w14:textId="783006E0" w:rsidR="00907CB7" w:rsidRDefault="00907CB7" w:rsidP="364C3350">
      <w:pPr>
        <w:pStyle w:val="NormalWeb"/>
        <w:spacing w:before="0" w:beforeAutospacing="0" w:after="160" w:afterAutospacing="0"/>
        <w:jc w:val="both"/>
      </w:pPr>
      <w:r w:rsidRPr="364C3350">
        <w:rPr>
          <w:color w:val="000000" w:themeColor="text1"/>
          <w:sz w:val="22"/>
          <w:szCs w:val="22"/>
          <w:lang w:val="en-GB"/>
        </w:rPr>
        <w:t xml:space="preserve">Two </w:t>
      </w:r>
      <w:r w:rsidRPr="364C3350">
        <w:rPr>
          <w:i/>
          <w:iCs/>
          <w:color w:val="000000" w:themeColor="text1"/>
          <w:sz w:val="22"/>
          <w:szCs w:val="22"/>
          <w:lang w:val="en-GB"/>
        </w:rPr>
        <w:t xml:space="preserve">Agathobacter rectalis </w:t>
      </w:r>
      <w:r w:rsidRPr="364C3350">
        <w:rPr>
          <w:color w:val="000000" w:themeColor="text1"/>
          <w:sz w:val="22"/>
          <w:szCs w:val="22"/>
          <w:lang w:val="en-GB"/>
        </w:rPr>
        <w:t xml:space="preserve">single amplified genomes (SAGs) were </w:t>
      </w:r>
      <w:r w:rsidR="78651D75" w:rsidRPr="364C3350">
        <w:rPr>
          <w:color w:val="000000" w:themeColor="text1"/>
          <w:sz w:val="22"/>
          <w:szCs w:val="22"/>
          <w:lang w:val="en-GB"/>
        </w:rPr>
        <w:t>obtained from a single donor from samples collected 11 months apart</w:t>
      </w:r>
      <w:r w:rsidRPr="364C3350">
        <w:rPr>
          <w:color w:val="000000" w:themeColor="text1"/>
          <w:sz w:val="22"/>
          <w:szCs w:val="22"/>
          <w:lang w:val="en-GB"/>
        </w:rPr>
        <w:t xml:space="preserve"> (</w:t>
      </w:r>
      <w:r w:rsidR="00CA153B">
        <w:rPr>
          <w:color w:val="000000" w:themeColor="text1"/>
          <w:sz w:val="22"/>
          <w:szCs w:val="22"/>
          <w:lang w:val="en-GB"/>
        </w:rPr>
        <w:t>Nov 2022 and Oct 2023,</w:t>
      </w:r>
      <w:r w:rsidR="6EA5C44B" w:rsidRPr="364C3350">
        <w:rPr>
          <w:b/>
          <w:bCs/>
          <w:color w:val="000000" w:themeColor="text1"/>
          <w:sz w:val="22"/>
          <w:szCs w:val="22"/>
          <w:lang w:val="en-GB"/>
        </w:rPr>
        <w:t xml:space="preserve"> Ta</w:t>
      </w:r>
      <w:r w:rsidRPr="364C3350">
        <w:rPr>
          <w:b/>
          <w:bCs/>
          <w:color w:val="000000" w:themeColor="text1"/>
          <w:sz w:val="22"/>
          <w:szCs w:val="22"/>
          <w:lang w:val="en-GB"/>
        </w:rPr>
        <w:t>ble S4</w:t>
      </w:r>
      <w:r w:rsidRPr="364C3350">
        <w:rPr>
          <w:color w:val="000000" w:themeColor="text1"/>
          <w:sz w:val="22"/>
          <w:szCs w:val="22"/>
          <w:lang w:val="en-GB"/>
        </w:rPr>
        <w:t xml:space="preserve">). </w:t>
      </w:r>
      <w:r w:rsidR="001769C0">
        <w:rPr>
          <w:color w:val="000000" w:themeColor="text1"/>
          <w:sz w:val="22"/>
          <w:szCs w:val="22"/>
          <w:lang w:val="en-GB"/>
        </w:rPr>
        <w:t xml:space="preserve">The </w:t>
      </w:r>
      <w:r w:rsidRPr="364C3350">
        <w:rPr>
          <w:color w:val="000000" w:themeColor="text1"/>
          <w:sz w:val="22"/>
          <w:szCs w:val="22"/>
          <w:lang w:val="en-GB"/>
        </w:rPr>
        <w:t>SAG</w:t>
      </w:r>
      <w:r w:rsidR="001769C0">
        <w:rPr>
          <w:color w:val="000000" w:themeColor="text1"/>
          <w:sz w:val="22"/>
          <w:szCs w:val="22"/>
          <w:lang w:val="en-GB"/>
        </w:rPr>
        <w:t xml:space="preserve"> from each sample</w:t>
      </w:r>
      <w:r w:rsidRPr="364C3350">
        <w:rPr>
          <w:color w:val="000000" w:themeColor="text1"/>
          <w:sz w:val="22"/>
          <w:szCs w:val="22"/>
          <w:lang w:val="en-GB"/>
        </w:rPr>
        <w:t xml:space="preserve"> </w:t>
      </w:r>
      <w:r w:rsidR="00C53C9B">
        <w:rPr>
          <w:color w:val="000000" w:themeColor="text1"/>
          <w:sz w:val="22"/>
          <w:szCs w:val="22"/>
          <w:lang w:val="en-GB"/>
        </w:rPr>
        <w:t>was</w:t>
      </w:r>
      <w:r w:rsidR="15A34E62" w:rsidRPr="364C3350">
        <w:rPr>
          <w:color w:val="000000" w:themeColor="text1"/>
          <w:sz w:val="22"/>
          <w:szCs w:val="22"/>
          <w:lang w:val="en-GB"/>
        </w:rPr>
        <w:t xml:space="preserve"> near identical</w:t>
      </w:r>
      <w:r w:rsidR="00333271">
        <w:rPr>
          <w:color w:val="000000" w:themeColor="text1"/>
          <w:sz w:val="22"/>
          <w:szCs w:val="22"/>
          <w:lang w:val="en-GB"/>
        </w:rPr>
        <w:t xml:space="preserve"> to the MAG recovered from the respective </w:t>
      </w:r>
      <w:r w:rsidR="00395A03">
        <w:rPr>
          <w:color w:val="000000" w:themeColor="text1"/>
          <w:sz w:val="22"/>
          <w:szCs w:val="22"/>
          <w:lang w:val="en-GB"/>
        </w:rPr>
        <w:t>metagenome</w:t>
      </w:r>
      <w:r w:rsidR="15A34E62" w:rsidRPr="364C3350">
        <w:rPr>
          <w:color w:val="000000" w:themeColor="text1"/>
          <w:sz w:val="22"/>
          <w:szCs w:val="22"/>
          <w:lang w:val="en-GB"/>
        </w:rPr>
        <w:t xml:space="preserve"> </w:t>
      </w:r>
      <w:r w:rsidR="00333271">
        <w:rPr>
          <w:color w:val="000000" w:themeColor="text1"/>
          <w:sz w:val="22"/>
          <w:szCs w:val="22"/>
          <w:lang w:val="en-GB"/>
        </w:rPr>
        <w:t>(</w:t>
      </w:r>
      <w:r w:rsidR="00F67679" w:rsidRPr="00F67679">
        <w:rPr>
          <w:color w:val="000000" w:themeColor="text1"/>
          <w:sz w:val="22"/>
          <w:szCs w:val="22"/>
          <w:lang w:val="en-AU"/>
        </w:rPr>
        <w:t>99.78%</w:t>
      </w:r>
      <w:r w:rsidR="00333271">
        <w:rPr>
          <w:color w:val="000000" w:themeColor="text1"/>
          <w:sz w:val="22"/>
          <w:szCs w:val="22"/>
          <w:lang w:val="en-GB"/>
        </w:rPr>
        <w:t xml:space="preserve"> ANI sample 1, </w:t>
      </w:r>
      <w:r w:rsidR="001E4149" w:rsidRPr="001E4149">
        <w:rPr>
          <w:color w:val="000000" w:themeColor="text1"/>
          <w:sz w:val="22"/>
          <w:szCs w:val="22"/>
          <w:lang w:val="en-AU"/>
        </w:rPr>
        <w:t>99.88</w:t>
      </w:r>
      <w:r w:rsidR="00333271">
        <w:rPr>
          <w:color w:val="000000" w:themeColor="text1"/>
          <w:sz w:val="22"/>
          <w:szCs w:val="22"/>
          <w:lang w:val="en-GB"/>
        </w:rPr>
        <w:t>% ANI sample 2)</w:t>
      </w:r>
      <w:r w:rsidR="558640A0" w:rsidRPr="364C3350">
        <w:rPr>
          <w:color w:val="000000" w:themeColor="text1"/>
          <w:sz w:val="22"/>
          <w:szCs w:val="22"/>
          <w:lang w:val="en-GB"/>
        </w:rPr>
        <w:t xml:space="preserve">, but </w:t>
      </w:r>
      <w:r w:rsidR="00395A03">
        <w:rPr>
          <w:color w:val="000000" w:themeColor="text1"/>
          <w:sz w:val="22"/>
          <w:szCs w:val="22"/>
          <w:lang w:val="en-GB"/>
        </w:rPr>
        <w:t xml:space="preserve">the genomes </w:t>
      </w:r>
      <w:r w:rsidR="00333271">
        <w:rPr>
          <w:color w:val="000000" w:themeColor="text1"/>
          <w:sz w:val="22"/>
          <w:szCs w:val="22"/>
          <w:lang w:val="en-GB"/>
        </w:rPr>
        <w:t>differed between samples (</w:t>
      </w:r>
      <w:r w:rsidR="0011730E">
        <w:rPr>
          <w:color w:val="000000" w:themeColor="text1"/>
          <w:sz w:val="22"/>
          <w:szCs w:val="22"/>
          <w:lang w:val="en-GB"/>
        </w:rPr>
        <w:t>94.8</w:t>
      </w:r>
      <w:r w:rsidR="00333271">
        <w:rPr>
          <w:color w:val="000000" w:themeColor="text1"/>
          <w:sz w:val="22"/>
          <w:szCs w:val="22"/>
          <w:lang w:val="en-GB"/>
        </w:rPr>
        <w:t xml:space="preserve">% ANI between SAGs, </w:t>
      </w:r>
      <w:r w:rsidR="001E4149" w:rsidRPr="001E4149">
        <w:rPr>
          <w:color w:val="000000" w:themeColor="text1"/>
          <w:sz w:val="22"/>
          <w:szCs w:val="22"/>
          <w:lang w:val="en-AU"/>
        </w:rPr>
        <w:t>98.08</w:t>
      </w:r>
      <w:r w:rsidR="00333271">
        <w:rPr>
          <w:color w:val="000000" w:themeColor="text1"/>
          <w:sz w:val="22"/>
          <w:szCs w:val="22"/>
          <w:lang w:val="en-GB"/>
        </w:rPr>
        <w:t xml:space="preserve">% ANI between MAGs), suggesting that each faecal sample contained a distinct </w:t>
      </w:r>
      <w:r w:rsidR="00333271">
        <w:rPr>
          <w:i/>
          <w:iCs/>
          <w:color w:val="000000" w:themeColor="text1"/>
          <w:sz w:val="22"/>
          <w:szCs w:val="22"/>
          <w:lang w:val="en-GB"/>
        </w:rPr>
        <w:t xml:space="preserve">A. rectalis </w:t>
      </w:r>
      <w:r w:rsidR="00333271">
        <w:rPr>
          <w:color w:val="000000" w:themeColor="text1"/>
          <w:sz w:val="22"/>
          <w:szCs w:val="22"/>
          <w:lang w:val="en-GB"/>
        </w:rPr>
        <w:t>strain.</w:t>
      </w:r>
    </w:p>
    <w:p w14:paraId="7519925E" w14:textId="769F2E74" w:rsidR="000573DC" w:rsidRDefault="00395A03" w:rsidP="00907CB7">
      <w:pPr>
        <w:pStyle w:val="NormalWeb"/>
        <w:spacing w:before="0" w:beforeAutospacing="0" w:after="160" w:afterAutospacing="0"/>
        <w:jc w:val="both"/>
        <w:rPr>
          <w:color w:val="000000"/>
          <w:sz w:val="22"/>
          <w:szCs w:val="22"/>
        </w:rPr>
      </w:pPr>
      <w:r w:rsidRPr="00395A03">
        <w:rPr>
          <w:color w:val="000000"/>
          <w:sz w:val="22"/>
          <w:szCs w:val="22"/>
        </w:rPr>
        <w:t xml:space="preserve">To investigate if the two strains were unique to each sample, reads from the bulk metagenomes were aligned to each MAG (see details below). In the first metagenome, 99.4% of MAG 1-specific single nucleotide variants (SNVs) had &gt;0 coverage (median coverage 250), while only </w:t>
      </w:r>
      <w:r w:rsidR="00345D86">
        <w:rPr>
          <w:color w:val="000000"/>
          <w:sz w:val="22"/>
          <w:szCs w:val="22"/>
        </w:rPr>
        <w:t>1.7</w:t>
      </w:r>
      <w:r w:rsidRPr="00395A03">
        <w:rPr>
          <w:color w:val="000000"/>
          <w:sz w:val="22"/>
          <w:szCs w:val="22"/>
        </w:rPr>
        <w:t xml:space="preserve">% of MAG 2-specific SNVs had &gt;0 coverage. This shows that the strain of the second faecal sample (Strain 2) was either absent or present only at very small abundance in the first faecal sample. The converse analysis </w:t>
      </w:r>
      <w:r w:rsidR="00345D86" w:rsidRPr="00345D86">
        <w:rPr>
          <w:color w:val="000000"/>
          <w:sz w:val="22"/>
          <w:szCs w:val="22"/>
          <w:lang w:val="en-AU"/>
        </w:rPr>
        <w:t>(i.e. mapping reads from the second metagenome)</w:t>
      </w:r>
      <w:r w:rsidR="00345D86">
        <w:rPr>
          <w:color w:val="000000"/>
          <w:sz w:val="22"/>
          <w:szCs w:val="22"/>
          <w:lang w:val="en-AU"/>
        </w:rPr>
        <w:t xml:space="preserve"> </w:t>
      </w:r>
      <w:r w:rsidRPr="00395A03">
        <w:rPr>
          <w:color w:val="000000"/>
          <w:sz w:val="22"/>
          <w:szCs w:val="22"/>
        </w:rPr>
        <w:t xml:space="preserve">yielded </w:t>
      </w:r>
      <w:r w:rsidR="00345D86">
        <w:rPr>
          <w:color w:val="000000"/>
          <w:sz w:val="22"/>
          <w:szCs w:val="22"/>
        </w:rPr>
        <w:t>analogous</w:t>
      </w:r>
      <w:r w:rsidRPr="00395A03">
        <w:rPr>
          <w:color w:val="000000"/>
          <w:sz w:val="22"/>
          <w:szCs w:val="22"/>
        </w:rPr>
        <w:t xml:space="preserve"> results, showing that the strain found in the first faecal sample (Strain 1) was absent from the second faecal sample.</w:t>
      </w:r>
    </w:p>
    <w:p w14:paraId="5F533502" w14:textId="77777777" w:rsidR="00395A03" w:rsidRDefault="00395A03" w:rsidP="00907CB7">
      <w:pPr>
        <w:pStyle w:val="NormalWeb"/>
        <w:spacing w:before="0" w:beforeAutospacing="0" w:after="160" w:afterAutospacing="0"/>
        <w:jc w:val="both"/>
        <w:rPr>
          <w:i/>
          <w:iCs/>
          <w:color w:val="000000"/>
          <w:sz w:val="22"/>
          <w:szCs w:val="22"/>
        </w:rPr>
      </w:pPr>
    </w:p>
    <w:p w14:paraId="105000C7" w14:textId="6C89A262" w:rsidR="000573DC" w:rsidRDefault="000573DC" w:rsidP="00907CB7">
      <w:pPr>
        <w:pStyle w:val="NormalWeb"/>
        <w:spacing w:before="0" w:beforeAutospacing="0" w:after="160" w:afterAutospacing="0"/>
        <w:jc w:val="both"/>
        <w:rPr>
          <w:i/>
          <w:iCs/>
          <w:color w:val="000000"/>
          <w:sz w:val="22"/>
          <w:szCs w:val="22"/>
        </w:rPr>
      </w:pPr>
      <w:r>
        <w:rPr>
          <w:i/>
          <w:iCs/>
          <w:color w:val="000000"/>
          <w:sz w:val="22"/>
          <w:szCs w:val="22"/>
        </w:rPr>
        <w:t>Method</w:t>
      </w:r>
      <w:r w:rsidR="00395A03">
        <w:rPr>
          <w:i/>
          <w:iCs/>
          <w:color w:val="000000"/>
          <w:sz w:val="22"/>
          <w:szCs w:val="22"/>
        </w:rPr>
        <w:t>ological</w:t>
      </w:r>
      <w:r>
        <w:rPr>
          <w:i/>
          <w:iCs/>
          <w:color w:val="000000"/>
          <w:sz w:val="22"/>
          <w:szCs w:val="22"/>
        </w:rPr>
        <w:t xml:space="preserve"> details</w:t>
      </w:r>
    </w:p>
    <w:p w14:paraId="0C9B841B" w14:textId="010876DE" w:rsidR="00907CB7" w:rsidRDefault="00907CB7" w:rsidP="00907CB7">
      <w:pPr>
        <w:pStyle w:val="NormalWeb"/>
        <w:spacing w:before="0" w:beforeAutospacing="0" w:after="160" w:afterAutospacing="0"/>
        <w:jc w:val="both"/>
      </w:pPr>
      <w:r>
        <w:rPr>
          <w:color w:val="000000"/>
          <w:sz w:val="22"/>
          <w:szCs w:val="22"/>
        </w:rPr>
        <w:t>To find variants in the metagenomic reads, Lorikeet v0.8.2</w:t>
      </w:r>
      <w:r w:rsidR="007D26AE">
        <w:rPr>
          <w:color w:val="000000"/>
          <w:sz w:val="22"/>
          <w:szCs w:val="22"/>
        </w:rPr>
        <w:fldChar w:fldCharType="begin"/>
      </w:r>
      <w:r w:rsidR="00EF1A2E">
        <w:rPr>
          <w:color w:val="000000"/>
          <w:sz w:val="22"/>
          <w:szCs w:val="22"/>
        </w:rPr>
        <w:instrText xml:space="preserve"> ADDIN EN.CITE &lt;EndNote&gt;&lt;Cite&gt;&lt;Author&gt;Newell&lt;/Author&gt;&lt;Year&gt;2023&lt;/Year&gt;&lt;RecNum&gt;836&lt;/RecNum&gt;&lt;DisplayText&gt;&lt;style face="superscript"&gt;2&lt;/style&gt;&lt;/DisplayText&gt;&lt;record&gt;&lt;rec-number&gt;836&lt;/rec-number&gt;&lt;foreign-keys&gt;&lt;key app="EN" db-id="9v9zsax5fxed5aeptx6v0t90v95rs0dsefa9" timestamp="1732594448" guid="4da8553a-5178-4c77-b25d-867565a26a73"&gt;836&lt;/key&gt;&lt;/foreign-keys&gt;&lt;ref-type name="Journal Article"&gt;17&lt;/ref-type&gt;&lt;contributors&gt;&lt;authors&gt;&lt;author&gt;Newell, R. J. P., McMaster, E. S., Craig, P., Boden, M., Tyson, G. W., Woodcroft, B. J.&lt;/author&gt;&lt;/authors&gt;&lt;/contributors&gt;&lt;titles&gt;&lt;title&gt;Lorikeet: strain-resolved metagenome analysis using local reassembly (v0.8.2)&lt;/title&gt;&lt;secondary-title&gt;Zenodo&lt;/secondary-title&gt;&lt;/titles&gt;&lt;periodical&gt;&lt;full-title&gt;Zenodo&lt;/full-title&gt;&lt;/periodical&gt;&lt;dates&gt;&lt;year&gt;2023&lt;/year&gt;&lt;/dates&gt;&lt;urls&gt;&lt;/urls&gt;&lt;electronic-resource-num&gt;https://doi.org/10.5281/zenodo.10275469&lt;/electronic-resource-num&gt;&lt;/record&gt;&lt;/Cite&gt;&lt;/EndNote&gt;</w:instrText>
      </w:r>
      <w:r w:rsidR="007D26AE">
        <w:rPr>
          <w:color w:val="000000"/>
          <w:sz w:val="22"/>
          <w:szCs w:val="22"/>
        </w:rPr>
        <w:fldChar w:fldCharType="separate"/>
      </w:r>
      <w:r w:rsidR="007D26AE" w:rsidRPr="007D26AE">
        <w:rPr>
          <w:noProof/>
          <w:color w:val="000000"/>
          <w:sz w:val="22"/>
          <w:szCs w:val="22"/>
          <w:vertAlign w:val="superscript"/>
        </w:rPr>
        <w:t>2</w:t>
      </w:r>
      <w:r w:rsidR="007D26AE">
        <w:rPr>
          <w:color w:val="000000"/>
          <w:sz w:val="22"/>
          <w:szCs w:val="22"/>
        </w:rPr>
        <w:fldChar w:fldCharType="end"/>
      </w:r>
      <w:r>
        <w:rPr>
          <w:color w:val="000000"/>
          <w:sz w:val="22"/>
          <w:szCs w:val="22"/>
        </w:rPr>
        <w:t xml:space="preserve"> 'call' was used to call variants against the Strain 1 genome</w:t>
      </w:r>
      <w:r w:rsidR="00395A03">
        <w:rPr>
          <w:color w:val="000000"/>
          <w:sz w:val="22"/>
          <w:szCs w:val="22"/>
        </w:rPr>
        <w:t xml:space="preserve"> as a reference</w:t>
      </w:r>
      <w:r>
        <w:rPr>
          <w:color w:val="000000"/>
          <w:sz w:val="22"/>
          <w:szCs w:val="22"/>
        </w:rPr>
        <w:t xml:space="preserve">. </w:t>
      </w:r>
      <w:r w:rsidR="00560AD1">
        <w:rPr>
          <w:color w:val="000000"/>
          <w:sz w:val="22"/>
          <w:szCs w:val="22"/>
        </w:rPr>
        <w:t>To account for genome incompleteness in the MAGs, o</w:t>
      </w:r>
      <w:r>
        <w:rPr>
          <w:color w:val="000000"/>
          <w:sz w:val="22"/>
          <w:szCs w:val="22"/>
        </w:rPr>
        <w:t>nly variant positions in regions that aligned between the two genomes were considered. Specifically,</w:t>
      </w:r>
      <w:r w:rsidR="00395A03">
        <w:rPr>
          <w:color w:val="000000"/>
          <w:sz w:val="22"/>
          <w:szCs w:val="22"/>
        </w:rPr>
        <w:t xml:space="preserve"> only</w:t>
      </w:r>
      <w:r>
        <w:rPr>
          <w:color w:val="000000"/>
          <w:sz w:val="22"/>
          <w:szCs w:val="22"/>
        </w:rPr>
        <w:t xml:space="preserve"> the coverage of those variants which could be </w:t>
      </w:r>
      <w:r w:rsidR="00345D86">
        <w:rPr>
          <w:color w:val="000000"/>
          <w:sz w:val="22"/>
          <w:szCs w:val="22"/>
        </w:rPr>
        <w:t>converted</w:t>
      </w:r>
      <w:r>
        <w:rPr>
          <w:color w:val="000000"/>
          <w:sz w:val="22"/>
          <w:szCs w:val="22"/>
        </w:rPr>
        <w:t xml:space="preserve"> between the MAGs using transanno v0.4.5 (</w:t>
      </w:r>
      <w:r w:rsidR="00D247B6" w:rsidRPr="00D247B6">
        <w:rPr>
          <w:color w:val="000000"/>
          <w:sz w:val="22"/>
          <w:szCs w:val="22"/>
        </w:rPr>
        <w:t>https://github.com/informationsea/transanno</w:t>
      </w:r>
      <w:r>
        <w:rPr>
          <w:color w:val="000000"/>
          <w:sz w:val="22"/>
          <w:szCs w:val="22"/>
        </w:rPr>
        <w:t>) ‘liftover’ from the Strain 1 genome to the Strain 2 genome</w:t>
      </w:r>
      <w:r w:rsidR="00395A03">
        <w:rPr>
          <w:color w:val="000000"/>
          <w:sz w:val="22"/>
          <w:szCs w:val="22"/>
        </w:rPr>
        <w:t xml:space="preserve"> were considered</w:t>
      </w:r>
      <w:r>
        <w:rPr>
          <w:color w:val="000000"/>
          <w:sz w:val="22"/>
          <w:szCs w:val="22"/>
        </w:rPr>
        <w:t>. To generate the chain file required for ‘liftover’</w:t>
      </w:r>
      <w:r w:rsidR="00CB5571">
        <w:rPr>
          <w:color w:val="000000"/>
          <w:sz w:val="22"/>
          <w:szCs w:val="22"/>
        </w:rPr>
        <w:fldChar w:fldCharType="begin"/>
      </w:r>
      <w:r w:rsidR="00EF1A2E">
        <w:rPr>
          <w:color w:val="000000"/>
          <w:sz w:val="22"/>
          <w:szCs w:val="22"/>
        </w:rPr>
        <w:instrText xml:space="preserve"> ADDIN EN.CITE &lt;EndNote&gt;&lt;Cite&gt;&lt;Author&gt;Genovese&lt;/Author&gt;&lt;Year&gt;2024&lt;/Year&gt;&lt;RecNum&gt;837&lt;/RecNum&gt;&lt;DisplayText&gt;&lt;style face="superscript"&gt;3&lt;/style&gt;&lt;/DisplayText&gt;&lt;record&gt;&lt;rec-number&gt;837&lt;/rec-number&gt;&lt;foreign-keys&gt;&lt;key app="EN" db-id="9v9zsax5fxed5aeptx6v0t90v95rs0dsefa9" timestamp="1732595113" guid="7850b247-4fd6-4261-89c4-7351c9d42cf9"&gt;837&lt;/key&gt;&lt;/foreign-keys&gt;&lt;ref-type name="Journal Article"&gt;17&lt;/ref-type&gt;&lt;contributors&gt;&lt;authors&gt;&lt;author&gt;Genovese, Giulio&lt;/author&gt;&lt;author&gt;Rockweiler, Nicole B&lt;/author&gt;&lt;author&gt;Gorman, Bryan R&lt;/author&gt;&lt;author&gt;Bigdeli, Tim B&lt;/author&gt;&lt;author&gt;Pato, Michelle T&lt;/author&gt;&lt;author&gt;Pato, Carlos N&lt;/author&gt;&lt;author&gt;Ichihara, Kiku&lt;/author&gt;&lt;author&gt;McCarroll, Steven A&lt;/author&gt;&lt;/authors&gt;&lt;/contributors&gt;&lt;titles&gt;&lt;title&gt;BCFtools/liftover: an accurate and comprehensive tool to convert genetic variants across genome assemblies&lt;/title&gt;&lt;secondary-title&gt;Bioinform&lt;/secondary-title&gt;&lt;/titles&gt;&lt;periodical&gt;&lt;full-title&gt;Bioinform&lt;/full-title&gt;&lt;/periodical&gt;&lt;volume&gt;40&lt;/volume&gt;&lt;number&gt;2&lt;/number&gt;&lt;dates&gt;&lt;year&gt;2024&lt;/year&gt;&lt;/dates&gt;&lt;isbn&gt;1367-4811&lt;/isbn&gt;&lt;urls&gt;&lt;related-urls&gt;&lt;url&gt;https://doi.org/10.1093/bioinformatics/btae038&lt;/url&gt;&lt;/related-urls&gt;&lt;/urls&gt;&lt;custom1&gt;btae038&lt;/custom1&gt;&lt;electronic-resource-num&gt;10.1093/bioinformatics/btae038&lt;/electronic-resource-num&gt;&lt;access-date&gt;11/26/2024&lt;/access-date&gt;&lt;/record&gt;&lt;/Cite&gt;&lt;/EndNote&gt;</w:instrText>
      </w:r>
      <w:r w:rsidR="00CB5571">
        <w:rPr>
          <w:color w:val="000000"/>
          <w:sz w:val="22"/>
          <w:szCs w:val="22"/>
        </w:rPr>
        <w:fldChar w:fldCharType="separate"/>
      </w:r>
      <w:r w:rsidR="00CB5571" w:rsidRPr="00CB5571">
        <w:rPr>
          <w:noProof/>
          <w:color w:val="000000"/>
          <w:sz w:val="22"/>
          <w:szCs w:val="22"/>
          <w:vertAlign w:val="superscript"/>
        </w:rPr>
        <w:t>3</w:t>
      </w:r>
      <w:r w:rsidR="00CB5571">
        <w:rPr>
          <w:color w:val="000000"/>
          <w:sz w:val="22"/>
          <w:szCs w:val="22"/>
        </w:rPr>
        <w:fldChar w:fldCharType="end"/>
      </w:r>
      <w:r>
        <w:rPr>
          <w:color w:val="000000"/>
          <w:sz w:val="22"/>
          <w:szCs w:val="22"/>
        </w:rPr>
        <w:t xml:space="preserve">, minimap2 </w:t>
      </w:r>
      <w:r w:rsidR="00AA29C8">
        <w:rPr>
          <w:color w:val="000000"/>
          <w:sz w:val="22"/>
          <w:szCs w:val="22"/>
        </w:rPr>
        <w:t>v</w:t>
      </w:r>
      <w:r>
        <w:rPr>
          <w:color w:val="000000"/>
          <w:sz w:val="22"/>
          <w:szCs w:val="22"/>
        </w:rPr>
        <w:t>2.28-r1209</w:t>
      </w:r>
      <w:r w:rsidR="00C07256">
        <w:rPr>
          <w:color w:val="000000"/>
          <w:sz w:val="22"/>
          <w:szCs w:val="22"/>
        </w:rPr>
        <w:fldChar w:fldCharType="begin"/>
      </w:r>
      <w:r w:rsidR="00EF1A2E">
        <w:rPr>
          <w:color w:val="000000"/>
          <w:sz w:val="22"/>
          <w:szCs w:val="22"/>
        </w:rPr>
        <w:instrText xml:space="preserve"> ADDIN EN.CITE &lt;EndNote&gt;&lt;Cite&gt;&lt;Author&gt;Li&lt;/Author&gt;&lt;Year&gt;2018&lt;/Year&gt;&lt;RecNum&gt;838&lt;/RecNum&gt;&lt;DisplayText&gt;&lt;style face="superscript"&gt;4&lt;/style&gt;&lt;/DisplayText&gt;&lt;record&gt;&lt;rec-number&gt;838&lt;/rec-number&gt;&lt;foreign-keys&gt;&lt;key app="EN" db-id="9v9zsax5fxed5aeptx6v0t90v95rs0dsefa9" timestamp="1732595224" guid="330db064-c69c-4a12-8c25-2ed611328fb0"&gt;838&lt;/key&gt;&lt;/foreign-keys&gt;&lt;ref-type name="Journal Article"&gt;17&lt;/ref-type&gt;&lt;contributors&gt;&lt;authors&gt;&lt;author&gt;Li, Heng&lt;/author&gt;&lt;/authors&gt;&lt;/contributors&gt;&lt;titles&gt;&lt;title&gt;Minimap2: pairwise alignment for nucleotide sequences&lt;/title&gt;&lt;secondary-title&gt;Bioinform&lt;/secondary-title&gt;&lt;/titles&gt;&lt;periodical&gt;&lt;full-title&gt;Bioinform&lt;/full-title&gt;&lt;/periodical&gt;&lt;pages&gt;3094-3100&lt;/pages&gt;&lt;volume&gt;34&lt;/volume&gt;&lt;number&gt;18&lt;/number&gt;&lt;dates&gt;&lt;year&gt;2018&lt;/year&gt;&lt;/dates&gt;&lt;isbn&gt;1367-4803&lt;/isbn&gt;&lt;urls&gt;&lt;related-urls&gt;&lt;url&gt;https://doi.org/10.1093/bioinformatics/bty191&lt;/url&gt;&lt;/related-urls&gt;&lt;/urls&gt;&lt;electronic-resource-num&gt;10.1093/bioinformatics/bty191&lt;/electronic-resource-num&gt;&lt;access-date&gt;11/26/2024&lt;/access-date&gt;&lt;/record&gt;&lt;/Cite&gt;&lt;/EndNote&gt;</w:instrText>
      </w:r>
      <w:r w:rsidR="00C07256">
        <w:rPr>
          <w:color w:val="000000"/>
          <w:sz w:val="22"/>
          <w:szCs w:val="22"/>
        </w:rPr>
        <w:fldChar w:fldCharType="separate"/>
      </w:r>
      <w:r w:rsidR="00C07256" w:rsidRPr="00C07256">
        <w:rPr>
          <w:noProof/>
          <w:color w:val="000000"/>
          <w:sz w:val="22"/>
          <w:szCs w:val="22"/>
          <w:vertAlign w:val="superscript"/>
        </w:rPr>
        <w:t>4</w:t>
      </w:r>
      <w:r w:rsidR="00C07256">
        <w:rPr>
          <w:color w:val="000000"/>
          <w:sz w:val="22"/>
          <w:szCs w:val="22"/>
        </w:rPr>
        <w:fldChar w:fldCharType="end"/>
      </w:r>
      <w:r w:rsidR="00CB5571">
        <w:rPr>
          <w:color w:val="000000"/>
          <w:sz w:val="22"/>
          <w:szCs w:val="22"/>
        </w:rPr>
        <w:t xml:space="preserve"> </w:t>
      </w:r>
      <w:r>
        <w:rPr>
          <w:color w:val="000000"/>
          <w:sz w:val="22"/>
          <w:szCs w:val="22"/>
        </w:rPr>
        <w:t xml:space="preserve">‘-cx asm5 --cs’ was used to align the genome, with the resulting PAF file </w:t>
      </w:r>
      <w:r w:rsidR="00395A03">
        <w:rPr>
          <w:color w:val="000000"/>
          <w:sz w:val="22"/>
          <w:szCs w:val="22"/>
        </w:rPr>
        <w:t xml:space="preserve">converted </w:t>
      </w:r>
      <w:r>
        <w:rPr>
          <w:color w:val="000000"/>
          <w:sz w:val="22"/>
          <w:szCs w:val="22"/>
        </w:rPr>
        <w:t>to chain format using transanno ‘minimap2chain’. </w:t>
      </w:r>
    </w:p>
    <w:p w14:paraId="20348697" w14:textId="71AC3932" w:rsidR="0065648D" w:rsidRDefault="00907CB7" w:rsidP="00345D86">
      <w:pPr>
        <w:jc w:val="both"/>
      </w:pPr>
      <w:r>
        <w:rPr>
          <w:color w:val="000000"/>
          <w:sz w:val="22"/>
          <w:szCs w:val="22"/>
        </w:rPr>
        <w:t xml:space="preserve">After applying bcftools </w:t>
      </w:r>
      <w:r w:rsidR="00AA29C8">
        <w:rPr>
          <w:color w:val="000000"/>
          <w:sz w:val="22"/>
          <w:szCs w:val="22"/>
        </w:rPr>
        <w:t>v</w:t>
      </w:r>
      <w:r>
        <w:rPr>
          <w:color w:val="000000"/>
          <w:sz w:val="22"/>
          <w:szCs w:val="22"/>
        </w:rPr>
        <w:t>1.20</w:t>
      </w:r>
      <w:r w:rsidR="00864398">
        <w:rPr>
          <w:color w:val="000000"/>
          <w:sz w:val="22"/>
          <w:szCs w:val="22"/>
        </w:rPr>
        <w:fldChar w:fldCharType="begin"/>
      </w:r>
      <w:r w:rsidR="00864398">
        <w:rPr>
          <w:color w:val="000000"/>
          <w:sz w:val="22"/>
          <w:szCs w:val="22"/>
        </w:rPr>
        <w:instrText xml:space="preserve"> ADDIN EN.CITE &lt;EndNote&gt;&lt;Cite&gt;&lt;Author&gt;Danecek&lt;/Author&gt;&lt;Year&gt;2021&lt;/Year&gt;&lt;RecNum&gt;809&lt;/RecNum&gt;&lt;DisplayText&gt;&lt;style face="superscript"&gt;5&lt;/style&gt;&lt;/DisplayText&gt;&lt;record&gt;&lt;rec-number&gt;809&lt;/rec-number&gt;&lt;foreign-keys&gt;&lt;key app="EN" db-id="9v9zsax5fxed5aeptx6v0t90v95rs0dsefa9" timestamp="1726022394" guid="0ba00c42-b0c0-4dbd-ba05-34540b35f8ec"&gt;809&lt;/key&gt;&lt;/foreign-keys&gt;&lt;ref-type name="Journal Article"&gt;17&lt;/ref-type&gt;&lt;contributors&gt;&lt;authors&gt;&lt;author&gt;Danecek, Petr&lt;/author&gt;&lt;author&gt;Bonfield, James K&lt;/author&gt;&lt;author&gt;Liddle, Jennifer&lt;/author&gt;&lt;author&gt;Marshall, John&lt;/author&gt;&lt;author&gt;Ohan, Valeriu&lt;/author&gt;&lt;author&gt;Pollard, Martin O&lt;/author&gt;&lt;author&gt;Whitwham, Andrew&lt;/author&gt;&lt;author&gt;Keane, Thomas&lt;/author&gt;&lt;author&gt;McCarthy, Shane A&lt;/author&gt;&lt;author&gt;Davies, Robert M&lt;/author&gt;&lt;/authors&gt;&lt;/contributors&gt;&lt;titles&gt;&lt;title&gt;Twelve years of SAMtools and BCFtools&lt;/title&gt;&lt;secondary-title&gt;Gigascience&lt;/secondary-title&gt;&lt;/titles&gt;&lt;periodical&gt;&lt;full-title&gt;Gigascience&lt;/full-title&gt;&lt;/periodical&gt;&lt;pages&gt;giab008&lt;/pages&gt;&lt;volume&gt;10&lt;/volume&gt;&lt;number&gt;2&lt;/number&gt;&lt;dates&gt;&lt;year&gt;2021&lt;/year&gt;&lt;/dates&gt;&lt;isbn&gt;2047-217X&lt;/isbn&gt;&lt;urls&gt;&lt;/urls&gt;&lt;/record&gt;&lt;/Cite&gt;&lt;/EndNote&gt;</w:instrText>
      </w:r>
      <w:r w:rsidR="00864398">
        <w:rPr>
          <w:color w:val="000000"/>
          <w:sz w:val="22"/>
          <w:szCs w:val="22"/>
        </w:rPr>
        <w:fldChar w:fldCharType="separate"/>
      </w:r>
      <w:r w:rsidR="00864398" w:rsidRPr="00864398">
        <w:rPr>
          <w:noProof/>
          <w:color w:val="000000"/>
          <w:sz w:val="22"/>
          <w:szCs w:val="22"/>
          <w:vertAlign w:val="superscript"/>
        </w:rPr>
        <w:t>5</w:t>
      </w:r>
      <w:r w:rsidR="00864398">
        <w:rPr>
          <w:color w:val="000000"/>
          <w:sz w:val="22"/>
          <w:szCs w:val="22"/>
        </w:rPr>
        <w:fldChar w:fldCharType="end"/>
      </w:r>
      <w:r w:rsidR="00401767">
        <w:rPr>
          <w:color w:val="000000"/>
          <w:sz w:val="22"/>
          <w:szCs w:val="22"/>
        </w:rPr>
        <w:t xml:space="preserve"> </w:t>
      </w:r>
      <w:r>
        <w:rPr>
          <w:color w:val="000000"/>
          <w:sz w:val="22"/>
          <w:szCs w:val="22"/>
        </w:rPr>
        <w:t xml:space="preserve">‘norm -m +any’ and ‘annotate -x FORMAT/PL’ to the </w:t>
      </w:r>
      <w:r w:rsidR="00401767">
        <w:rPr>
          <w:color w:val="000000"/>
          <w:sz w:val="22"/>
          <w:szCs w:val="22"/>
        </w:rPr>
        <w:t>variant call format (</w:t>
      </w:r>
      <w:r>
        <w:rPr>
          <w:color w:val="000000"/>
          <w:sz w:val="22"/>
          <w:szCs w:val="22"/>
        </w:rPr>
        <w:t>VCF</w:t>
      </w:r>
      <w:r w:rsidR="00401767">
        <w:rPr>
          <w:color w:val="000000"/>
          <w:sz w:val="22"/>
          <w:szCs w:val="22"/>
        </w:rPr>
        <w:t>)</w:t>
      </w:r>
      <w:r>
        <w:rPr>
          <w:color w:val="000000"/>
          <w:sz w:val="22"/>
          <w:szCs w:val="22"/>
        </w:rPr>
        <w:t xml:space="preserve"> file</w:t>
      </w:r>
      <w:r w:rsidR="00EF1A2E">
        <w:rPr>
          <w:color w:val="000000"/>
          <w:sz w:val="22"/>
          <w:szCs w:val="22"/>
        </w:rPr>
        <w:fldChar w:fldCharType="begin"/>
      </w:r>
      <w:r w:rsidR="00864398">
        <w:rPr>
          <w:color w:val="000000"/>
          <w:sz w:val="22"/>
          <w:szCs w:val="22"/>
        </w:rPr>
        <w:instrText xml:space="preserve"> ADDIN EN.CITE &lt;EndNote&gt;&lt;Cite&gt;&lt;Author&gt;Danecek&lt;/Author&gt;&lt;Year&gt;2011&lt;/Year&gt;&lt;RecNum&gt;839&lt;/RecNum&gt;&lt;DisplayText&gt;&lt;style face="superscript"&gt;6&lt;/style&gt;&lt;/DisplayText&gt;&lt;record&gt;&lt;rec-number&gt;839&lt;/rec-number&gt;&lt;foreign-keys&gt;&lt;key app="EN" db-id="9v9zsax5fxed5aeptx6v0t90v95rs0dsefa9" timestamp="1732595283"&gt;839&lt;/key&gt;&lt;/foreign-keys&gt;&lt;ref-type name="Journal Article"&gt;17&lt;/ref-type&gt;&lt;contributors&gt;&lt;authors&gt;&lt;author&gt;Danecek, Petr&lt;/author&gt;&lt;author&gt;Auton, Adam&lt;/author&gt;&lt;author&gt;Abecasis, Goncalo&lt;/author&gt;&lt;author&gt;Albers, Cornelis A.&lt;/author&gt;&lt;author&gt;Banks, Eric&lt;/author&gt;&lt;author&gt;DePristo, Mark A.&lt;/author&gt;&lt;author&gt;Handsaker, Robert E.&lt;/author&gt;&lt;author&gt;Lunter, Gerton&lt;/author&gt;&lt;author&gt;Marth, Gabor T.&lt;/author&gt;&lt;author&gt;Sherry, Stephen T.&lt;/author&gt;&lt;author&gt;McVean, Gilean&lt;/author&gt;&lt;author&gt;Durbin, Richard&lt;/author&gt;&lt;author&gt;Genomes Project Analysis Group&lt;/author&gt;&lt;/authors&gt;&lt;/contributors&gt;&lt;titles&gt;&lt;title&gt;The variant call format and VCFtools&lt;/title&gt;&lt;secondary-title&gt;Bioinform&lt;/secondary-title&gt;&lt;/titles&gt;&lt;periodical&gt;&lt;full-title&gt;Bioinform&lt;/full-title&gt;&lt;/periodical&gt;&lt;pages&gt;2156-2158&lt;/pages&gt;&lt;volume&gt;27&lt;/volume&gt;&lt;number&gt;15&lt;/number&gt;&lt;dates&gt;&lt;year&gt;2011&lt;/year&gt;&lt;/dates&gt;&lt;isbn&gt;1367-4803&lt;/isbn&gt;&lt;urls&gt;&lt;related-urls&gt;&lt;url&gt;https://doi.org/10.1093/bioinformatics/btr330&lt;/url&gt;&lt;/related-urls&gt;&lt;/urls&gt;&lt;electronic-resource-num&gt;10.1093/bioinformatics/btr330&lt;/electronic-resource-num&gt;&lt;access-date&gt;11/26/2024&lt;/access-date&gt;&lt;/record&gt;&lt;/Cite&gt;&lt;/EndNote&gt;</w:instrText>
      </w:r>
      <w:r w:rsidR="00EF1A2E">
        <w:rPr>
          <w:color w:val="000000"/>
          <w:sz w:val="22"/>
          <w:szCs w:val="22"/>
        </w:rPr>
        <w:fldChar w:fldCharType="separate"/>
      </w:r>
      <w:r w:rsidR="00864398" w:rsidRPr="00864398">
        <w:rPr>
          <w:noProof/>
          <w:color w:val="000000"/>
          <w:sz w:val="22"/>
          <w:szCs w:val="22"/>
          <w:vertAlign w:val="superscript"/>
        </w:rPr>
        <w:t>6</w:t>
      </w:r>
      <w:r w:rsidR="00EF1A2E">
        <w:rPr>
          <w:color w:val="000000"/>
          <w:sz w:val="22"/>
          <w:szCs w:val="22"/>
        </w:rPr>
        <w:fldChar w:fldCharType="end"/>
      </w:r>
      <w:r>
        <w:rPr>
          <w:color w:val="000000"/>
          <w:sz w:val="22"/>
          <w:szCs w:val="22"/>
        </w:rPr>
        <w:t xml:space="preserve"> produced by Lorikeet, transanno ‘liftover’ was applied. Of the 36,854 variants, </w:t>
      </w:r>
      <w:r w:rsidR="00395A03" w:rsidRPr="00395A03">
        <w:rPr>
          <w:color w:val="000000"/>
          <w:sz w:val="22"/>
          <w:szCs w:val="22"/>
        </w:rPr>
        <w:t xml:space="preserve">27,807 biallelic SNVs </w:t>
      </w:r>
      <w:r>
        <w:rPr>
          <w:color w:val="000000"/>
          <w:sz w:val="22"/>
          <w:szCs w:val="22"/>
        </w:rPr>
        <w:t>were lifted over</w:t>
      </w:r>
      <w:r w:rsidR="00872340">
        <w:rPr>
          <w:color w:val="000000"/>
          <w:sz w:val="22"/>
          <w:szCs w:val="22"/>
        </w:rPr>
        <w:t xml:space="preserve"> from the genome of Strain 2 to the genome of Strain 1</w:t>
      </w:r>
      <w:r>
        <w:rPr>
          <w:color w:val="000000"/>
          <w:sz w:val="22"/>
          <w:szCs w:val="22"/>
        </w:rPr>
        <w:t xml:space="preserve">. </w:t>
      </w:r>
    </w:p>
    <w:p w14:paraId="4A12844F" w14:textId="77777777" w:rsidR="0065648D" w:rsidRDefault="0065648D" w:rsidP="0065648D">
      <w:pPr>
        <w:spacing w:line="360" w:lineRule="auto"/>
        <w:jc w:val="both"/>
        <w:rPr>
          <w:sz w:val="20"/>
          <w:szCs w:val="20"/>
        </w:rPr>
      </w:pPr>
      <w:r>
        <w:rPr>
          <w:noProof/>
          <w:sz w:val="20"/>
          <w:szCs w:val="20"/>
        </w:rPr>
        <w:lastRenderedPageBreak/>
        <w:drawing>
          <wp:inline distT="0" distB="0" distL="0" distR="0" wp14:anchorId="0FF84EB6" wp14:editId="43F04EEB">
            <wp:extent cx="5722620" cy="3223260"/>
            <wp:effectExtent l="0" t="0" r="0" b="0"/>
            <wp:docPr id="6434344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2620" cy="3223260"/>
                    </a:xfrm>
                    <a:prstGeom prst="rect">
                      <a:avLst/>
                    </a:prstGeom>
                    <a:noFill/>
                    <a:ln>
                      <a:noFill/>
                    </a:ln>
                  </pic:spPr>
                </pic:pic>
              </a:graphicData>
            </a:graphic>
          </wp:inline>
        </w:drawing>
      </w:r>
    </w:p>
    <w:p w14:paraId="436A98A0" w14:textId="77777777" w:rsidR="0065648D" w:rsidRDefault="0065648D" w:rsidP="0065648D">
      <w:pPr>
        <w:jc w:val="both"/>
        <w:rPr>
          <w:sz w:val="22"/>
          <w:szCs w:val="22"/>
        </w:rPr>
      </w:pPr>
      <w:r w:rsidRPr="0065648D">
        <w:rPr>
          <w:b/>
          <w:bCs/>
          <w:sz w:val="22"/>
          <w:szCs w:val="22"/>
        </w:rPr>
        <w:t xml:space="preserve">Figure S1. </w:t>
      </w:r>
      <w:r w:rsidRPr="0065648D">
        <w:rPr>
          <w:sz w:val="22"/>
          <w:szCs w:val="22"/>
        </w:rPr>
        <w:t xml:space="preserve">Representative GenomeFISH micrographs of </w:t>
      </w:r>
      <w:r w:rsidRPr="0065648D">
        <w:rPr>
          <w:i/>
          <w:iCs/>
          <w:sz w:val="22"/>
          <w:szCs w:val="22"/>
        </w:rPr>
        <w:t xml:space="preserve">E. coli </w:t>
      </w:r>
      <w:r w:rsidRPr="0065648D">
        <w:rPr>
          <w:sz w:val="22"/>
          <w:szCs w:val="22"/>
        </w:rPr>
        <w:t xml:space="preserve">strain EDL933 hybridised with GenomeFISH probes generated from </w:t>
      </w:r>
      <w:r w:rsidRPr="0065648D">
        <w:rPr>
          <w:i/>
          <w:iCs/>
          <w:sz w:val="22"/>
          <w:szCs w:val="22"/>
        </w:rPr>
        <w:t>E. coli</w:t>
      </w:r>
      <w:r w:rsidRPr="0065648D">
        <w:rPr>
          <w:sz w:val="22"/>
          <w:szCs w:val="22"/>
        </w:rPr>
        <w:t xml:space="preserve"> strain EDL933 (left) or calf thymus DNA (right). GenomeFISH signal appears red and DAPI signal grey.  Scale bars are 5 µm.</w:t>
      </w:r>
    </w:p>
    <w:p w14:paraId="29919556" w14:textId="77777777" w:rsidR="0065648D" w:rsidRPr="0065648D" w:rsidRDefault="0065648D" w:rsidP="0065648D">
      <w:pPr>
        <w:jc w:val="both"/>
        <w:rPr>
          <w:sz w:val="22"/>
          <w:szCs w:val="22"/>
        </w:rPr>
      </w:pPr>
    </w:p>
    <w:p w14:paraId="6B6E085D" w14:textId="77777777" w:rsidR="0065648D" w:rsidRDefault="0065648D" w:rsidP="0065648D">
      <w:pPr>
        <w:spacing w:line="360" w:lineRule="auto"/>
        <w:jc w:val="both"/>
        <w:rPr>
          <w:sz w:val="20"/>
          <w:szCs w:val="20"/>
        </w:rPr>
      </w:pPr>
    </w:p>
    <w:p w14:paraId="7743DA9B" w14:textId="6FDC2988" w:rsidR="0065648D" w:rsidRDefault="00121DF9" w:rsidP="0065648D">
      <w:pPr>
        <w:spacing w:line="360" w:lineRule="auto"/>
        <w:jc w:val="both"/>
        <w:rPr>
          <w:sz w:val="20"/>
          <w:szCs w:val="20"/>
        </w:rPr>
      </w:pPr>
      <w:r>
        <w:rPr>
          <w:noProof/>
          <w:sz w:val="20"/>
          <w:szCs w:val="20"/>
        </w:rPr>
        <w:drawing>
          <wp:inline distT="0" distB="0" distL="0" distR="0" wp14:anchorId="60642941" wp14:editId="6C32361F">
            <wp:extent cx="5721985" cy="2202815"/>
            <wp:effectExtent l="0" t="0" r="0" b="6985"/>
            <wp:docPr id="1966685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985" cy="2202815"/>
                    </a:xfrm>
                    <a:prstGeom prst="rect">
                      <a:avLst/>
                    </a:prstGeom>
                    <a:noFill/>
                    <a:ln>
                      <a:noFill/>
                    </a:ln>
                  </pic:spPr>
                </pic:pic>
              </a:graphicData>
            </a:graphic>
          </wp:inline>
        </w:drawing>
      </w:r>
    </w:p>
    <w:p w14:paraId="01267236" w14:textId="512C0066" w:rsidR="0065648D" w:rsidRPr="0065648D" w:rsidRDefault="0065648D" w:rsidP="0065648D">
      <w:pPr>
        <w:jc w:val="both"/>
        <w:rPr>
          <w:sz w:val="22"/>
          <w:szCs w:val="22"/>
        </w:rPr>
      </w:pPr>
      <w:r w:rsidRPr="0065648D">
        <w:rPr>
          <w:b/>
          <w:bCs/>
          <w:sz w:val="22"/>
          <w:szCs w:val="22"/>
        </w:rPr>
        <w:t xml:space="preserve">Figure S2. </w:t>
      </w:r>
      <w:r w:rsidRPr="0065648D">
        <w:rPr>
          <w:sz w:val="22"/>
          <w:szCs w:val="22"/>
        </w:rPr>
        <w:t xml:space="preserve">Representative GenomeFISH micrographs of a bioreactor community hybridised with GenomeFISH probes generated from </w:t>
      </w:r>
      <w:r w:rsidR="00121DF9" w:rsidRPr="0065648D">
        <w:rPr>
          <w:sz w:val="22"/>
          <w:szCs w:val="22"/>
        </w:rPr>
        <w:t>‘</w:t>
      </w:r>
      <w:r w:rsidR="00121DF9" w:rsidRPr="0065648D">
        <w:rPr>
          <w:i/>
          <w:iCs/>
          <w:sz w:val="22"/>
          <w:szCs w:val="22"/>
        </w:rPr>
        <w:t>Ca.</w:t>
      </w:r>
      <w:r w:rsidR="00121DF9" w:rsidRPr="0065648D">
        <w:rPr>
          <w:sz w:val="22"/>
          <w:szCs w:val="22"/>
        </w:rPr>
        <w:t xml:space="preserve"> Kuenenia stuttgartiensis’ (49% complete SAG, </w:t>
      </w:r>
      <w:r w:rsidR="00121DF9">
        <w:rPr>
          <w:sz w:val="22"/>
          <w:szCs w:val="22"/>
        </w:rPr>
        <w:t>left</w:t>
      </w:r>
      <w:r w:rsidR="00121DF9" w:rsidRPr="0065648D">
        <w:rPr>
          <w:sz w:val="22"/>
          <w:szCs w:val="22"/>
        </w:rPr>
        <w:t>)</w:t>
      </w:r>
      <w:r w:rsidR="00121DF9">
        <w:rPr>
          <w:sz w:val="22"/>
          <w:szCs w:val="22"/>
        </w:rPr>
        <w:t xml:space="preserve">, </w:t>
      </w:r>
      <w:r w:rsidR="00121DF9" w:rsidRPr="0065648D">
        <w:rPr>
          <w:sz w:val="22"/>
          <w:szCs w:val="22"/>
        </w:rPr>
        <w:t>‘</w:t>
      </w:r>
      <w:r w:rsidR="00121DF9" w:rsidRPr="0065648D">
        <w:rPr>
          <w:i/>
          <w:iCs/>
          <w:sz w:val="22"/>
          <w:szCs w:val="22"/>
        </w:rPr>
        <w:t>Ca.</w:t>
      </w:r>
      <w:r w:rsidR="00121DF9" w:rsidRPr="0065648D">
        <w:rPr>
          <w:sz w:val="22"/>
          <w:szCs w:val="22"/>
        </w:rPr>
        <w:t xml:space="preserve"> Kuenenia stuttgartiensis’ (12% complete SAG, middle)</w:t>
      </w:r>
      <w:r w:rsidR="00121DF9">
        <w:rPr>
          <w:sz w:val="22"/>
          <w:szCs w:val="22"/>
        </w:rPr>
        <w:t xml:space="preserve">, and </w:t>
      </w:r>
      <w:r w:rsidRPr="0065648D">
        <w:rPr>
          <w:sz w:val="22"/>
          <w:szCs w:val="22"/>
        </w:rPr>
        <w:t>calf thymus DNA (</w:t>
      </w:r>
      <w:r w:rsidR="00121DF9">
        <w:rPr>
          <w:sz w:val="22"/>
          <w:szCs w:val="22"/>
        </w:rPr>
        <w:t>right</w:t>
      </w:r>
      <w:r w:rsidRPr="0065648D">
        <w:rPr>
          <w:sz w:val="22"/>
          <w:szCs w:val="22"/>
        </w:rPr>
        <w:t>). GenomeFISH signal appears red and DAPI signal grey. Scale bars are 5 µm.</w:t>
      </w:r>
    </w:p>
    <w:p w14:paraId="3AF82582" w14:textId="77777777" w:rsidR="0065648D" w:rsidRDefault="0065648D" w:rsidP="0065648D">
      <w:pPr>
        <w:spacing w:line="360" w:lineRule="auto"/>
        <w:jc w:val="both"/>
        <w:rPr>
          <w:sz w:val="20"/>
          <w:szCs w:val="20"/>
        </w:rPr>
      </w:pPr>
    </w:p>
    <w:p w14:paraId="5CC3C64A" w14:textId="77777777" w:rsidR="0065648D" w:rsidRDefault="0065648D" w:rsidP="0065648D">
      <w:pPr>
        <w:spacing w:line="360" w:lineRule="auto"/>
        <w:jc w:val="both"/>
        <w:rPr>
          <w:sz w:val="20"/>
          <w:szCs w:val="20"/>
        </w:rPr>
      </w:pPr>
    </w:p>
    <w:p w14:paraId="5D9AF6EC" w14:textId="77777777" w:rsidR="0065648D" w:rsidRPr="00ED403C" w:rsidRDefault="0065648D" w:rsidP="0065648D">
      <w:pPr>
        <w:spacing w:line="360" w:lineRule="auto"/>
        <w:jc w:val="both"/>
        <w:rPr>
          <w:sz w:val="20"/>
          <w:szCs w:val="20"/>
        </w:rPr>
      </w:pPr>
      <w:r>
        <w:rPr>
          <w:noProof/>
          <w:sz w:val="20"/>
          <w:szCs w:val="20"/>
        </w:rPr>
        <w:lastRenderedPageBreak/>
        <w:drawing>
          <wp:inline distT="0" distB="0" distL="0" distR="0" wp14:anchorId="04A6B7BF" wp14:editId="0AE3DF79">
            <wp:extent cx="5730240" cy="3261360"/>
            <wp:effectExtent l="0" t="0" r="3810" b="0"/>
            <wp:docPr id="3551443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0240" cy="3261360"/>
                    </a:xfrm>
                    <a:prstGeom prst="rect">
                      <a:avLst/>
                    </a:prstGeom>
                    <a:noFill/>
                    <a:ln>
                      <a:noFill/>
                    </a:ln>
                  </pic:spPr>
                </pic:pic>
              </a:graphicData>
            </a:graphic>
          </wp:inline>
        </w:drawing>
      </w:r>
    </w:p>
    <w:p w14:paraId="1CFFA71C" w14:textId="77777777" w:rsidR="0065648D" w:rsidRPr="0065648D" w:rsidRDefault="0065648D" w:rsidP="0065648D">
      <w:pPr>
        <w:jc w:val="both"/>
        <w:rPr>
          <w:sz w:val="22"/>
          <w:szCs w:val="22"/>
        </w:rPr>
      </w:pPr>
      <w:r w:rsidRPr="0065648D">
        <w:rPr>
          <w:b/>
          <w:bCs/>
          <w:sz w:val="22"/>
          <w:szCs w:val="22"/>
        </w:rPr>
        <w:t>Figure S3.</w:t>
      </w:r>
      <w:r w:rsidRPr="0065648D">
        <w:rPr>
          <w:sz w:val="22"/>
          <w:szCs w:val="22"/>
        </w:rPr>
        <w:t xml:space="preserve"> Representative GenomeFISH micrographs of a human faecal sample hybridised with GenomeFISH probes generated from </w:t>
      </w:r>
      <w:r w:rsidRPr="0065648D">
        <w:rPr>
          <w:i/>
          <w:iCs/>
          <w:sz w:val="22"/>
          <w:szCs w:val="22"/>
        </w:rPr>
        <w:t>Agathobacter rectalis</w:t>
      </w:r>
      <w:r w:rsidRPr="0065648D">
        <w:rPr>
          <w:sz w:val="22"/>
          <w:szCs w:val="22"/>
        </w:rPr>
        <w:t xml:space="preserve"> (left) or calf thymus DNA (right). GenomeFISH signal appears red and DAPI signal grey. Scale bars are 5 µm.</w:t>
      </w:r>
    </w:p>
    <w:p w14:paraId="16BA9BD1" w14:textId="1F98C54F" w:rsidR="0065648D" w:rsidRPr="0065648D" w:rsidRDefault="0065648D" w:rsidP="0065648D">
      <w:pPr>
        <w:jc w:val="both"/>
        <w:rPr>
          <w:b/>
          <w:sz w:val="22"/>
          <w:szCs w:val="22"/>
        </w:rPr>
      </w:pPr>
    </w:p>
    <w:p w14:paraId="3CE2C4FA" w14:textId="77777777" w:rsidR="0065648D" w:rsidRPr="0065648D" w:rsidRDefault="0065648D" w:rsidP="0065648D">
      <w:pPr>
        <w:jc w:val="both"/>
        <w:rPr>
          <w:b/>
          <w:sz w:val="22"/>
          <w:szCs w:val="22"/>
        </w:rPr>
      </w:pPr>
    </w:p>
    <w:p w14:paraId="2EDF90DA" w14:textId="77777777" w:rsidR="0065648D" w:rsidRPr="0065648D" w:rsidRDefault="0065648D" w:rsidP="0065648D">
      <w:pPr>
        <w:jc w:val="both"/>
        <w:rPr>
          <w:b/>
          <w:sz w:val="22"/>
          <w:szCs w:val="22"/>
        </w:rPr>
      </w:pPr>
    </w:p>
    <w:p w14:paraId="487BF02B" w14:textId="6730C53D" w:rsidR="0065648D" w:rsidRPr="0065648D" w:rsidRDefault="0065648D" w:rsidP="0065648D">
      <w:pPr>
        <w:jc w:val="both"/>
        <w:rPr>
          <w:b/>
          <w:sz w:val="22"/>
          <w:szCs w:val="22"/>
        </w:rPr>
      </w:pPr>
      <w:r w:rsidRPr="0065648D">
        <w:rPr>
          <w:b/>
          <w:sz w:val="22"/>
          <w:szCs w:val="22"/>
        </w:rPr>
        <w:t>Supplementary Table</w:t>
      </w:r>
      <w:r>
        <w:rPr>
          <w:b/>
          <w:sz w:val="22"/>
          <w:szCs w:val="22"/>
        </w:rPr>
        <w:t xml:space="preserve"> legends</w:t>
      </w:r>
    </w:p>
    <w:p w14:paraId="1ABDD6D3" w14:textId="77777777" w:rsidR="0065648D" w:rsidRPr="0065648D" w:rsidRDefault="0065648D" w:rsidP="0065648D">
      <w:pPr>
        <w:jc w:val="both"/>
        <w:rPr>
          <w:b/>
        </w:rPr>
      </w:pPr>
    </w:p>
    <w:p w14:paraId="55B97743" w14:textId="77777777" w:rsidR="0065648D" w:rsidRPr="0065648D" w:rsidRDefault="0065648D" w:rsidP="0065648D">
      <w:pPr>
        <w:jc w:val="both"/>
        <w:rPr>
          <w:sz w:val="22"/>
          <w:szCs w:val="22"/>
        </w:rPr>
      </w:pPr>
      <w:r w:rsidRPr="0065648D">
        <w:rPr>
          <w:b/>
          <w:sz w:val="22"/>
          <w:szCs w:val="22"/>
        </w:rPr>
        <w:t xml:space="preserve">Table S1. </w:t>
      </w:r>
      <w:r w:rsidRPr="0065648D">
        <w:rPr>
          <w:sz w:val="22"/>
          <w:szCs w:val="22"/>
        </w:rPr>
        <w:t>Details of the in-house cultured isolates and single amplified genomes (SAGs) used to optimise the GenomeFISH protocol. SAGs highlighted in green were used to test the effect of SAG coverage on signal specificity and sensitivity.</w:t>
      </w:r>
    </w:p>
    <w:p w14:paraId="472136C8" w14:textId="77777777" w:rsidR="0065648D" w:rsidRPr="0065648D" w:rsidRDefault="0065648D" w:rsidP="0065648D">
      <w:pPr>
        <w:jc w:val="both"/>
        <w:rPr>
          <w:b/>
          <w:bCs/>
          <w:sz w:val="22"/>
          <w:szCs w:val="22"/>
        </w:rPr>
      </w:pPr>
    </w:p>
    <w:p w14:paraId="603F70A5" w14:textId="77777777" w:rsidR="0065648D" w:rsidRPr="0065648D" w:rsidRDefault="0065648D" w:rsidP="0065648D">
      <w:pPr>
        <w:jc w:val="both"/>
        <w:rPr>
          <w:b/>
          <w:bCs/>
          <w:sz w:val="22"/>
          <w:szCs w:val="22"/>
        </w:rPr>
      </w:pPr>
      <w:r w:rsidRPr="0065648D">
        <w:rPr>
          <w:b/>
          <w:bCs/>
          <w:sz w:val="22"/>
          <w:szCs w:val="22"/>
        </w:rPr>
        <w:t xml:space="preserve">Table S2. </w:t>
      </w:r>
      <w:r w:rsidRPr="0065648D">
        <w:rPr>
          <w:sz w:val="22"/>
          <w:szCs w:val="22"/>
        </w:rPr>
        <w:t>Labelling efficiency of isolate and single cell DNA for the respective fluorophore the DNA was labelled with. BDR: base to dye ratio.</w:t>
      </w:r>
    </w:p>
    <w:p w14:paraId="7CD1498C" w14:textId="77777777" w:rsidR="0065648D" w:rsidRPr="0065648D" w:rsidRDefault="0065648D" w:rsidP="0065648D">
      <w:pPr>
        <w:jc w:val="both"/>
        <w:rPr>
          <w:b/>
          <w:bCs/>
          <w:sz w:val="22"/>
          <w:szCs w:val="22"/>
        </w:rPr>
      </w:pPr>
    </w:p>
    <w:p w14:paraId="03FF7760" w14:textId="77777777" w:rsidR="0065648D" w:rsidRPr="0065648D" w:rsidRDefault="0065648D" w:rsidP="0065648D">
      <w:pPr>
        <w:jc w:val="both"/>
        <w:rPr>
          <w:sz w:val="22"/>
          <w:szCs w:val="22"/>
        </w:rPr>
      </w:pPr>
      <w:r w:rsidRPr="0065648D">
        <w:rPr>
          <w:b/>
          <w:bCs/>
          <w:sz w:val="22"/>
          <w:szCs w:val="22"/>
        </w:rPr>
        <w:t xml:space="preserve">Table S3. </w:t>
      </w:r>
      <w:r w:rsidRPr="0065648D">
        <w:rPr>
          <w:sz w:val="22"/>
          <w:szCs w:val="22"/>
        </w:rPr>
        <w:t xml:space="preserve">Overview of the metagenome assembled genomes (MAGs), and single amplified genomes (SAGs) retrieved from the bioreactor sample, including MAG abundance and taxonomy, and fraction of the corresponding MAGs covered by the SAGs. MAGs for which SAGs were recovered are highlighted in grey. SAGs that were used to generate GenomeFISH probes are highlighted in green. </w:t>
      </w:r>
    </w:p>
    <w:p w14:paraId="7A93468F" w14:textId="77777777" w:rsidR="0065648D" w:rsidRPr="0065648D" w:rsidRDefault="0065648D" w:rsidP="0065648D">
      <w:pPr>
        <w:jc w:val="both"/>
        <w:rPr>
          <w:sz w:val="22"/>
          <w:szCs w:val="22"/>
        </w:rPr>
      </w:pPr>
    </w:p>
    <w:p w14:paraId="7F06CDFD" w14:textId="77777777" w:rsidR="0065648D" w:rsidRPr="0065648D" w:rsidRDefault="0065648D" w:rsidP="0065648D">
      <w:pPr>
        <w:jc w:val="both"/>
        <w:rPr>
          <w:sz w:val="22"/>
          <w:szCs w:val="22"/>
        </w:rPr>
      </w:pPr>
      <w:r w:rsidRPr="0065648D">
        <w:rPr>
          <w:b/>
          <w:bCs/>
          <w:sz w:val="22"/>
          <w:szCs w:val="22"/>
        </w:rPr>
        <w:t>Table S4.</w:t>
      </w:r>
      <w:r w:rsidRPr="0065648D">
        <w:rPr>
          <w:sz w:val="22"/>
          <w:szCs w:val="22"/>
        </w:rPr>
        <w:t xml:space="preserve"> Overview of the metagenome assembled genomes (MAGs), and single amplified genomes (SAGs) retrieved from two human faecal samples, including MAG abundance and taxonomy, and fraction of the corresponding MAGs covered by the SAGs. MAGs for which SAGs were recovered are highlighted in grey. SAGs that were used to generate GenomeFISH probes are highlighted in green.</w:t>
      </w:r>
    </w:p>
    <w:p w14:paraId="0519C3DF" w14:textId="77777777" w:rsidR="0065648D" w:rsidRDefault="0065648D" w:rsidP="0065648D">
      <w:pPr>
        <w:rPr>
          <w:b/>
          <w:sz w:val="20"/>
          <w:szCs w:val="20"/>
        </w:rPr>
      </w:pPr>
    </w:p>
    <w:p w14:paraId="032D93B5" w14:textId="77777777" w:rsidR="00CB7F03" w:rsidRDefault="00CB7F03"/>
    <w:p w14:paraId="51A901AE" w14:textId="77777777" w:rsidR="000A1975" w:rsidRDefault="000A1975"/>
    <w:p w14:paraId="54C3FC69" w14:textId="4C0D6022" w:rsidR="000A1975" w:rsidRPr="000A1975" w:rsidRDefault="000A1975">
      <w:pPr>
        <w:rPr>
          <w:b/>
          <w:bCs/>
          <w:sz w:val="22"/>
          <w:szCs w:val="22"/>
        </w:rPr>
      </w:pPr>
      <w:r w:rsidRPr="000A1975">
        <w:rPr>
          <w:b/>
          <w:bCs/>
          <w:sz w:val="22"/>
          <w:szCs w:val="22"/>
        </w:rPr>
        <w:t>References</w:t>
      </w:r>
    </w:p>
    <w:p w14:paraId="32DB5EDC" w14:textId="77777777" w:rsidR="00CB7F03" w:rsidRDefault="00CB7F03"/>
    <w:p w14:paraId="4C63F79D" w14:textId="77777777" w:rsidR="00864398" w:rsidRPr="00864398" w:rsidRDefault="00CB7F03" w:rsidP="00864398">
      <w:pPr>
        <w:pStyle w:val="EndNoteBibliography"/>
        <w:ind w:left="720" w:hanging="720"/>
        <w:rPr>
          <w:sz w:val="22"/>
          <w:szCs w:val="22"/>
        </w:rPr>
      </w:pPr>
      <w:r w:rsidRPr="00864398">
        <w:rPr>
          <w:sz w:val="20"/>
          <w:szCs w:val="20"/>
        </w:rPr>
        <w:fldChar w:fldCharType="begin"/>
      </w:r>
      <w:r w:rsidRPr="00864398">
        <w:rPr>
          <w:sz w:val="20"/>
          <w:szCs w:val="20"/>
        </w:rPr>
        <w:instrText xml:space="preserve"> ADDIN EN.REFLIST </w:instrText>
      </w:r>
      <w:r w:rsidRPr="00864398">
        <w:rPr>
          <w:sz w:val="20"/>
          <w:szCs w:val="20"/>
        </w:rPr>
        <w:fldChar w:fldCharType="separate"/>
      </w:r>
      <w:r w:rsidR="00864398" w:rsidRPr="00864398">
        <w:rPr>
          <w:sz w:val="22"/>
          <w:szCs w:val="22"/>
        </w:rPr>
        <w:t>1</w:t>
      </w:r>
      <w:r w:rsidR="00864398" w:rsidRPr="00864398">
        <w:rPr>
          <w:sz w:val="22"/>
          <w:szCs w:val="22"/>
        </w:rPr>
        <w:tab/>
        <w:t xml:space="preserve">Lichter, P. &amp; Cremer, T. in </w:t>
      </w:r>
      <w:r w:rsidR="00864398" w:rsidRPr="00864398">
        <w:rPr>
          <w:i/>
          <w:sz w:val="22"/>
          <w:szCs w:val="22"/>
        </w:rPr>
        <w:t>Human Cytogenetics: A Practical Approach</w:t>
      </w:r>
      <w:r w:rsidR="00864398" w:rsidRPr="00864398">
        <w:rPr>
          <w:sz w:val="22"/>
          <w:szCs w:val="22"/>
        </w:rPr>
        <w:t xml:space="preserve">   (ed D.E. Rooney and B.H. Czepulkowski)  157–192 (IRL Press, 1992).</w:t>
      </w:r>
    </w:p>
    <w:p w14:paraId="1ABD0B15" w14:textId="70849185" w:rsidR="00864398" w:rsidRPr="00864398" w:rsidRDefault="00864398" w:rsidP="00864398">
      <w:pPr>
        <w:pStyle w:val="EndNoteBibliography"/>
        <w:ind w:left="720" w:hanging="720"/>
        <w:rPr>
          <w:sz w:val="22"/>
          <w:szCs w:val="22"/>
        </w:rPr>
      </w:pPr>
      <w:r w:rsidRPr="00864398">
        <w:rPr>
          <w:sz w:val="22"/>
          <w:szCs w:val="22"/>
        </w:rPr>
        <w:t>2</w:t>
      </w:r>
      <w:r w:rsidRPr="00864398">
        <w:rPr>
          <w:sz w:val="22"/>
          <w:szCs w:val="22"/>
        </w:rPr>
        <w:tab/>
        <w:t xml:space="preserve">Newell, R. J. P., McMaster, E. S., Craig, P., Boden, M., Tyson, G. W., Woodcroft, B. J. Lorikeet: strain-resolved metagenome analysis using local reassembly (v0.8.2). </w:t>
      </w:r>
      <w:r w:rsidRPr="00864398">
        <w:rPr>
          <w:i/>
          <w:sz w:val="22"/>
          <w:szCs w:val="22"/>
        </w:rPr>
        <w:t>Zenodo</w:t>
      </w:r>
      <w:r w:rsidRPr="00864398">
        <w:rPr>
          <w:sz w:val="22"/>
          <w:szCs w:val="22"/>
        </w:rPr>
        <w:t xml:space="preserve"> (2023). </w:t>
      </w:r>
      <w:hyperlink r:id="rId7" w:history="1">
        <w:r w:rsidRPr="00864398">
          <w:rPr>
            <w:rStyle w:val="Hyperlink"/>
            <w:sz w:val="22"/>
            <w:szCs w:val="22"/>
          </w:rPr>
          <w:t>https://doi.org:https://doi.org/10.5281/zenodo.10275469</w:t>
        </w:r>
      </w:hyperlink>
    </w:p>
    <w:p w14:paraId="0BCC0875" w14:textId="3F8758A1" w:rsidR="00864398" w:rsidRPr="00864398" w:rsidRDefault="00864398" w:rsidP="00864398">
      <w:pPr>
        <w:pStyle w:val="EndNoteBibliography"/>
        <w:ind w:left="720" w:hanging="720"/>
        <w:rPr>
          <w:sz w:val="22"/>
          <w:szCs w:val="22"/>
        </w:rPr>
      </w:pPr>
      <w:r w:rsidRPr="00864398">
        <w:rPr>
          <w:sz w:val="22"/>
          <w:szCs w:val="22"/>
        </w:rPr>
        <w:lastRenderedPageBreak/>
        <w:t>3</w:t>
      </w:r>
      <w:r w:rsidRPr="00864398">
        <w:rPr>
          <w:sz w:val="22"/>
          <w:szCs w:val="22"/>
        </w:rPr>
        <w:tab/>
        <w:t>Genovese, G.</w:t>
      </w:r>
      <w:r w:rsidRPr="00864398">
        <w:rPr>
          <w:i/>
          <w:sz w:val="22"/>
          <w:szCs w:val="22"/>
        </w:rPr>
        <w:t xml:space="preserve"> et al.</w:t>
      </w:r>
      <w:r w:rsidRPr="00864398">
        <w:rPr>
          <w:sz w:val="22"/>
          <w:szCs w:val="22"/>
        </w:rPr>
        <w:t xml:space="preserve"> BCFtools/liftover: an accurate and comprehensive tool to convert genetic variants across genome assemblies. </w:t>
      </w:r>
      <w:r w:rsidRPr="00864398">
        <w:rPr>
          <w:i/>
          <w:sz w:val="22"/>
          <w:szCs w:val="22"/>
        </w:rPr>
        <w:t>Bioinform</w:t>
      </w:r>
      <w:r w:rsidRPr="00864398">
        <w:rPr>
          <w:sz w:val="22"/>
          <w:szCs w:val="22"/>
        </w:rPr>
        <w:t xml:space="preserve"> </w:t>
      </w:r>
      <w:r w:rsidRPr="00864398">
        <w:rPr>
          <w:b/>
          <w:sz w:val="22"/>
          <w:szCs w:val="22"/>
        </w:rPr>
        <w:t>40</w:t>
      </w:r>
      <w:r w:rsidRPr="00864398">
        <w:rPr>
          <w:sz w:val="22"/>
          <w:szCs w:val="22"/>
        </w:rPr>
        <w:t xml:space="preserve"> (2024). </w:t>
      </w:r>
      <w:hyperlink r:id="rId8" w:history="1">
        <w:r w:rsidRPr="00864398">
          <w:rPr>
            <w:rStyle w:val="Hyperlink"/>
            <w:sz w:val="22"/>
            <w:szCs w:val="22"/>
          </w:rPr>
          <w:t>https://doi.org:10.1093/bioinformatics/btae038</w:t>
        </w:r>
      </w:hyperlink>
    </w:p>
    <w:p w14:paraId="501579D4" w14:textId="3919491F" w:rsidR="00864398" w:rsidRPr="00864398" w:rsidRDefault="00864398" w:rsidP="00864398">
      <w:pPr>
        <w:pStyle w:val="EndNoteBibliography"/>
        <w:ind w:left="720" w:hanging="720"/>
        <w:rPr>
          <w:sz w:val="22"/>
          <w:szCs w:val="22"/>
        </w:rPr>
      </w:pPr>
      <w:r w:rsidRPr="00864398">
        <w:rPr>
          <w:sz w:val="22"/>
          <w:szCs w:val="22"/>
        </w:rPr>
        <w:t>4</w:t>
      </w:r>
      <w:r w:rsidRPr="00864398">
        <w:rPr>
          <w:sz w:val="22"/>
          <w:szCs w:val="22"/>
        </w:rPr>
        <w:tab/>
        <w:t xml:space="preserve">Li, H. Minimap2: pairwise alignment for nucleotide sequences. </w:t>
      </w:r>
      <w:r w:rsidRPr="00864398">
        <w:rPr>
          <w:i/>
          <w:sz w:val="22"/>
          <w:szCs w:val="22"/>
        </w:rPr>
        <w:t>Bioinform</w:t>
      </w:r>
      <w:r w:rsidRPr="00864398">
        <w:rPr>
          <w:sz w:val="22"/>
          <w:szCs w:val="22"/>
        </w:rPr>
        <w:t xml:space="preserve"> </w:t>
      </w:r>
      <w:r w:rsidRPr="00864398">
        <w:rPr>
          <w:b/>
          <w:sz w:val="22"/>
          <w:szCs w:val="22"/>
        </w:rPr>
        <w:t>34</w:t>
      </w:r>
      <w:r w:rsidRPr="00864398">
        <w:rPr>
          <w:sz w:val="22"/>
          <w:szCs w:val="22"/>
        </w:rPr>
        <w:t xml:space="preserve">, 3094-3100 (2018). </w:t>
      </w:r>
      <w:hyperlink r:id="rId9" w:history="1">
        <w:r w:rsidRPr="00864398">
          <w:rPr>
            <w:rStyle w:val="Hyperlink"/>
            <w:sz w:val="22"/>
            <w:szCs w:val="22"/>
          </w:rPr>
          <w:t>https://doi.org:10.1093/bioinformatics/bty191</w:t>
        </w:r>
      </w:hyperlink>
    </w:p>
    <w:p w14:paraId="0D36E8F0" w14:textId="77777777" w:rsidR="00864398" w:rsidRPr="00864398" w:rsidRDefault="00864398" w:rsidP="00864398">
      <w:pPr>
        <w:pStyle w:val="EndNoteBibliography"/>
        <w:ind w:left="720" w:hanging="720"/>
        <w:rPr>
          <w:sz w:val="22"/>
          <w:szCs w:val="22"/>
        </w:rPr>
      </w:pPr>
      <w:r w:rsidRPr="00864398">
        <w:rPr>
          <w:sz w:val="22"/>
          <w:szCs w:val="22"/>
        </w:rPr>
        <w:t>5</w:t>
      </w:r>
      <w:r w:rsidRPr="00864398">
        <w:rPr>
          <w:sz w:val="22"/>
          <w:szCs w:val="22"/>
        </w:rPr>
        <w:tab/>
        <w:t>Danecek, P.</w:t>
      </w:r>
      <w:r w:rsidRPr="00864398">
        <w:rPr>
          <w:i/>
          <w:sz w:val="22"/>
          <w:szCs w:val="22"/>
        </w:rPr>
        <w:t xml:space="preserve"> et al.</w:t>
      </w:r>
      <w:r w:rsidRPr="00864398">
        <w:rPr>
          <w:sz w:val="22"/>
          <w:szCs w:val="22"/>
        </w:rPr>
        <w:t xml:space="preserve"> Twelve years of SAMtools and BCFtools. </w:t>
      </w:r>
      <w:r w:rsidRPr="00864398">
        <w:rPr>
          <w:i/>
          <w:sz w:val="22"/>
          <w:szCs w:val="22"/>
        </w:rPr>
        <w:t>Gigascience</w:t>
      </w:r>
      <w:r w:rsidRPr="00864398">
        <w:rPr>
          <w:sz w:val="22"/>
          <w:szCs w:val="22"/>
        </w:rPr>
        <w:t xml:space="preserve"> </w:t>
      </w:r>
      <w:r w:rsidRPr="00864398">
        <w:rPr>
          <w:b/>
          <w:sz w:val="22"/>
          <w:szCs w:val="22"/>
        </w:rPr>
        <w:t>10</w:t>
      </w:r>
      <w:r w:rsidRPr="00864398">
        <w:rPr>
          <w:sz w:val="22"/>
          <w:szCs w:val="22"/>
        </w:rPr>
        <w:t xml:space="preserve">, giab008 (2021). </w:t>
      </w:r>
    </w:p>
    <w:p w14:paraId="34A84A1F" w14:textId="6E188F94" w:rsidR="00864398" w:rsidRPr="00864398" w:rsidRDefault="00864398" w:rsidP="00864398">
      <w:pPr>
        <w:pStyle w:val="EndNoteBibliography"/>
        <w:ind w:left="720" w:hanging="720"/>
        <w:rPr>
          <w:sz w:val="22"/>
          <w:szCs w:val="22"/>
        </w:rPr>
      </w:pPr>
      <w:r w:rsidRPr="00864398">
        <w:rPr>
          <w:sz w:val="22"/>
          <w:szCs w:val="22"/>
        </w:rPr>
        <w:t>6</w:t>
      </w:r>
      <w:r w:rsidRPr="00864398">
        <w:rPr>
          <w:sz w:val="22"/>
          <w:szCs w:val="22"/>
        </w:rPr>
        <w:tab/>
        <w:t>Danecek, P.</w:t>
      </w:r>
      <w:r w:rsidRPr="00864398">
        <w:rPr>
          <w:i/>
          <w:sz w:val="22"/>
          <w:szCs w:val="22"/>
        </w:rPr>
        <w:t xml:space="preserve"> et al.</w:t>
      </w:r>
      <w:r w:rsidRPr="00864398">
        <w:rPr>
          <w:sz w:val="22"/>
          <w:szCs w:val="22"/>
        </w:rPr>
        <w:t xml:space="preserve"> The variant call format and VCFtools. </w:t>
      </w:r>
      <w:r w:rsidRPr="00864398">
        <w:rPr>
          <w:i/>
          <w:sz w:val="22"/>
          <w:szCs w:val="22"/>
        </w:rPr>
        <w:t>Bioinform</w:t>
      </w:r>
      <w:r w:rsidRPr="00864398">
        <w:rPr>
          <w:sz w:val="22"/>
          <w:szCs w:val="22"/>
        </w:rPr>
        <w:t xml:space="preserve"> </w:t>
      </w:r>
      <w:r w:rsidRPr="00864398">
        <w:rPr>
          <w:b/>
          <w:sz w:val="22"/>
          <w:szCs w:val="22"/>
        </w:rPr>
        <w:t>27</w:t>
      </w:r>
      <w:r w:rsidRPr="00864398">
        <w:rPr>
          <w:sz w:val="22"/>
          <w:szCs w:val="22"/>
        </w:rPr>
        <w:t xml:space="preserve">, 2156-2158 (2011). </w:t>
      </w:r>
      <w:hyperlink r:id="rId10" w:history="1">
        <w:r w:rsidRPr="00864398">
          <w:rPr>
            <w:rStyle w:val="Hyperlink"/>
            <w:sz w:val="22"/>
            <w:szCs w:val="22"/>
          </w:rPr>
          <w:t>https://doi.org:10.1093/bioinformatics/btr330</w:t>
        </w:r>
      </w:hyperlink>
    </w:p>
    <w:p w14:paraId="41DCAE2B" w14:textId="0E92E6AE" w:rsidR="0065648D" w:rsidRDefault="00CB7F03">
      <w:r w:rsidRPr="00864398">
        <w:rPr>
          <w:sz w:val="20"/>
          <w:szCs w:val="20"/>
        </w:rPr>
        <w:fldChar w:fldCharType="end"/>
      </w:r>
    </w:p>
    <w:sectPr w:rsidR="006564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9zsax5fxed5aeptx6v0t90v95rs0dsefa9&quot;&gt;My EndNote Library&lt;record-ids&gt;&lt;item&gt;772&lt;/item&gt;&lt;item&gt;809&lt;/item&gt;&lt;item&gt;836&lt;/item&gt;&lt;item&gt;837&lt;/item&gt;&lt;item&gt;838&lt;/item&gt;&lt;item&gt;839&lt;/item&gt;&lt;/record-ids&gt;&lt;/item&gt;&lt;/Libraries&gt;"/>
  </w:docVars>
  <w:rsids>
    <w:rsidRoot w:val="0065648D"/>
    <w:rsid w:val="000573DC"/>
    <w:rsid w:val="000A1975"/>
    <w:rsid w:val="0011730E"/>
    <w:rsid w:val="00121DF9"/>
    <w:rsid w:val="001769C0"/>
    <w:rsid w:val="001E4149"/>
    <w:rsid w:val="002748EB"/>
    <w:rsid w:val="002D260A"/>
    <w:rsid w:val="00333271"/>
    <w:rsid w:val="00345D86"/>
    <w:rsid w:val="00395A03"/>
    <w:rsid w:val="00401767"/>
    <w:rsid w:val="00453FDF"/>
    <w:rsid w:val="00492742"/>
    <w:rsid w:val="00541006"/>
    <w:rsid w:val="00560AD1"/>
    <w:rsid w:val="005D2F3C"/>
    <w:rsid w:val="0065648D"/>
    <w:rsid w:val="006F02E9"/>
    <w:rsid w:val="00735D07"/>
    <w:rsid w:val="00772C07"/>
    <w:rsid w:val="007D26AE"/>
    <w:rsid w:val="00864398"/>
    <w:rsid w:val="00872340"/>
    <w:rsid w:val="00907CB7"/>
    <w:rsid w:val="00954BFF"/>
    <w:rsid w:val="009C7FF8"/>
    <w:rsid w:val="00A01B44"/>
    <w:rsid w:val="00AA29C8"/>
    <w:rsid w:val="00B75709"/>
    <w:rsid w:val="00BE4300"/>
    <w:rsid w:val="00BE55BE"/>
    <w:rsid w:val="00C07256"/>
    <w:rsid w:val="00C21E6B"/>
    <w:rsid w:val="00C26EFF"/>
    <w:rsid w:val="00C53C9B"/>
    <w:rsid w:val="00CA153B"/>
    <w:rsid w:val="00CB5571"/>
    <w:rsid w:val="00CB7F03"/>
    <w:rsid w:val="00D247B6"/>
    <w:rsid w:val="00DA4EED"/>
    <w:rsid w:val="00DE6163"/>
    <w:rsid w:val="00DE6908"/>
    <w:rsid w:val="00E54D6C"/>
    <w:rsid w:val="00E767BC"/>
    <w:rsid w:val="00E87254"/>
    <w:rsid w:val="00E94826"/>
    <w:rsid w:val="00E96630"/>
    <w:rsid w:val="00EF1A2E"/>
    <w:rsid w:val="00EF7310"/>
    <w:rsid w:val="00F265A6"/>
    <w:rsid w:val="00F67679"/>
    <w:rsid w:val="00F679DD"/>
    <w:rsid w:val="00FC0F72"/>
    <w:rsid w:val="15A34E62"/>
    <w:rsid w:val="16973E17"/>
    <w:rsid w:val="1B7DAF96"/>
    <w:rsid w:val="2297B715"/>
    <w:rsid w:val="2875753F"/>
    <w:rsid w:val="364C3350"/>
    <w:rsid w:val="379D16B7"/>
    <w:rsid w:val="404EEF33"/>
    <w:rsid w:val="51ABE65A"/>
    <w:rsid w:val="52ACAA79"/>
    <w:rsid w:val="536446AA"/>
    <w:rsid w:val="558640A0"/>
    <w:rsid w:val="62537244"/>
    <w:rsid w:val="6D5780D8"/>
    <w:rsid w:val="6EA5C44B"/>
    <w:rsid w:val="78651D75"/>
    <w:rsid w:val="7D6755A4"/>
    <w:rsid w:val="7E366ABB"/>
  </w:rsids>
  <m:mathPr>
    <m:mathFont m:val="Cambria Math"/>
    <m:brkBin m:val="before"/>
    <m:brkBinSub m:val="--"/>
    <m:smallFrac m:val="0"/>
    <m:dispDef/>
    <m:lMargin m:val="0"/>
    <m:rMargin m:val="0"/>
    <m:defJc m:val="centerGroup"/>
    <m:wrapIndent m:val="1440"/>
    <m:intLim m:val="subSup"/>
    <m:naryLim m:val="undOvr"/>
  </m:mathPr>
  <w:themeFontLang w:val="en-150"/>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E535D"/>
  <w15:chartTrackingRefBased/>
  <w15:docId w15:val="{EC6AD8C0-9607-44AA-967E-54D18AD02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150"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48D"/>
    <w:pPr>
      <w:spacing w:after="0" w:line="240" w:lineRule="auto"/>
    </w:pPr>
    <w:rPr>
      <w:rFonts w:ascii="Times New Roman" w:eastAsia="Times New Roman" w:hAnsi="Times New Roman" w:cs="Times New Roman"/>
      <w:kern w:val="0"/>
      <w:sz w:val="24"/>
      <w:szCs w:val="24"/>
      <w:lang w:val="en-AU" w:eastAsia="ja-JP"/>
      <w14:ligatures w14:val="none"/>
    </w:rPr>
  </w:style>
  <w:style w:type="paragraph" w:styleId="Heading1">
    <w:name w:val="heading 1"/>
    <w:basedOn w:val="Normal"/>
    <w:next w:val="Normal"/>
    <w:link w:val="Heading1Char"/>
    <w:uiPriority w:val="9"/>
    <w:qFormat/>
    <w:rsid w:val="006564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64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64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64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64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648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48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48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48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4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64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64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64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64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64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4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4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48D"/>
    <w:rPr>
      <w:rFonts w:eastAsiaTheme="majorEastAsia" w:cstheme="majorBidi"/>
      <w:color w:val="272727" w:themeColor="text1" w:themeTint="D8"/>
    </w:rPr>
  </w:style>
  <w:style w:type="paragraph" w:styleId="Title">
    <w:name w:val="Title"/>
    <w:basedOn w:val="Normal"/>
    <w:next w:val="Normal"/>
    <w:link w:val="TitleChar"/>
    <w:uiPriority w:val="10"/>
    <w:qFormat/>
    <w:rsid w:val="0065648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4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4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4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48D"/>
    <w:pPr>
      <w:spacing w:before="160"/>
      <w:jc w:val="center"/>
    </w:pPr>
    <w:rPr>
      <w:i/>
      <w:iCs/>
      <w:color w:val="404040" w:themeColor="text1" w:themeTint="BF"/>
    </w:rPr>
  </w:style>
  <w:style w:type="character" w:customStyle="1" w:styleId="QuoteChar">
    <w:name w:val="Quote Char"/>
    <w:basedOn w:val="DefaultParagraphFont"/>
    <w:link w:val="Quote"/>
    <w:uiPriority w:val="29"/>
    <w:rsid w:val="0065648D"/>
    <w:rPr>
      <w:i/>
      <w:iCs/>
      <w:color w:val="404040" w:themeColor="text1" w:themeTint="BF"/>
    </w:rPr>
  </w:style>
  <w:style w:type="paragraph" w:styleId="ListParagraph">
    <w:name w:val="List Paragraph"/>
    <w:basedOn w:val="Normal"/>
    <w:uiPriority w:val="34"/>
    <w:qFormat/>
    <w:rsid w:val="0065648D"/>
    <w:pPr>
      <w:ind w:left="720"/>
      <w:contextualSpacing/>
    </w:pPr>
  </w:style>
  <w:style w:type="character" w:styleId="IntenseEmphasis">
    <w:name w:val="Intense Emphasis"/>
    <w:basedOn w:val="DefaultParagraphFont"/>
    <w:uiPriority w:val="21"/>
    <w:qFormat/>
    <w:rsid w:val="0065648D"/>
    <w:rPr>
      <w:i/>
      <w:iCs/>
      <w:color w:val="0F4761" w:themeColor="accent1" w:themeShade="BF"/>
    </w:rPr>
  </w:style>
  <w:style w:type="paragraph" w:styleId="IntenseQuote">
    <w:name w:val="Intense Quote"/>
    <w:basedOn w:val="Normal"/>
    <w:next w:val="Normal"/>
    <w:link w:val="IntenseQuoteChar"/>
    <w:uiPriority w:val="30"/>
    <w:qFormat/>
    <w:rsid w:val="006564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648D"/>
    <w:rPr>
      <w:i/>
      <w:iCs/>
      <w:color w:val="0F4761" w:themeColor="accent1" w:themeShade="BF"/>
    </w:rPr>
  </w:style>
  <w:style w:type="character" w:styleId="IntenseReference">
    <w:name w:val="Intense Reference"/>
    <w:basedOn w:val="DefaultParagraphFont"/>
    <w:uiPriority w:val="32"/>
    <w:qFormat/>
    <w:rsid w:val="0065648D"/>
    <w:rPr>
      <w:b/>
      <w:bCs/>
      <w:smallCaps/>
      <w:color w:val="0F4761" w:themeColor="accent1" w:themeShade="BF"/>
      <w:spacing w:val="5"/>
    </w:rPr>
  </w:style>
  <w:style w:type="paragraph" w:styleId="NormalWeb">
    <w:name w:val="Normal (Web)"/>
    <w:basedOn w:val="Normal"/>
    <w:uiPriority w:val="99"/>
    <w:semiHidden/>
    <w:unhideWhenUsed/>
    <w:rsid w:val="00907CB7"/>
    <w:pPr>
      <w:spacing w:before="100" w:beforeAutospacing="1" w:after="100" w:afterAutospacing="1"/>
    </w:pPr>
    <w:rPr>
      <w:lang w:val="en-150" w:eastAsia="en-150"/>
    </w:rPr>
  </w:style>
  <w:style w:type="paragraph" w:styleId="Revision">
    <w:name w:val="Revision"/>
    <w:hidden/>
    <w:uiPriority w:val="99"/>
    <w:semiHidden/>
    <w:rsid w:val="00492742"/>
    <w:pPr>
      <w:spacing w:after="0" w:line="240" w:lineRule="auto"/>
    </w:pPr>
    <w:rPr>
      <w:rFonts w:ascii="Times New Roman" w:eastAsia="Times New Roman" w:hAnsi="Times New Roman" w:cs="Times New Roman"/>
      <w:kern w:val="0"/>
      <w:sz w:val="24"/>
      <w:szCs w:val="24"/>
      <w:lang w:val="en-AU" w:eastAsia="ja-JP"/>
      <w14:ligatures w14:val="none"/>
    </w:rPr>
  </w:style>
  <w:style w:type="paragraph" w:customStyle="1" w:styleId="EndNoteBibliographyTitle">
    <w:name w:val="EndNote Bibliography Title"/>
    <w:basedOn w:val="Normal"/>
    <w:link w:val="EndNoteBibliographyTitleChar"/>
    <w:rsid w:val="00CB7F03"/>
    <w:pPr>
      <w:jc w:val="center"/>
    </w:pPr>
    <w:rPr>
      <w:noProof/>
    </w:rPr>
  </w:style>
  <w:style w:type="character" w:customStyle="1" w:styleId="EndNoteBibliographyTitleChar">
    <w:name w:val="EndNote Bibliography Title Char"/>
    <w:basedOn w:val="DefaultParagraphFont"/>
    <w:link w:val="EndNoteBibliographyTitle"/>
    <w:rsid w:val="00CB7F03"/>
    <w:rPr>
      <w:rFonts w:ascii="Times New Roman" w:eastAsia="Times New Roman" w:hAnsi="Times New Roman" w:cs="Times New Roman"/>
      <w:noProof/>
      <w:kern w:val="0"/>
      <w:sz w:val="24"/>
      <w:szCs w:val="24"/>
      <w:lang w:val="en-AU" w:eastAsia="ja-JP"/>
      <w14:ligatures w14:val="none"/>
    </w:rPr>
  </w:style>
  <w:style w:type="paragraph" w:customStyle="1" w:styleId="EndNoteBibliography">
    <w:name w:val="EndNote Bibliography"/>
    <w:basedOn w:val="Normal"/>
    <w:link w:val="EndNoteBibliographyChar"/>
    <w:rsid w:val="00CB7F03"/>
    <w:rPr>
      <w:noProof/>
    </w:rPr>
  </w:style>
  <w:style w:type="character" w:customStyle="1" w:styleId="EndNoteBibliographyChar">
    <w:name w:val="EndNote Bibliography Char"/>
    <w:basedOn w:val="DefaultParagraphFont"/>
    <w:link w:val="EndNoteBibliography"/>
    <w:rsid w:val="00CB7F03"/>
    <w:rPr>
      <w:rFonts w:ascii="Times New Roman" w:eastAsia="Times New Roman" w:hAnsi="Times New Roman" w:cs="Times New Roman"/>
      <w:noProof/>
      <w:kern w:val="0"/>
      <w:sz w:val="24"/>
      <w:szCs w:val="24"/>
      <w:lang w:val="en-AU" w:eastAsia="ja-JP"/>
      <w14:ligatures w14:val="none"/>
    </w:rPr>
  </w:style>
  <w:style w:type="character" w:styleId="Hyperlink">
    <w:name w:val="Hyperlink"/>
    <w:basedOn w:val="DefaultParagraphFont"/>
    <w:uiPriority w:val="99"/>
    <w:unhideWhenUsed/>
    <w:rsid w:val="007D26AE"/>
    <w:rPr>
      <w:color w:val="467886" w:themeColor="hyperlink"/>
      <w:u w:val="single"/>
    </w:rPr>
  </w:style>
  <w:style w:type="character" w:styleId="UnresolvedMention">
    <w:name w:val="Unresolved Mention"/>
    <w:basedOn w:val="DefaultParagraphFont"/>
    <w:uiPriority w:val="99"/>
    <w:semiHidden/>
    <w:unhideWhenUsed/>
    <w:rsid w:val="007D26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57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93/bioinformatics/btae038" TargetMode="External"/><Relationship Id="rId3" Type="http://schemas.openxmlformats.org/officeDocument/2006/relationships/webSettings" Target="webSettings.xml"/><Relationship Id="rId7" Type="http://schemas.openxmlformats.org/officeDocument/2006/relationships/hyperlink" Target="https://doi.org:https://doi.org/10.5281/zenodo.10275469"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doi.org:10.1093/bioinformatics/btr330" TargetMode="External"/><Relationship Id="rId4" Type="http://schemas.openxmlformats.org/officeDocument/2006/relationships/image" Target="media/image1.png"/><Relationship Id="rId9" Type="http://schemas.openxmlformats.org/officeDocument/2006/relationships/hyperlink" Target="https://doi.org:10.1093/bioinformatics/bty1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1963</Words>
  <Characters>11193</Characters>
  <Application>Microsoft Office Word</Application>
  <DocSecurity>0</DocSecurity>
  <Lines>93</Lines>
  <Paragraphs>26</Paragraphs>
  <ScaleCrop>false</ScaleCrop>
  <Company/>
  <LinksUpToDate>false</LinksUpToDate>
  <CharactersWithSpaces>13130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Engelberts</dc:creator>
  <cp:keywords/>
  <dc:description/>
  <cp:lastModifiedBy>Pam Engelberts</cp:lastModifiedBy>
  <cp:revision>4</cp:revision>
  <cp:lastPrinted>2024-11-24T22:48:00Z</cp:lastPrinted>
  <dcterms:created xsi:type="dcterms:W3CDTF">2024-11-26T05:38:00Z</dcterms:created>
  <dcterms:modified xsi:type="dcterms:W3CDTF">2024-11-26T23:55:00Z</dcterms:modified>
</cp:coreProperties>
</file>