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3AA288">
      <w:pPr>
        <w:spacing w:line="360" w:lineRule="auto"/>
        <w:rPr>
          <w:rFonts w:hint="default" w:ascii="Times New Roman" w:hAnsi="Times New Roman" w:eastAsia="Times New Roman" w:cs="Times New Roman"/>
          <w:b/>
          <w:bCs/>
          <w:snapToGrid w:val="0"/>
          <w:color w:val="000000"/>
          <w:kern w:val="0"/>
          <w:sz w:val="24"/>
          <w:szCs w:val="24"/>
          <w:lang w:val="en-US" w:eastAsia="de-DE" w:bidi="en-US"/>
        </w:rPr>
      </w:pPr>
      <w:r>
        <w:rPr>
          <w:rFonts w:hint="default" w:ascii="Times New Roman" w:hAnsi="Times New Roman" w:eastAsia="Times New Roman" w:cs="Times New Roman"/>
          <w:b/>
          <w:bCs/>
          <w:snapToGrid w:val="0"/>
          <w:color w:val="000000"/>
          <w:kern w:val="0"/>
          <w:sz w:val="24"/>
          <w:szCs w:val="24"/>
          <w:lang w:val="en-US" w:eastAsia="de-DE" w:bidi="en-US"/>
        </w:rPr>
        <w:t>Dear editor</w:t>
      </w:r>
      <w:r>
        <w:rPr>
          <w:rFonts w:hint="eastAsia" w:ascii="Times New Roman" w:hAnsi="Times New Roman" w:eastAsia="宋体" w:cs="Times New Roman"/>
          <w:b/>
          <w:bCs/>
          <w:snapToGrid w:val="0"/>
          <w:color w:val="000000"/>
          <w:kern w:val="0"/>
          <w:sz w:val="24"/>
          <w:szCs w:val="24"/>
          <w:lang w:val="en-US" w:eastAsia="zh-CN" w:bidi="en-US"/>
        </w:rPr>
        <w:t xml:space="preserve"> and reviewers</w:t>
      </w:r>
      <w:r>
        <w:rPr>
          <w:rFonts w:hint="default" w:ascii="Times New Roman" w:hAnsi="Times New Roman" w:eastAsia="Times New Roman" w:cs="Times New Roman"/>
          <w:b/>
          <w:bCs/>
          <w:snapToGrid w:val="0"/>
          <w:color w:val="000000"/>
          <w:kern w:val="0"/>
          <w:sz w:val="24"/>
          <w:szCs w:val="24"/>
          <w:lang w:val="en-US" w:eastAsia="de-DE" w:bidi="en-US"/>
        </w:rPr>
        <w:t>,</w:t>
      </w:r>
    </w:p>
    <w:p w14:paraId="3A333E82">
      <w:pPr>
        <w:spacing w:line="360" w:lineRule="auto"/>
        <w:ind w:firstLine="480" w:firstLineChars="200"/>
        <w:rPr>
          <w:sz w:val="24"/>
          <w:szCs w:val="24"/>
        </w:rPr>
      </w:pPr>
      <w:r>
        <w:rPr>
          <w:rFonts w:hint="default" w:ascii="Times New Roman" w:hAnsi="Times New Roman" w:eastAsia="Times New Roman" w:cs="Times New Roman"/>
          <w:snapToGrid w:val="0"/>
          <w:color w:val="000000"/>
          <w:kern w:val="0"/>
          <w:sz w:val="24"/>
          <w:szCs w:val="24"/>
          <w:lang w:val="en-US" w:eastAsia="de-DE" w:bidi="en-US"/>
        </w:rPr>
        <w:t>Greetings!</w:t>
      </w:r>
    </w:p>
    <w:p w14:paraId="53D4DFBD">
      <w:pPr>
        <w:spacing w:line="360" w:lineRule="auto"/>
        <w:ind w:firstLine="480" w:firstLineChars="200"/>
        <w:jc w:val="both"/>
        <w:rPr>
          <w:rFonts w:ascii="Times New Roman" w:hAnsi="Times New Roman" w:cs="Times New Roman" w:eastAsiaTheme="minorEastAsia"/>
          <w:b/>
          <w:sz w:val="24"/>
          <w:szCs w:val="24"/>
          <w:lang w:val="en-US" w:eastAsia="zh-CN"/>
        </w:rPr>
      </w:pPr>
      <w:r>
        <w:rPr>
          <w:rFonts w:hint="default" w:ascii="Times New Roman" w:hAnsi="Times New Roman" w:eastAsia="Times New Roman" w:cs="Times New Roman"/>
          <w:snapToGrid w:val="0"/>
          <w:color w:val="000000"/>
          <w:kern w:val="0"/>
          <w:sz w:val="24"/>
          <w:szCs w:val="24"/>
          <w:lang w:val="en-US" w:eastAsia="de-DE" w:bidi="en-US"/>
        </w:rPr>
        <w:t>We would like to submit the revised manuscript entitled “</w:t>
      </w:r>
      <w:r>
        <w:rPr>
          <w:rFonts w:hint="default" w:ascii="Times New Roman" w:hAnsi="Times New Roman" w:eastAsia="Times New Roman" w:cs="Times New Roman"/>
          <w:snapToGrid w:val="0"/>
          <w:color w:val="000000"/>
          <w:kern w:val="0"/>
          <w:sz w:val="24"/>
          <w:szCs w:val="24"/>
          <w:lang w:val="en-US" w:eastAsia="ja-JP" w:bidi="en-US"/>
        </w:rPr>
        <w:t>Synthesis and Applications of Polymorphic CeO</w:t>
      </w:r>
      <w:r>
        <w:rPr>
          <w:rFonts w:hint="default" w:ascii="Times New Roman" w:hAnsi="Times New Roman" w:eastAsia="Times New Roman" w:cs="Times New Roman"/>
          <w:snapToGrid w:val="0"/>
          <w:color w:val="000000"/>
          <w:kern w:val="0"/>
          <w:sz w:val="24"/>
          <w:szCs w:val="24"/>
          <w:vertAlign w:val="subscript"/>
          <w:lang w:val="en-US" w:eastAsia="ja-JP" w:bidi="en-US"/>
        </w:rPr>
        <w:t>2</w:t>
      </w:r>
      <w:r>
        <w:rPr>
          <w:rFonts w:hint="default" w:ascii="Times New Roman" w:hAnsi="Times New Roman" w:eastAsia="Times New Roman" w:cs="Times New Roman"/>
          <w:snapToGrid w:val="0"/>
          <w:color w:val="000000"/>
          <w:kern w:val="0"/>
          <w:sz w:val="24"/>
          <w:szCs w:val="24"/>
          <w:lang w:val="en-US" w:eastAsia="ja-JP" w:bidi="en-US"/>
        </w:rPr>
        <w:t xml:space="preserve"> and AgI/CeO</w:t>
      </w:r>
      <w:r>
        <w:rPr>
          <w:rFonts w:hint="default" w:ascii="Times New Roman" w:hAnsi="Times New Roman" w:eastAsia="Times New Roman" w:cs="Times New Roman"/>
          <w:snapToGrid w:val="0"/>
          <w:color w:val="000000"/>
          <w:kern w:val="0"/>
          <w:sz w:val="24"/>
          <w:szCs w:val="24"/>
          <w:vertAlign w:val="subscript"/>
          <w:lang w:val="en-US" w:eastAsia="ja-JP" w:bidi="en-US"/>
        </w:rPr>
        <w:t>2</w:t>
      </w:r>
      <w:r>
        <w:rPr>
          <w:rFonts w:hint="default" w:ascii="Times New Roman" w:hAnsi="Times New Roman" w:eastAsia="Times New Roman" w:cs="Times New Roman"/>
          <w:snapToGrid w:val="0"/>
          <w:color w:val="000000"/>
          <w:kern w:val="0"/>
          <w:sz w:val="24"/>
          <w:szCs w:val="24"/>
          <w:lang w:val="en-US" w:eastAsia="ja-JP" w:bidi="en-US"/>
        </w:rPr>
        <w:t xml:space="preserve"> Nanocomposites</w:t>
      </w:r>
      <w:r>
        <w:rPr>
          <w:rFonts w:hint="eastAsia" w:ascii="Times New Roman" w:hAnsi="Times New Roman" w:eastAsia="Times New Roman" w:cs="Times New Roman"/>
          <w:snapToGrid w:val="0"/>
          <w:color w:val="000000"/>
          <w:kern w:val="0"/>
          <w:sz w:val="24"/>
          <w:szCs w:val="24"/>
          <w:lang w:val="en-US" w:eastAsia="zh-CN" w:bidi="en-US"/>
        </w:rPr>
        <w:t xml:space="preserve"> </w:t>
      </w:r>
      <w:r>
        <w:rPr>
          <w:rFonts w:hint="default" w:ascii="Times New Roman" w:hAnsi="Times New Roman" w:eastAsia="Times New Roman" w:cs="Times New Roman"/>
          <w:snapToGrid w:val="0"/>
          <w:color w:val="000000"/>
          <w:kern w:val="0"/>
          <w:sz w:val="24"/>
          <w:szCs w:val="24"/>
          <w:lang w:val="en-US" w:eastAsia="de-DE" w:bidi="en-US"/>
        </w:rPr>
        <w:t>(</w:t>
      </w:r>
      <w:r>
        <w:rPr>
          <w:rFonts w:hint="eastAsia" w:ascii="Times New Roman" w:hAnsi="Times New Roman" w:eastAsia="Times New Roman" w:cs="Times New Roman"/>
          <w:snapToGrid w:val="0"/>
          <w:color w:val="000000"/>
          <w:kern w:val="0"/>
          <w:sz w:val="24"/>
          <w:szCs w:val="24"/>
          <w:lang w:val="en-US" w:eastAsia="zh-CN" w:bidi="en-US"/>
        </w:rPr>
        <w:t>IJME-D-24-00338</w:t>
      </w:r>
      <w:r>
        <w:rPr>
          <w:rFonts w:hint="default" w:ascii="Times New Roman" w:hAnsi="Times New Roman" w:eastAsia="Times New Roman" w:cs="Times New Roman"/>
          <w:snapToGrid w:val="0"/>
          <w:color w:val="000000"/>
          <w:kern w:val="0"/>
          <w:sz w:val="24"/>
          <w:szCs w:val="24"/>
          <w:lang w:val="en-US" w:eastAsia="de-DE" w:bidi="en-US"/>
        </w:rPr>
        <w:t>)” to you for a further review and publication in the journal(Journal of Materials Science: Materials in Engineering). Based on the reviewers’ comments, we have made revisions in a point-to-point manner (see below for details). We hope you will find that the revised manuscript now meets the standards of the journal. (We have set the font color of valuable suggestions you made to blue.Additionally, the contents of the first revision have been highlighted in yellow</w:t>
      </w:r>
      <w:r>
        <w:rPr>
          <w:rFonts w:hint="eastAsia" w:ascii="Times New Roman" w:hAnsi="Times New Roman" w:eastAsia="宋体" w:cs="Times New Roman"/>
          <w:snapToGrid w:val="0"/>
          <w:color w:val="000000"/>
          <w:kern w:val="0"/>
          <w:sz w:val="24"/>
          <w:szCs w:val="24"/>
          <w:lang w:val="en-US" w:eastAsia="zh-CN" w:bidi="en-US"/>
        </w:rPr>
        <w:t xml:space="preserve"> within the manuscript</w:t>
      </w:r>
      <w:r>
        <w:rPr>
          <w:rFonts w:hint="default" w:ascii="Times New Roman" w:hAnsi="Times New Roman" w:eastAsia="Times New Roman" w:cs="Times New Roman"/>
          <w:snapToGrid w:val="0"/>
          <w:color w:val="000000"/>
          <w:kern w:val="0"/>
          <w:sz w:val="24"/>
          <w:szCs w:val="24"/>
          <w:lang w:val="en-US" w:eastAsia="de-DE" w:bidi="en-US"/>
        </w:rPr>
        <w:t>, and the contents of the second revision have been highlighted in blue.)</w:t>
      </w:r>
    </w:p>
    <w:p w14:paraId="29B010EB">
      <w:pPr>
        <w:pStyle w:val="10"/>
        <w:spacing w:line="360" w:lineRule="auto"/>
        <w:jc w:val="both"/>
        <w:rPr>
          <w:rFonts w:ascii="Times New Roman" w:hAnsi="Times New Roman" w:cs="Times New Roman"/>
          <w:b/>
          <w:color w:val="0070C0"/>
          <w:lang w:val="en-US"/>
        </w:rPr>
      </w:pPr>
      <w:r>
        <w:rPr>
          <w:rFonts w:ascii="Times New Roman" w:hAnsi="Times New Roman" w:cs="Times New Roman"/>
          <w:b/>
          <w:color w:val="0070C0"/>
          <w:lang w:val="en-US"/>
        </w:rPr>
        <w:t>Synthesis and Applications of Polymorphic CeO</w:t>
      </w:r>
      <w:r>
        <w:rPr>
          <w:rFonts w:ascii="Times New Roman" w:hAnsi="Times New Roman" w:cs="Times New Roman"/>
          <w:b/>
          <w:color w:val="0070C0"/>
          <w:vertAlign w:val="subscript"/>
          <w:lang w:val="en-US"/>
        </w:rPr>
        <w:t>2</w:t>
      </w:r>
      <w:r>
        <w:rPr>
          <w:rFonts w:ascii="Times New Roman" w:hAnsi="Times New Roman" w:cs="Times New Roman"/>
          <w:b/>
          <w:color w:val="0070C0"/>
          <w:lang w:val="en-US"/>
        </w:rPr>
        <w:t xml:space="preserve"> and AgI/CeO</w:t>
      </w:r>
      <w:r>
        <w:rPr>
          <w:rFonts w:ascii="Times New Roman" w:hAnsi="Times New Roman" w:cs="Times New Roman"/>
          <w:b/>
          <w:color w:val="0070C0"/>
          <w:vertAlign w:val="subscript"/>
          <w:lang w:val="en-US"/>
        </w:rPr>
        <w:t>2</w:t>
      </w:r>
      <w:r>
        <w:rPr>
          <w:rFonts w:ascii="Times New Roman" w:hAnsi="Times New Roman" w:cs="Times New Roman"/>
          <w:b/>
          <w:color w:val="0070C0"/>
          <w:lang w:val="en-US"/>
        </w:rPr>
        <w:t xml:space="preserve"> Nanocomposites</w:t>
      </w:r>
    </w:p>
    <w:p w14:paraId="6285CBA1">
      <w:pPr>
        <w:spacing w:line="360" w:lineRule="auto"/>
        <w:ind w:firstLine="480" w:firstLineChars="200"/>
        <w:jc w:val="both"/>
        <w:rPr>
          <w:rFonts w:ascii="Times New Roman" w:hAnsi="Times New Roman" w:cs="Times New Roman" w:eastAsiaTheme="minorEastAsia"/>
          <w:color w:val="0070C0"/>
          <w:sz w:val="24"/>
          <w:szCs w:val="24"/>
          <w:lang w:val="en-US" w:eastAsia="zh-CN"/>
        </w:rPr>
      </w:pPr>
      <w:r>
        <w:rPr>
          <w:rFonts w:ascii="Times New Roman" w:hAnsi="Times New Roman" w:cs="Times New Roman"/>
          <w:color w:val="0070C0"/>
          <w:sz w:val="24"/>
          <w:szCs w:val="24"/>
          <w:lang w:val="en-US"/>
        </w:rPr>
        <w:t xml:space="preserve">The presented manuscript is again submitted for review after the authors have responded to the comments. Unfortunately, the authors did not take into account the reviewer's </w:t>
      </w:r>
      <w:bookmarkStart w:id="3" w:name="_GoBack"/>
      <w:bookmarkEnd w:id="3"/>
      <w:r>
        <w:rPr>
          <w:rFonts w:ascii="Times New Roman" w:hAnsi="Times New Roman" w:cs="Times New Roman"/>
          <w:color w:val="0070C0"/>
          <w:sz w:val="24"/>
          <w:szCs w:val="24"/>
          <w:lang w:val="en-US"/>
        </w:rPr>
        <w:t xml:space="preserve">comments. It is true that in the cover letter they respond to individual reviewers' comments, and although they declare changes in the manuscript, they are not introduced. </w:t>
      </w:r>
    </w:p>
    <w:p w14:paraId="60F65BF6">
      <w:pPr>
        <w:spacing w:line="360" w:lineRule="auto"/>
        <w:rPr>
          <w:rFonts w:ascii="Times New Roman" w:hAnsi="Times New Roman" w:eastAsiaTheme="minorEastAsia"/>
          <w:color w:val="000000"/>
          <w:sz w:val="24"/>
          <w:szCs w:val="24"/>
          <w:shd w:val="clear" w:color="auto" w:fill="FFFFFF"/>
          <w:lang w:eastAsia="zh-CN"/>
        </w:rPr>
      </w:pPr>
      <w:r>
        <w:rPr>
          <w:rFonts w:ascii="Times New Roman" w:hAnsi="Times New Roman"/>
          <w:b/>
          <w:bCs/>
          <w:color w:val="000000"/>
          <w:sz w:val="24"/>
          <w:szCs w:val="24"/>
          <w:shd w:val="clear" w:color="auto" w:fill="FFFFFF"/>
        </w:rPr>
        <w:t xml:space="preserve">Response: </w:t>
      </w:r>
      <w:r>
        <w:rPr>
          <w:rFonts w:ascii="Times New Roman" w:hAnsi="Times New Roman"/>
          <w:color w:val="000000"/>
          <w:sz w:val="24"/>
          <w:szCs w:val="24"/>
          <w:shd w:val="clear" w:color="auto" w:fill="FFFFFF"/>
        </w:rPr>
        <w:t>Thank you for your valuable suggestion on our manuscript, We made the peer-to-peer changes as you suggested, and hope you can accept it.</w:t>
      </w:r>
    </w:p>
    <w:p w14:paraId="41E1CB89">
      <w:pPr>
        <w:pStyle w:val="9"/>
        <w:numPr>
          <w:ilvl w:val="0"/>
          <w:numId w:val="0"/>
        </w:numPr>
        <w:spacing w:line="360" w:lineRule="auto"/>
        <w:ind w:leftChars="0"/>
        <w:jc w:val="both"/>
        <w:rPr>
          <w:rFonts w:ascii="Times New Roman" w:hAnsi="Times New Roman" w:cs="Times New Roman" w:eastAsiaTheme="minorEastAsia"/>
          <w:color w:val="0070C0"/>
          <w:sz w:val="24"/>
          <w:szCs w:val="24"/>
          <w:lang w:val="en-US" w:eastAsia="zh-CN"/>
        </w:rPr>
      </w:pPr>
      <w:r>
        <w:rPr>
          <w:rFonts w:hint="eastAsia" w:ascii="Times New Roman" w:hAnsi="Times New Roman" w:eastAsia="宋体" w:cs="Times New Roman"/>
          <w:color w:val="0070C0"/>
          <w:sz w:val="24"/>
          <w:szCs w:val="24"/>
          <w:lang w:val="en-US" w:eastAsia="zh-CN"/>
        </w:rPr>
        <w:t>1、</w:t>
      </w:r>
      <w:r>
        <w:rPr>
          <w:rFonts w:ascii="Times New Roman" w:hAnsi="Times New Roman" w:cs="Times New Roman"/>
          <w:color w:val="0070C0"/>
          <w:sz w:val="24"/>
          <w:szCs w:val="24"/>
          <w:lang w:val="en-US"/>
        </w:rPr>
        <w:t xml:space="preserve">There is still inconsistency in the naming of synthesized nanocomposites. In subsection </w:t>
      </w:r>
      <w:r>
        <w:rPr>
          <w:rFonts w:ascii="Times New Roman" w:hAnsi="Times New Roman" w:cs="Times New Roman"/>
          <w:iCs/>
          <w:color w:val="0070C0"/>
          <w:sz w:val="24"/>
          <w:szCs w:val="24"/>
          <w:lang w:val="en-US"/>
        </w:rPr>
        <w:t>Synthesis of flower-like CeO</w:t>
      </w:r>
      <w:r>
        <w:rPr>
          <w:rFonts w:ascii="Times New Roman" w:hAnsi="Times New Roman" w:cs="Times New Roman"/>
          <w:iCs/>
          <w:color w:val="0070C0"/>
          <w:sz w:val="24"/>
          <w:szCs w:val="24"/>
          <w:vertAlign w:val="subscript"/>
          <w:lang w:val="en-US"/>
        </w:rPr>
        <w:t>2</w:t>
      </w:r>
      <w:r>
        <w:rPr>
          <w:rFonts w:ascii="Times New Roman" w:hAnsi="Times New Roman" w:cs="Times New Roman"/>
          <w:iCs/>
          <w:color w:val="0070C0"/>
          <w:sz w:val="24"/>
          <w:szCs w:val="24"/>
          <w:lang w:val="en-US"/>
        </w:rPr>
        <w:t>/AgI composites</w:t>
      </w:r>
      <w:r>
        <w:rPr>
          <w:rFonts w:ascii="Times New Roman" w:hAnsi="Times New Roman" w:cs="Times New Roman"/>
          <w:color w:val="0070C0"/>
          <w:sz w:val="24"/>
          <w:szCs w:val="24"/>
          <w:lang w:val="en-US"/>
        </w:rPr>
        <w:t xml:space="preserve"> the samples are named as: e.g. 20%-CeO</w:t>
      </w:r>
      <w:r>
        <w:rPr>
          <w:rFonts w:ascii="Times New Roman" w:hAnsi="Times New Roman" w:cs="Times New Roman"/>
          <w:color w:val="0070C0"/>
          <w:sz w:val="24"/>
          <w:szCs w:val="24"/>
          <w:vertAlign w:val="subscript"/>
          <w:lang w:val="en-US"/>
        </w:rPr>
        <w:t>2</w:t>
      </w:r>
      <w:r>
        <w:rPr>
          <w:rFonts w:ascii="Times New Roman" w:hAnsi="Times New Roman" w:cs="Times New Roman"/>
          <w:color w:val="0070C0"/>
          <w:sz w:val="24"/>
          <w:szCs w:val="24"/>
          <w:lang w:val="en-US"/>
        </w:rPr>
        <w:t xml:space="preserve">/AgI while in chapter </w:t>
      </w:r>
      <w:r>
        <w:rPr>
          <w:rFonts w:ascii="Times New Roman" w:hAnsi="Times New Roman" w:cs="Times New Roman"/>
          <w:iCs/>
          <w:color w:val="0070C0"/>
          <w:sz w:val="24"/>
          <w:szCs w:val="24"/>
          <w:lang w:val="en-US"/>
        </w:rPr>
        <w:t>Photocatalytic performance analysis</w:t>
      </w:r>
      <w:r>
        <w:rPr>
          <w:rFonts w:ascii="Times New Roman" w:hAnsi="Times New Roman" w:cs="Times New Roman"/>
          <w:color w:val="0070C0"/>
          <w:sz w:val="24"/>
          <w:szCs w:val="24"/>
          <w:lang w:val="en-US"/>
        </w:rPr>
        <w:t xml:space="preserve"> they are given as e.g. 20%-AgI/CeO</w:t>
      </w:r>
      <w:r>
        <w:rPr>
          <w:rFonts w:ascii="Times New Roman" w:hAnsi="Times New Roman" w:cs="Times New Roman"/>
          <w:color w:val="0070C0"/>
          <w:sz w:val="24"/>
          <w:szCs w:val="24"/>
          <w:vertAlign w:val="subscript"/>
          <w:lang w:val="en-US"/>
        </w:rPr>
        <w:t>2</w:t>
      </w:r>
      <w:r>
        <w:rPr>
          <w:rFonts w:ascii="Times New Roman" w:hAnsi="Times New Roman" w:cs="Times New Roman"/>
          <w:color w:val="0070C0"/>
          <w:sz w:val="24"/>
          <w:szCs w:val="24"/>
          <w:lang w:val="en-US"/>
        </w:rPr>
        <w:t>. Changing the names of described samples introduces unnecessary chaos.</w:t>
      </w:r>
    </w:p>
    <w:p w14:paraId="26CA3ACF">
      <w:pPr>
        <w:spacing w:line="360" w:lineRule="auto"/>
        <w:jc w:val="both"/>
        <w:rPr>
          <w:rFonts w:ascii="Times New Roman" w:hAnsi="Times New Roman" w:eastAsia="宋体" w:cs="Times New Roman"/>
          <w:color w:val="000000"/>
          <w:kern w:val="2"/>
          <w:sz w:val="24"/>
          <w:szCs w:val="24"/>
          <w:shd w:val="clear" w:color="auto" w:fill="FFFFFF"/>
          <w:lang w:val="en-US" w:eastAsia="zh-CN"/>
        </w:rPr>
      </w:pPr>
      <w:r>
        <w:rPr>
          <w:rFonts w:ascii="Times New Roman" w:hAnsi="Times New Roman" w:eastAsia="宋体" w:cs="Times New Roman"/>
          <w:b/>
          <w:bCs/>
          <w:color w:val="000000"/>
          <w:kern w:val="2"/>
          <w:sz w:val="24"/>
          <w:szCs w:val="24"/>
          <w:shd w:val="clear" w:color="auto" w:fill="FFFFFF"/>
          <w:lang w:val="en-US" w:eastAsia="zh-CN"/>
        </w:rPr>
        <w:t xml:space="preserve">Response: </w:t>
      </w:r>
      <w:r>
        <w:rPr>
          <w:rFonts w:ascii="Times New Roman" w:hAnsi="Times New Roman" w:eastAsia="宋体" w:cs="Times New Roman"/>
          <w:color w:val="000000"/>
          <w:kern w:val="2"/>
          <w:sz w:val="24"/>
          <w:szCs w:val="24"/>
          <w:shd w:val="clear" w:color="auto" w:fill="FFFFFF"/>
          <w:lang w:val="en-US" w:eastAsia="zh-CN"/>
        </w:rPr>
        <w:t>Thank you for your comment.</w:t>
      </w:r>
      <w:r>
        <w:rPr>
          <w:rFonts w:hint="eastAsia" w:ascii="Times New Roman" w:hAnsi="Times New Roman" w:eastAsia="宋体" w:cs="Times New Roman"/>
          <w:color w:val="000000"/>
          <w:kern w:val="2"/>
          <w:sz w:val="24"/>
          <w:szCs w:val="24"/>
          <w:shd w:val="clear" w:color="auto" w:fill="FFFFFF"/>
          <w:lang w:val="en-US" w:eastAsia="zh-CN"/>
        </w:rPr>
        <w:t xml:space="preserve"> </w:t>
      </w:r>
      <w:r>
        <w:rPr>
          <w:rFonts w:ascii="Times New Roman" w:hAnsi="Times New Roman" w:eastAsia="宋体" w:cs="Times New Roman"/>
          <w:color w:val="000000"/>
          <w:kern w:val="2"/>
          <w:sz w:val="24"/>
          <w:szCs w:val="24"/>
          <w:shd w:val="clear" w:color="auto" w:fill="FFFFFF"/>
          <w:lang w:val="en-US" w:eastAsia="zh-CN"/>
        </w:rPr>
        <w:t>We have harmonized the original text with the name AgI/CeO</w:t>
      </w:r>
      <w:r>
        <w:rPr>
          <w:rFonts w:ascii="Times New Roman" w:hAnsi="Times New Roman" w:eastAsia="宋体" w:cs="Times New Roman"/>
          <w:color w:val="000000"/>
          <w:kern w:val="2"/>
          <w:sz w:val="24"/>
          <w:szCs w:val="24"/>
          <w:shd w:val="clear" w:color="auto" w:fill="FFFFFF"/>
          <w:vertAlign w:val="subscript"/>
          <w:lang w:val="en-US" w:eastAsia="zh-CN"/>
        </w:rPr>
        <w:t>2</w:t>
      </w:r>
      <w:r>
        <w:rPr>
          <w:rFonts w:hint="eastAsia" w:ascii="Times New Roman" w:hAnsi="Times New Roman" w:eastAsia="宋体" w:cs="Times New Roman"/>
          <w:color w:val="000000"/>
          <w:kern w:val="2"/>
          <w:sz w:val="24"/>
          <w:szCs w:val="24"/>
          <w:shd w:val="clear" w:color="auto" w:fill="FFFFFF"/>
          <w:lang w:val="en-US" w:eastAsia="zh-CN"/>
        </w:rPr>
        <w:t>.</w:t>
      </w:r>
    </w:p>
    <w:p w14:paraId="0E4A1DC4">
      <w:pPr>
        <w:pStyle w:val="9"/>
        <w:numPr>
          <w:ilvl w:val="0"/>
          <w:numId w:val="0"/>
        </w:numPr>
        <w:spacing w:line="360" w:lineRule="auto"/>
        <w:ind w:leftChars="0"/>
        <w:jc w:val="both"/>
        <w:rPr>
          <w:rFonts w:ascii="Times New Roman" w:hAnsi="Times New Roman" w:cs="Times New Roman" w:eastAsiaTheme="minorEastAsia"/>
          <w:color w:val="0070C0"/>
          <w:sz w:val="24"/>
          <w:szCs w:val="24"/>
          <w:lang w:val="en-US" w:eastAsia="zh-CN"/>
        </w:rPr>
      </w:pPr>
      <w:r>
        <w:rPr>
          <w:rFonts w:hint="eastAsia" w:ascii="Times New Roman" w:hAnsi="Times New Roman" w:eastAsia="宋体" w:cs="Times New Roman"/>
          <w:color w:val="0070C0"/>
          <w:sz w:val="24"/>
          <w:szCs w:val="24"/>
          <w:lang w:val="en-US" w:eastAsia="zh-CN"/>
        </w:rPr>
        <w:t>2、</w:t>
      </w:r>
      <w:r>
        <w:rPr>
          <w:rFonts w:ascii="Times New Roman" w:hAnsi="Times New Roman" w:cs="Times New Roman"/>
          <w:color w:val="0070C0"/>
          <w:sz w:val="24"/>
          <w:szCs w:val="24"/>
          <w:lang w:val="en-US"/>
        </w:rPr>
        <w:t>The XRD figures have not been enlarged so are still difficult to verify.</w:t>
      </w:r>
    </w:p>
    <w:p w14:paraId="516704F4">
      <w:pPr>
        <w:spacing w:line="360" w:lineRule="auto"/>
        <w:rPr>
          <w:rFonts w:ascii="Times New Roman" w:hAnsi="Times New Roman" w:eastAsia="宋体" w:cs="Times New Roman"/>
          <w:color w:val="000000"/>
          <w:kern w:val="2"/>
          <w:sz w:val="24"/>
          <w:szCs w:val="24"/>
          <w:shd w:val="clear" w:color="auto" w:fill="FFFFFF"/>
          <w:lang w:val="en-US" w:eastAsia="zh-CN"/>
        </w:rPr>
      </w:pPr>
      <w:r>
        <w:rPr>
          <w:rFonts w:ascii="Times New Roman" w:hAnsi="Times New Roman" w:eastAsia="宋体" w:cs="Times New Roman"/>
          <w:b/>
          <w:bCs/>
          <w:color w:val="000000"/>
          <w:kern w:val="2"/>
          <w:sz w:val="24"/>
          <w:szCs w:val="24"/>
          <w:shd w:val="clear" w:color="auto" w:fill="FFFFFF"/>
          <w:lang w:val="en-US" w:eastAsia="zh-CN"/>
        </w:rPr>
        <w:t xml:space="preserve">Response: </w:t>
      </w:r>
      <w:r>
        <w:rPr>
          <w:rFonts w:ascii="Times New Roman" w:hAnsi="Times New Roman" w:eastAsia="宋体" w:cs="Times New Roman"/>
          <w:color w:val="000000"/>
          <w:kern w:val="2"/>
          <w:sz w:val="24"/>
          <w:szCs w:val="24"/>
          <w:shd w:val="clear" w:color="auto" w:fill="FFFFFF"/>
          <w:lang w:val="en-US" w:eastAsia="zh-CN"/>
        </w:rPr>
        <w:t>Thank you for this valuable feedback.</w:t>
      </w:r>
      <w:r>
        <w:rPr>
          <w:rFonts w:hint="eastAsia" w:ascii="Times New Roman" w:hAnsi="Times New Roman" w:eastAsia="宋体" w:cs="Times New Roman"/>
          <w:color w:val="000000"/>
          <w:kern w:val="2"/>
          <w:sz w:val="24"/>
          <w:szCs w:val="24"/>
          <w:shd w:val="clear" w:color="auto" w:fill="FFFFFF"/>
          <w:lang w:val="en-US" w:eastAsia="zh-CN"/>
        </w:rPr>
        <w:t xml:space="preserve"> </w:t>
      </w:r>
      <w:r>
        <w:rPr>
          <w:rFonts w:ascii="Times New Roman" w:hAnsi="Times New Roman" w:eastAsia="宋体" w:cs="Times New Roman"/>
          <w:color w:val="000000"/>
          <w:kern w:val="2"/>
          <w:sz w:val="24"/>
          <w:szCs w:val="24"/>
          <w:shd w:val="clear" w:color="auto" w:fill="FFFFFF"/>
          <w:lang w:val="en-US" w:eastAsia="zh-CN"/>
        </w:rPr>
        <w:t>We zoomed in on the XRD graphs.</w:t>
      </w:r>
    </w:p>
    <w:p w14:paraId="0CB517F5">
      <w:pPr>
        <w:spacing w:line="360" w:lineRule="auto"/>
        <w:rPr>
          <w:rFonts w:ascii="Times New Roman" w:hAnsi="Times New Roman" w:eastAsia="宋体" w:cs="Times New Roman"/>
          <w:color w:val="000000"/>
          <w:kern w:val="2"/>
          <w:sz w:val="21"/>
          <w:szCs w:val="21"/>
          <w:shd w:val="clear" w:color="auto" w:fill="FFFFFF"/>
          <w:lang w:val="en-US" w:eastAsia="zh-CN"/>
        </w:rPr>
      </w:pPr>
      <w:bookmarkStart w:id="0" w:name="_Hlk193043440"/>
      <w:r>
        <w:rPr>
          <w:rFonts w:hint="eastAsia"/>
        </w:rPr>
        <w:object>
          <v:shape id="_x0000_i1025" o:spt="75" type="#_x0000_t75" style="height:148.55pt;width:446.9pt;" o:ole="t" filled="f" o:preferrelative="t" stroked="f" coordsize="21600,21600">
            <v:path/>
            <v:fill on="f" focussize="0,0"/>
            <v:stroke on="f" joinstyle="miter"/>
            <v:imagedata r:id="rId7" cropleft="6724f" croptop="13461f" cropright="6474f" cropbottom="29366f" o:title=""/>
            <o:lock v:ext="edit" aspectratio="t"/>
            <w10:wrap type="none"/>
            <w10:anchorlock/>
          </v:shape>
          <o:OLEObject Type="Embed" ProgID="Origin95.Graph" ShapeID="_x0000_i1025" DrawAspect="Content" ObjectID="_1468075725" r:id="rId6">
            <o:LockedField>false</o:LockedField>
          </o:OLEObject>
        </w:object>
      </w:r>
      <w:bookmarkEnd w:id="0"/>
    </w:p>
    <w:p w14:paraId="394AF069">
      <w:pPr>
        <w:spacing w:line="360" w:lineRule="auto"/>
        <w:rPr>
          <w:rFonts w:eastAsiaTheme="minorEastAsia"/>
          <w:lang w:eastAsia="zh-CN"/>
        </w:rPr>
      </w:pPr>
      <w:r>
        <w:rPr>
          <w:rFonts w:hint="eastAsia"/>
        </w:rPr>
        <w:object>
          <v:shape id="_x0000_i1026" o:spt="75" type="#_x0000_t75" style="height:141.2pt;width:146.85pt;" o:ole="t" filled="f" o:preferrelative="t" stroked="f" coordsize="21600,21600">
            <v:path/>
            <v:fill on="f" focussize="0,0"/>
            <v:stroke on="f"/>
            <v:imagedata r:id="rId9" o:title=""/>
            <o:lock v:ext="edit" aspectratio="t"/>
            <w10:wrap type="none"/>
            <w10:anchorlock/>
          </v:shape>
          <o:OLEObject Type="Embed" ProgID="Origin50.Graph" ShapeID="_x0000_i1026" DrawAspect="Content" ObjectID="_1468075726" r:id="rId8">
            <o:LockedField>false</o:LockedField>
          </o:OLEObject>
        </w:object>
      </w:r>
      <w:r>
        <w:rPr>
          <w:rFonts w:hint="eastAsia"/>
        </w:rPr>
        <w:object>
          <v:shape id="_x0000_i1027" o:spt="75" type="#_x0000_t75" style="height:141.15pt;width:154.05pt;" o:ole="t" filled="f" o:preferrelative="t" stroked="f" coordsize="21600,21600">
            <v:path/>
            <v:fill on="f" focussize="0,0"/>
            <v:stroke on="f"/>
            <v:imagedata r:id="rId11" o:title=""/>
            <o:lock v:ext="edit" aspectratio="t"/>
            <w10:wrap type="none"/>
            <w10:anchorlock/>
          </v:shape>
          <o:OLEObject Type="Embed" ProgID="Origin95.Graph" ShapeID="_x0000_i1027" DrawAspect="Content" ObjectID="_1468075727" r:id="rId10">
            <o:LockedField>false</o:LockedField>
          </o:OLEObject>
        </w:object>
      </w:r>
      <w:r>
        <w:rPr>
          <w:rFonts w:hint="eastAsia"/>
        </w:rPr>
        <w:object>
          <v:shape id="_x0000_i1028" o:spt="75" type="#_x0000_t75" style="height:145.4pt;width:152.4pt;" o:ole="t" filled="f" o:preferrelative="t" stroked="f" coordsize="21600,21600">
            <v:path/>
            <v:fill on="f" focussize="0,0"/>
            <v:stroke on="f"/>
            <v:imagedata r:id="rId13" o:title=""/>
            <o:lock v:ext="edit" aspectratio="t"/>
            <w10:wrap type="none"/>
            <w10:anchorlock/>
          </v:shape>
          <o:OLEObject Type="Embed" ProgID="Origin95.Graph" ShapeID="_x0000_i1028" DrawAspect="Content" ObjectID="_1468075728" r:id="rId12">
            <o:LockedField>false</o:LockedField>
          </o:OLEObject>
        </w:object>
      </w:r>
    </w:p>
    <w:p w14:paraId="4C649742">
      <w:pPr>
        <w:pStyle w:val="9"/>
        <w:numPr>
          <w:ilvl w:val="0"/>
          <w:numId w:val="0"/>
        </w:numPr>
        <w:spacing w:line="360" w:lineRule="auto"/>
        <w:ind w:leftChars="0"/>
        <w:jc w:val="both"/>
        <w:rPr>
          <w:rFonts w:ascii="Times New Roman" w:hAnsi="Times New Roman" w:cs="Times New Roman" w:eastAsiaTheme="minorEastAsia"/>
          <w:color w:val="0070C0"/>
          <w:sz w:val="24"/>
          <w:szCs w:val="24"/>
          <w:lang w:val="en-US" w:eastAsia="zh-CN"/>
        </w:rPr>
      </w:pPr>
      <w:r>
        <w:rPr>
          <w:rFonts w:hint="eastAsia" w:ascii="Times New Roman" w:hAnsi="Times New Roman" w:eastAsia="宋体" w:cs="Times New Roman"/>
          <w:color w:val="0070C0"/>
          <w:sz w:val="24"/>
          <w:szCs w:val="24"/>
          <w:lang w:val="en-US" w:eastAsia="zh-CN"/>
        </w:rPr>
        <w:t>3、</w:t>
      </w:r>
      <w:r>
        <w:rPr>
          <w:rFonts w:ascii="Times New Roman" w:hAnsi="Times New Roman" w:cs="Times New Roman"/>
          <w:color w:val="0070C0"/>
          <w:sz w:val="24"/>
          <w:szCs w:val="24"/>
          <w:lang w:val="en-US"/>
        </w:rPr>
        <w:t xml:space="preserve">In subsection </w:t>
      </w:r>
      <w:r>
        <w:rPr>
          <w:rFonts w:ascii="Times New Roman" w:hAnsi="Times New Roman" w:cs="Times New Roman"/>
          <w:iCs/>
          <w:color w:val="0070C0"/>
          <w:sz w:val="24"/>
          <w:szCs w:val="24"/>
          <w:lang w:val="en-US"/>
        </w:rPr>
        <w:t>UV-vis characterisation</w:t>
      </w:r>
      <w:r>
        <w:rPr>
          <w:rFonts w:ascii="Times New Roman" w:hAnsi="Times New Roman" w:cs="Times New Roman"/>
          <w:color w:val="0070C0"/>
          <w:sz w:val="24"/>
          <w:szCs w:val="24"/>
          <w:lang w:val="en-US"/>
        </w:rPr>
        <w:t xml:space="preserve"> the authors mark the energy gap of the phases obtained by the Kubelka-Munk method. Unfortunately, the entire manuscript does not contain a description of the method. Should the reader guess? In this chapter the authors have included Figure 6, which consists of two parts a and b. The description provided concerns only Figure 6a, part b is omitted. Figure 6b also requires a comment.</w:t>
      </w:r>
    </w:p>
    <w:p w14:paraId="65872092">
      <w:pPr>
        <w:spacing w:line="360" w:lineRule="auto"/>
        <w:rPr>
          <w:rFonts w:ascii="Times New Roman" w:hAnsi="Times New Roman" w:eastAsia="宋体" w:cs="Times New Roman"/>
          <w:color w:val="000000"/>
          <w:kern w:val="2"/>
          <w:sz w:val="24"/>
          <w:szCs w:val="24"/>
          <w:shd w:val="clear" w:color="auto" w:fill="FFFFFF"/>
          <w:lang w:val="en-US" w:eastAsia="zh-CN"/>
        </w:rPr>
      </w:pPr>
      <w:r>
        <w:rPr>
          <w:rFonts w:ascii="Times New Roman" w:hAnsi="Times New Roman" w:eastAsia="宋体" w:cs="Times New Roman"/>
          <w:b/>
          <w:bCs/>
          <w:color w:val="000000"/>
          <w:kern w:val="2"/>
          <w:sz w:val="24"/>
          <w:szCs w:val="24"/>
          <w:shd w:val="clear" w:color="auto" w:fill="FFFFFF"/>
          <w:lang w:val="en-US" w:eastAsia="zh-CN"/>
        </w:rPr>
        <w:t xml:space="preserve">Response: </w:t>
      </w:r>
      <w:r>
        <w:rPr>
          <w:rFonts w:ascii="Times New Roman" w:hAnsi="Times New Roman" w:eastAsia="宋体" w:cs="Times New Roman"/>
          <w:color w:val="000000"/>
          <w:kern w:val="2"/>
          <w:sz w:val="24"/>
          <w:szCs w:val="24"/>
          <w:shd w:val="clear" w:color="auto" w:fill="FFFFFF"/>
          <w:lang w:val="en-US" w:eastAsia="zh-CN"/>
        </w:rPr>
        <w:t>Thank you for your valuable suggestions. We have reworked this section.</w:t>
      </w:r>
    </w:p>
    <w:p w14:paraId="1B9FF5AE">
      <w:pPr>
        <w:pStyle w:val="2"/>
        <w:spacing w:line="360" w:lineRule="auto"/>
        <w:ind w:firstLine="480" w:firstLineChars="200"/>
        <w:rPr>
          <w:color w:val="000000" w:themeColor="text1"/>
          <w:sz w:val="24"/>
          <w14:textFill>
            <w14:solidFill>
              <w14:schemeClr w14:val="tx1"/>
            </w14:solidFill>
          </w14:textFill>
        </w:rPr>
      </w:pPr>
      <w:bookmarkStart w:id="1" w:name="OLE_LINK28"/>
      <w:r>
        <w:rPr>
          <w:color w:val="000000" w:themeColor="text1"/>
          <w:sz w:val="24"/>
          <w14:textFill>
            <w14:solidFill>
              <w14:schemeClr w14:val="tx1"/>
            </w14:solidFill>
          </w14:textFill>
        </w:rPr>
        <w:t>Based on the UV diffuse reflectance test results, the energy band positions of AgI, CeO</w:t>
      </w:r>
      <w:r>
        <w:rPr>
          <w:color w:val="000000" w:themeColor="text1"/>
          <w:sz w:val="24"/>
          <w:vertAlign w:val="subscript"/>
          <w14:textFill>
            <w14:solidFill>
              <w14:schemeClr w14:val="tx1"/>
            </w14:solidFill>
          </w14:textFill>
        </w:rPr>
        <w:t>2</w:t>
      </w:r>
      <w:r>
        <w:rPr>
          <w:color w:val="000000" w:themeColor="text1"/>
          <w:sz w:val="24"/>
          <w14:textFill>
            <w14:solidFill>
              <w14:schemeClr w14:val="tx1"/>
            </w14:solidFill>
          </w14:textFill>
        </w:rPr>
        <w:t xml:space="preserve"> and AgI/CeO</w:t>
      </w:r>
      <w:r>
        <w:rPr>
          <w:color w:val="000000" w:themeColor="text1"/>
          <w:sz w:val="24"/>
          <w:vertAlign w:val="subscript"/>
          <w14:textFill>
            <w14:solidFill>
              <w14:schemeClr w14:val="tx1"/>
            </w14:solidFill>
          </w14:textFill>
        </w:rPr>
        <w:t>2</w:t>
      </w:r>
      <w:r>
        <w:rPr>
          <w:color w:val="000000" w:themeColor="text1"/>
          <w:sz w:val="24"/>
          <w14:textFill>
            <w14:solidFill>
              <w14:schemeClr w14:val="tx1"/>
            </w14:solidFill>
          </w14:textFill>
        </w:rPr>
        <w:t xml:space="preserve"> nanocomposite catalysts can be calculated by the following equations:</w:t>
      </w:r>
    </w:p>
    <w:bookmarkEnd w:id="1"/>
    <w:p w14:paraId="62A0CB6E">
      <w:pPr>
        <w:pStyle w:val="2"/>
        <w:spacing w:line="360" w:lineRule="auto"/>
        <w:jc w:val="center"/>
        <w:rPr>
          <w:color w:val="000000" w:themeColor="text1"/>
          <w:sz w:val="24"/>
          <w14:textFill>
            <w14:solidFill>
              <w14:schemeClr w14:val="tx1"/>
            </w14:solidFill>
          </w14:textFill>
        </w:rPr>
      </w:pPr>
      <m:oMath>
        <m:sSub>
          <m:sSubPr>
            <m:ctrlPr>
              <w:rPr>
                <w:rFonts w:ascii="Cambria Math" w:hAnsi="Cambria Math"/>
                <w:i/>
                <w:color w:val="000000" w:themeColor="text1"/>
                <w:sz w:val="24"/>
                <w14:textFill>
                  <w14:solidFill>
                    <w14:schemeClr w14:val="tx1"/>
                  </w14:solidFill>
                </w14:textFill>
              </w:rPr>
            </m:ctrlPr>
          </m:sSubPr>
          <m:e>
            <m:r>
              <m:rPr/>
              <w:rPr>
                <w:rFonts w:ascii="Cambria Math"/>
                <w:color w:val="000000" w:themeColor="text1"/>
                <w:sz w:val="24"/>
                <w14:textFill>
                  <w14:solidFill>
                    <w14:schemeClr w14:val="tx1"/>
                  </w14:solidFill>
                </w14:textFill>
              </w:rPr>
              <m:t>E</m:t>
            </m:r>
            <m:ctrlPr>
              <w:rPr>
                <w:rFonts w:ascii="Cambria Math" w:hAnsi="Cambria Math"/>
                <w:i/>
                <w:color w:val="000000" w:themeColor="text1"/>
                <w:sz w:val="24"/>
                <w14:textFill>
                  <w14:solidFill>
                    <w14:schemeClr w14:val="tx1"/>
                  </w14:solidFill>
                </w14:textFill>
              </w:rPr>
            </m:ctrlPr>
          </m:e>
          <m:sub>
            <m:r>
              <m:rPr/>
              <w:rPr>
                <w:rFonts w:ascii="Cambria Math"/>
                <w:color w:val="000000" w:themeColor="text1"/>
                <w:sz w:val="24"/>
                <w14:textFill>
                  <w14:solidFill>
                    <w14:schemeClr w14:val="tx1"/>
                  </w14:solidFill>
                </w14:textFill>
              </w:rPr>
              <m:t>CB</m:t>
            </m:r>
            <m:ctrlPr>
              <w:rPr>
                <w:rFonts w:ascii="Cambria Math" w:hAnsi="Cambria Math"/>
                <w:i/>
                <w:color w:val="000000" w:themeColor="text1"/>
                <w:sz w:val="24"/>
                <w14:textFill>
                  <w14:solidFill>
                    <w14:schemeClr w14:val="tx1"/>
                  </w14:solidFill>
                </w14:textFill>
              </w:rPr>
            </m:ctrlPr>
          </m:sub>
        </m:sSub>
        <m:r>
          <m:rPr/>
          <w:rPr>
            <w:rFonts w:ascii="Cambria Math"/>
            <w:color w:val="000000" w:themeColor="text1"/>
            <w:sz w:val="24"/>
            <w14:textFill>
              <w14:solidFill>
                <w14:schemeClr w14:val="tx1"/>
              </w14:solidFill>
            </w14:textFill>
          </w:rPr>
          <m:t xml:space="preserve">=χ−Ee−0.5Eg    </m:t>
        </m:r>
      </m:oMath>
      <w:r>
        <w:rPr>
          <w:rFonts w:hint="eastAsia"/>
          <w:color w:val="000000" w:themeColor="text1"/>
          <w:sz w:val="24"/>
          <w14:textFill>
            <w14:solidFill>
              <w14:schemeClr w14:val="tx1"/>
            </w14:solidFill>
          </w14:textFill>
        </w:rPr>
        <w:t>(2)</w:t>
      </w:r>
      <m:oMath>
        <m:r>
          <m:rPr>
            <m:sty m:val="p"/>
          </m:rPr>
          <w:rPr>
            <w:rFonts w:ascii="Cambria Math"/>
            <w:color w:val="000000" w:themeColor="text1"/>
            <w:sz w:val="24"/>
            <w14:textFill>
              <w14:solidFill>
                <w14:schemeClr w14:val="tx1"/>
              </w14:solidFill>
            </w14:textFill>
          </w:rPr>
          <w:br w:type="textWrapping"/>
        </m:r>
      </m:oMath>
      <m:oMathPara>
        <m:oMath>
          <m:sSub>
            <m:sSubPr>
              <m:ctrlPr>
                <w:rPr>
                  <w:rFonts w:ascii="Cambria Math" w:hAnsi="Cambria Math"/>
                  <w:i/>
                  <w:color w:val="000000" w:themeColor="text1"/>
                  <w:sz w:val="24"/>
                  <w14:textFill>
                    <w14:solidFill>
                      <w14:schemeClr w14:val="tx1"/>
                    </w14:solidFill>
                  </w14:textFill>
                </w:rPr>
              </m:ctrlPr>
            </m:sSubPr>
            <m:e>
              <m:r>
                <m:rPr/>
                <w:rPr>
                  <w:rFonts w:ascii="Cambria Math"/>
                  <w:color w:val="000000" w:themeColor="text1"/>
                  <w:sz w:val="24"/>
                  <w14:textFill>
                    <w14:solidFill>
                      <w14:schemeClr w14:val="tx1"/>
                    </w14:solidFill>
                  </w14:textFill>
                </w:rPr>
                <m:t>E</m:t>
              </m:r>
              <m:ctrlPr>
                <w:rPr>
                  <w:rFonts w:ascii="Cambria Math" w:hAnsi="Cambria Math"/>
                  <w:i/>
                  <w:color w:val="000000" w:themeColor="text1"/>
                  <w:sz w:val="24"/>
                  <w14:textFill>
                    <w14:solidFill>
                      <w14:schemeClr w14:val="tx1"/>
                    </w14:solidFill>
                  </w14:textFill>
                </w:rPr>
              </m:ctrlPr>
            </m:e>
            <m:sub>
              <m:r>
                <m:rPr/>
                <w:rPr>
                  <w:rFonts w:ascii="Cambria Math"/>
                  <w:color w:val="000000" w:themeColor="text1"/>
                  <w:sz w:val="24"/>
                  <w14:textFill>
                    <w14:solidFill>
                      <w14:schemeClr w14:val="tx1"/>
                    </w14:solidFill>
                  </w14:textFill>
                </w:rPr>
                <m:t>VB</m:t>
              </m:r>
              <m:ctrlPr>
                <w:rPr>
                  <w:rFonts w:ascii="Cambria Math" w:hAnsi="Cambria Math"/>
                  <w:i/>
                  <w:color w:val="000000" w:themeColor="text1"/>
                  <w:sz w:val="24"/>
                  <w14:textFill>
                    <w14:solidFill>
                      <w14:schemeClr w14:val="tx1"/>
                    </w14:solidFill>
                  </w14:textFill>
                </w:rPr>
              </m:ctrlPr>
            </m:sub>
          </m:sSub>
          <m:r>
            <m:rPr/>
            <w:rPr>
              <w:rFonts w:ascii="Cambria Math"/>
              <w:color w:val="000000" w:themeColor="text1"/>
              <w:sz w:val="24"/>
              <w14:textFill>
                <w14:solidFill>
                  <w14:schemeClr w14:val="tx1"/>
                </w14:solidFill>
              </w14:textFill>
            </w:rPr>
            <m:t>=</m:t>
          </m:r>
          <m:sSub>
            <m:sSubPr>
              <m:ctrlPr>
                <w:rPr>
                  <w:rFonts w:ascii="Cambria Math" w:hAnsi="Cambria Math"/>
                  <w:i/>
                  <w:color w:val="000000" w:themeColor="text1"/>
                  <w:sz w:val="24"/>
                  <w14:textFill>
                    <w14:solidFill>
                      <w14:schemeClr w14:val="tx1"/>
                    </w14:solidFill>
                  </w14:textFill>
                </w:rPr>
              </m:ctrlPr>
            </m:sSubPr>
            <m:e>
              <m:r>
                <m:rPr/>
                <w:rPr>
                  <w:rFonts w:ascii="Cambria Math"/>
                  <w:color w:val="000000" w:themeColor="text1"/>
                  <w:sz w:val="24"/>
                  <w14:textFill>
                    <w14:solidFill>
                      <w14:schemeClr w14:val="tx1"/>
                    </w14:solidFill>
                  </w14:textFill>
                </w:rPr>
                <m:t>E</m:t>
              </m:r>
              <m:ctrlPr>
                <w:rPr>
                  <w:rFonts w:ascii="Cambria Math" w:hAnsi="Cambria Math"/>
                  <w:i/>
                  <w:color w:val="000000" w:themeColor="text1"/>
                  <w:sz w:val="24"/>
                  <w14:textFill>
                    <w14:solidFill>
                      <w14:schemeClr w14:val="tx1"/>
                    </w14:solidFill>
                  </w14:textFill>
                </w:rPr>
              </m:ctrlPr>
            </m:e>
            <m:sub>
              <m:r>
                <m:rPr/>
                <w:rPr>
                  <w:rFonts w:ascii="Cambria Math"/>
                  <w:color w:val="000000" w:themeColor="text1"/>
                  <w:sz w:val="24"/>
                  <w14:textFill>
                    <w14:solidFill>
                      <w14:schemeClr w14:val="tx1"/>
                    </w14:solidFill>
                  </w14:textFill>
                </w:rPr>
                <m:t>CB</m:t>
              </m:r>
              <m:ctrlPr>
                <w:rPr>
                  <w:rFonts w:ascii="Cambria Math" w:hAnsi="Cambria Math"/>
                  <w:i/>
                  <w:color w:val="000000" w:themeColor="text1"/>
                  <w:sz w:val="24"/>
                  <w14:textFill>
                    <w14:solidFill>
                      <w14:schemeClr w14:val="tx1"/>
                    </w14:solidFill>
                  </w14:textFill>
                </w:rPr>
              </m:ctrlPr>
            </m:sub>
          </m:sSub>
          <m:r>
            <m:rPr/>
            <w:rPr>
              <w:rFonts w:ascii="Cambria Math"/>
              <w:color w:val="000000" w:themeColor="text1"/>
              <w:sz w:val="24"/>
              <w14:textFill>
                <w14:solidFill>
                  <w14:schemeClr w14:val="tx1"/>
                </w14:solidFill>
              </w14:textFill>
            </w:rPr>
            <m:t>+Eg     (3)</m:t>
          </m:r>
        </m:oMath>
      </m:oMathPara>
    </w:p>
    <w:p w14:paraId="3BF4063C">
      <w:pPr>
        <w:pStyle w:val="2"/>
        <w:spacing w:line="360" w:lineRule="auto"/>
        <w:ind w:firstLine="480" w:firstLineChars="200"/>
        <w:rPr>
          <w:rFonts w:ascii="Times New Roman" w:hAnsi="Times New Roman" w:eastAsia="宋体" w:cs="Times New Roman"/>
          <w:sz w:val="24"/>
          <w:lang w:eastAsia="zh-CN"/>
        </w:rPr>
      </w:pPr>
      <w:bookmarkStart w:id="2" w:name="OLE_LINK14"/>
      <w:r>
        <w:rPr>
          <w:color w:val="000000" w:themeColor="text1"/>
          <w:sz w:val="24"/>
          <w14:textFill>
            <w14:solidFill>
              <w14:schemeClr w14:val="tx1"/>
            </w14:solidFill>
          </w14:textFill>
        </w:rPr>
        <w:t>Where: X is the absolute electronegativity of the semiconductor, Ee is the energy of the free electrons in the hydrogen atom, and Eg the band gap of the semiconductor.</w:t>
      </w:r>
      <w:r>
        <w:rPr>
          <w:rFonts w:hint="eastAsia"/>
          <w:color w:val="000000" w:themeColor="text1"/>
          <w:sz w:val="24"/>
          <w14:textFill>
            <w14:solidFill>
              <w14:schemeClr w14:val="tx1"/>
            </w14:solidFill>
          </w14:textFill>
        </w:rPr>
        <w:t xml:space="preserve"> </w:t>
      </w:r>
      <w:r>
        <w:rPr>
          <w:color w:val="000000" w:themeColor="text1"/>
          <w:sz w:val="24"/>
          <w14:textFill>
            <w14:solidFill>
              <w14:schemeClr w14:val="tx1"/>
            </w14:solidFill>
          </w14:textFill>
        </w:rPr>
        <w:t>E</w:t>
      </w:r>
      <w:r>
        <w:rPr>
          <w:color w:val="000000" w:themeColor="text1"/>
          <w:sz w:val="24"/>
          <w:vertAlign w:val="subscript"/>
          <w14:textFill>
            <w14:solidFill>
              <w14:schemeClr w14:val="tx1"/>
            </w14:solidFill>
          </w14:textFill>
        </w:rPr>
        <w:t xml:space="preserve">VB </w:t>
      </w:r>
      <w:r>
        <w:rPr>
          <w:color w:val="000000" w:themeColor="text1"/>
          <w:sz w:val="24"/>
          <w14:textFill>
            <w14:solidFill>
              <w14:schemeClr w14:val="tx1"/>
            </w14:solidFill>
          </w14:textFill>
        </w:rPr>
        <w:t>is valence band energy, E</w:t>
      </w:r>
      <w:r>
        <w:rPr>
          <w:color w:val="000000" w:themeColor="text1"/>
          <w:sz w:val="24"/>
          <w:vertAlign w:val="subscript"/>
          <w14:textFill>
            <w14:solidFill>
              <w14:schemeClr w14:val="tx1"/>
            </w14:solidFill>
          </w14:textFill>
        </w:rPr>
        <w:t>CB</w:t>
      </w:r>
      <w:r>
        <w:rPr>
          <w:color w:val="000000" w:themeColor="text1"/>
          <w:sz w:val="24"/>
          <w14:textFill>
            <w14:solidFill>
              <w14:schemeClr w14:val="tx1"/>
            </w14:solidFill>
          </w14:textFill>
        </w:rPr>
        <w:t xml:space="preserve"> is conduction band energy</w:t>
      </w:r>
      <w:r>
        <w:rPr>
          <w:rFonts w:hint="eastAsia"/>
          <w:color w:val="000000" w:themeColor="text1"/>
          <w:sz w:val="24"/>
          <w14:textFill>
            <w14:solidFill>
              <w14:schemeClr w14:val="tx1"/>
            </w14:solidFill>
          </w14:textFill>
        </w:rPr>
        <w:t>.</w:t>
      </w:r>
      <w:r>
        <w:rPr>
          <w:rFonts w:ascii="宋体" w:hAnsi="宋体" w:cs="宋体"/>
          <w:color w:val="000000" w:themeColor="text1"/>
          <w:sz w:val="24"/>
          <w:szCs w:val="24"/>
          <w14:textFill>
            <w14:solidFill>
              <w14:schemeClr w14:val="tx1"/>
            </w14:solidFill>
          </w14:textFill>
        </w:rPr>
        <w:t xml:space="preserve"> </w:t>
      </w:r>
      <w:r>
        <w:rPr>
          <w:color w:val="000000" w:themeColor="text1"/>
          <w:sz w:val="24"/>
          <w:szCs w:val="24"/>
          <w14:textFill>
            <w14:solidFill>
              <w14:schemeClr w14:val="tx1"/>
            </w14:solidFill>
          </w14:textFill>
        </w:rPr>
        <w:t>As shown in Figure 6 b</w:t>
      </w:r>
      <w:r>
        <w:rPr>
          <w:rFonts w:hint="eastAsia"/>
          <w:color w:val="000000" w:themeColor="text1"/>
          <w:sz w:val="24"/>
          <w:szCs w:val="24"/>
          <w14:textFill>
            <w14:solidFill>
              <w14:schemeClr w14:val="tx1"/>
            </w14:solidFill>
          </w14:textFill>
        </w:rPr>
        <w:t xml:space="preserve">. </w:t>
      </w:r>
      <w:r>
        <w:rPr>
          <w:color w:val="000000" w:themeColor="text1"/>
          <w:sz w:val="24"/>
          <w:szCs w:val="24"/>
          <w14:textFill>
            <w14:solidFill>
              <w14:schemeClr w14:val="tx1"/>
            </w14:solidFill>
          </w14:textFill>
        </w:rPr>
        <w:t xml:space="preserve">The </w:t>
      </w:r>
      <w:r>
        <w:rPr>
          <w:color w:val="000000" w:themeColor="text1"/>
          <w:sz w:val="24"/>
          <w14:textFill>
            <w14:solidFill>
              <w14:schemeClr w14:val="tx1"/>
            </w14:solidFill>
          </w14:textFill>
        </w:rPr>
        <w:t>CeO</w:t>
      </w:r>
      <w:r>
        <w:rPr>
          <w:color w:val="000000" w:themeColor="text1"/>
          <w:sz w:val="24"/>
          <w:vertAlign w:val="subscript"/>
          <w14:textFill>
            <w14:solidFill>
              <w14:schemeClr w14:val="tx1"/>
            </w14:solidFill>
          </w14:textFill>
        </w:rPr>
        <w:t>2</w:t>
      </w:r>
      <w:r>
        <w:rPr>
          <w:color w:val="000000" w:themeColor="text1"/>
          <w:sz w:val="24"/>
          <w14:textFill>
            <w14:solidFill>
              <w14:schemeClr w14:val="tx1"/>
            </w14:solidFill>
          </w14:textFill>
        </w:rPr>
        <w:t xml:space="preserve"> and AgI values were calculated to be 3.12 eV and 1.52 eV respectively, the AgI/CeO</w:t>
      </w:r>
      <w:r>
        <w:rPr>
          <w:color w:val="000000" w:themeColor="text1"/>
          <w:sz w:val="24"/>
          <w:vertAlign w:val="subscript"/>
          <w14:textFill>
            <w14:solidFill>
              <w14:schemeClr w14:val="tx1"/>
            </w14:solidFill>
          </w14:textFill>
        </w:rPr>
        <w:t>2</w:t>
      </w:r>
      <w:r>
        <w:rPr>
          <w:color w:val="000000" w:themeColor="text1"/>
          <w:sz w:val="24"/>
          <w14:textFill>
            <w14:solidFill>
              <w14:schemeClr w14:val="tx1"/>
            </w14:solidFill>
          </w14:textFill>
        </w:rPr>
        <w:t xml:space="preserve"> nanocomposite catalyst has a band gap of 2.88 eV, which is significantly smaller than the band gap width of CeO</w:t>
      </w:r>
      <w:r>
        <w:rPr>
          <w:color w:val="000000" w:themeColor="text1"/>
          <w:sz w:val="24"/>
          <w:vertAlign w:val="subscript"/>
          <w14:textFill>
            <w14:solidFill>
              <w14:schemeClr w14:val="tx1"/>
            </w14:solidFill>
          </w14:textFill>
        </w:rPr>
        <w:t>2</w:t>
      </w:r>
      <w:r>
        <w:rPr>
          <w:color w:val="000000" w:themeColor="text1"/>
          <w:sz w:val="24"/>
          <w14:textFill>
            <w14:solidFill>
              <w14:schemeClr w14:val="tx1"/>
            </w14:solidFill>
          </w14:textFill>
        </w:rPr>
        <w:t xml:space="preserve"> alone.</w:t>
      </w:r>
      <w:r>
        <w:rPr>
          <w:rFonts w:hint="eastAsia"/>
          <w:color w:val="000000" w:themeColor="text1"/>
          <w:sz w:val="24"/>
          <w14:textFill>
            <w14:solidFill>
              <w14:schemeClr w14:val="tx1"/>
            </w14:solidFill>
          </w14:textFill>
        </w:rPr>
        <w:t xml:space="preserve"> </w:t>
      </w:r>
      <w:r>
        <w:rPr>
          <w:color w:val="000000" w:themeColor="text1"/>
          <w:sz w:val="24"/>
          <w14:textFill>
            <w14:solidFill>
              <w14:schemeClr w14:val="tx1"/>
            </w14:solidFill>
          </w14:textFill>
        </w:rPr>
        <w:t>AgI/CeO</w:t>
      </w:r>
      <w:r>
        <w:rPr>
          <w:color w:val="000000" w:themeColor="text1"/>
          <w:sz w:val="24"/>
          <w:vertAlign w:val="subscript"/>
          <w14:textFill>
            <w14:solidFill>
              <w14:schemeClr w14:val="tx1"/>
            </w14:solidFill>
          </w14:textFill>
        </w:rPr>
        <w:t>2</w:t>
      </w:r>
      <w:r>
        <w:rPr>
          <w:color w:val="000000" w:themeColor="text1"/>
          <w:sz w:val="24"/>
          <w14:textFill>
            <w14:solidFill>
              <w14:schemeClr w14:val="tx1"/>
            </w14:solidFill>
          </w14:textFill>
        </w:rPr>
        <w:t xml:space="preserve"> has more photocatalytic activity.</w:t>
      </w:r>
      <w:bookmarkEnd w:id="2"/>
    </w:p>
    <w:p w14:paraId="4A0B9B83">
      <w:pPr>
        <w:spacing w:line="360" w:lineRule="auto"/>
        <w:jc w:val="both"/>
        <w:rPr>
          <w:rFonts w:ascii="Times New Roman" w:hAnsi="Times New Roman" w:cs="Times New Roman"/>
          <w:iCs/>
          <w:color w:val="0070C0"/>
          <w:sz w:val="24"/>
          <w:szCs w:val="24"/>
          <w:lang w:val="en-US"/>
        </w:rPr>
      </w:pPr>
      <w:r>
        <w:rPr>
          <w:rFonts w:hint="eastAsia" w:ascii="Times New Roman" w:hAnsi="Times New Roman" w:eastAsia="宋体" w:cs="Times New Roman"/>
          <w:color w:val="0070C0"/>
          <w:sz w:val="24"/>
          <w:szCs w:val="24"/>
          <w:lang w:val="en-US" w:eastAsia="zh-CN"/>
        </w:rPr>
        <w:t>4、</w:t>
      </w:r>
      <w:r>
        <w:rPr>
          <w:rFonts w:ascii="Times New Roman" w:hAnsi="Times New Roman" w:cs="Times New Roman"/>
          <w:color w:val="0070C0"/>
          <w:sz w:val="24"/>
          <w:szCs w:val="24"/>
          <w:lang w:val="en-US"/>
        </w:rPr>
        <w:t xml:space="preserve">The paragraph in the </w:t>
      </w:r>
      <w:r>
        <w:rPr>
          <w:rFonts w:ascii="Times New Roman" w:hAnsi="Times New Roman" w:cs="Times New Roman"/>
          <w:iCs/>
          <w:color w:val="0070C0"/>
          <w:sz w:val="24"/>
          <w:szCs w:val="24"/>
          <w:lang w:val="en-US"/>
        </w:rPr>
        <w:t>Discussion</w:t>
      </w:r>
      <w:r>
        <w:rPr>
          <w:rFonts w:ascii="Times New Roman" w:hAnsi="Times New Roman" w:cs="Times New Roman"/>
          <w:color w:val="0070C0"/>
          <w:sz w:val="24"/>
          <w:szCs w:val="24"/>
          <w:lang w:val="en-US"/>
        </w:rPr>
        <w:t xml:space="preserve"> section has not been corrected yet. In this chapter it is written: "</w:t>
      </w:r>
      <w:r>
        <w:rPr>
          <w:rFonts w:ascii="Times New Roman" w:hAnsi="Times New Roman" w:cs="Times New Roman"/>
          <w:iCs/>
          <w:color w:val="0070C0"/>
          <w:sz w:val="24"/>
          <w:szCs w:val="24"/>
          <w:lang w:val="en-US"/>
        </w:rPr>
        <w:t>Ag nanoparticles were successfully deposited on the surface and in the pores of CeO</w:t>
      </w:r>
      <w:r>
        <w:rPr>
          <w:rFonts w:ascii="Times New Roman" w:hAnsi="Times New Roman" w:cs="Times New Roman"/>
          <w:iCs/>
          <w:color w:val="0070C0"/>
          <w:sz w:val="24"/>
          <w:szCs w:val="24"/>
          <w:vertAlign w:val="subscript"/>
          <w:lang w:val="en-US"/>
        </w:rPr>
        <w:t>2</w:t>
      </w:r>
      <w:r>
        <w:rPr>
          <w:rFonts w:ascii="Times New Roman" w:hAnsi="Times New Roman" w:cs="Times New Roman"/>
          <w:iCs/>
          <w:color w:val="0070C0"/>
          <w:sz w:val="24"/>
          <w:szCs w:val="24"/>
          <w:lang w:val="en-US"/>
        </w:rPr>
        <w:t xml:space="preserve"> nanoflowers using the silver-ammonia-assisted method</w:t>
      </w:r>
      <w:r>
        <w:rPr>
          <w:rFonts w:ascii="Times New Roman" w:hAnsi="Times New Roman" w:cs="Times New Roman"/>
          <w:color w:val="0070C0"/>
          <w:sz w:val="24"/>
          <w:szCs w:val="24"/>
          <w:lang w:val="en-US"/>
        </w:rPr>
        <w:t xml:space="preserve">". From the previously described synthesis it does not follow that the tested catalysts were obtained using metallic silver! Also in this paragraph in sentence </w:t>
      </w:r>
      <w:r>
        <w:rPr>
          <w:rFonts w:ascii="Times New Roman" w:hAnsi="Times New Roman" w:cs="Times New Roman"/>
          <w:iCs/>
          <w:color w:val="0070C0"/>
          <w:sz w:val="24"/>
          <w:szCs w:val="24"/>
          <w:lang w:val="en-US"/>
        </w:rPr>
        <w:t>Agi/CeO</w:t>
      </w:r>
      <w:r>
        <w:rPr>
          <w:rFonts w:ascii="Times New Roman" w:hAnsi="Times New Roman" w:cs="Times New Roman"/>
          <w:iCs/>
          <w:color w:val="0070C0"/>
          <w:sz w:val="24"/>
          <w:szCs w:val="24"/>
          <w:vertAlign w:val="subscript"/>
          <w:lang w:val="en-US"/>
        </w:rPr>
        <w:t>2</w:t>
      </w:r>
      <w:r>
        <w:rPr>
          <w:rFonts w:ascii="Times New Roman" w:hAnsi="Times New Roman" w:cs="Times New Roman"/>
          <w:iCs/>
          <w:color w:val="0070C0"/>
          <w:sz w:val="24"/>
          <w:szCs w:val="24"/>
          <w:lang w:val="en-US"/>
        </w:rPr>
        <w:t xml:space="preserve"> nanocomposite catalysts were successfully prepared</w:t>
      </w:r>
      <w:r>
        <w:rPr>
          <w:rFonts w:ascii="Times New Roman" w:hAnsi="Times New Roman" w:cs="Times New Roman"/>
          <w:color w:val="0070C0"/>
          <w:sz w:val="24"/>
          <w:szCs w:val="24"/>
          <w:lang w:val="en-US"/>
        </w:rPr>
        <w:t xml:space="preserve"> should be </w:t>
      </w:r>
      <w:r>
        <w:rPr>
          <w:rFonts w:ascii="Times New Roman" w:hAnsi="Times New Roman" w:cs="Times New Roman"/>
          <w:iCs/>
          <w:color w:val="0070C0"/>
          <w:sz w:val="24"/>
          <w:szCs w:val="24"/>
          <w:highlight w:val="yellow"/>
          <w:lang w:val="en-US"/>
        </w:rPr>
        <w:t>AgI</w:t>
      </w:r>
      <w:r>
        <w:rPr>
          <w:rFonts w:ascii="Times New Roman" w:hAnsi="Times New Roman" w:cs="Times New Roman"/>
          <w:iCs/>
          <w:color w:val="0070C0"/>
          <w:sz w:val="24"/>
          <w:szCs w:val="24"/>
          <w:lang w:val="en-US"/>
        </w:rPr>
        <w:t>/CeO</w:t>
      </w:r>
      <w:r>
        <w:rPr>
          <w:rFonts w:ascii="Times New Roman" w:hAnsi="Times New Roman" w:cs="Times New Roman"/>
          <w:iCs/>
          <w:color w:val="0070C0"/>
          <w:sz w:val="24"/>
          <w:szCs w:val="24"/>
          <w:vertAlign w:val="subscript"/>
          <w:lang w:val="en-US"/>
        </w:rPr>
        <w:t>2</w:t>
      </w:r>
      <w:r>
        <w:rPr>
          <w:rFonts w:ascii="Times New Roman" w:hAnsi="Times New Roman" w:cs="Times New Roman"/>
          <w:iCs/>
          <w:color w:val="0070C0"/>
          <w:sz w:val="24"/>
          <w:szCs w:val="24"/>
          <w:lang w:val="en-US"/>
        </w:rPr>
        <w:t xml:space="preserve"> nanocomposite catalysts were successfully prepared.</w:t>
      </w:r>
    </w:p>
    <w:p w14:paraId="3A59D6F1">
      <w:pPr>
        <w:spacing w:before="100" w:beforeAutospacing="1" w:after="100" w:afterAutospacing="1" w:line="360" w:lineRule="auto"/>
        <w:rPr>
          <w:rFonts w:ascii="Times New Roman" w:hAnsi="Times New Roman" w:eastAsia="宋体" w:cs="Times New Roman"/>
          <w:sz w:val="24"/>
          <w:szCs w:val="24"/>
          <w:lang w:val="en-US" w:eastAsia="zh-CN"/>
        </w:rPr>
      </w:pPr>
      <w:r>
        <w:rPr>
          <w:rFonts w:ascii="Times New Roman" w:hAnsi="Times New Roman" w:eastAsia="宋体" w:cs="Times New Roman"/>
          <w:b/>
          <w:bCs/>
          <w:color w:val="000000"/>
          <w:sz w:val="24"/>
          <w:szCs w:val="24"/>
          <w:shd w:val="clear" w:color="auto" w:fill="FFFFFF"/>
        </w:rPr>
        <w:t>Response:</w:t>
      </w:r>
      <w:r>
        <w:rPr>
          <w:rFonts w:ascii="Times New Roman" w:hAnsi="Times New Roman" w:eastAsia="宋体" w:cs="Times New Roman"/>
          <w:b/>
          <w:bCs/>
          <w:color w:val="000000"/>
          <w:sz w:val="24"/>
          <w:szCs w:val="24"/>
          <w:shd w:val="clear" w:color="auto" w:fill="FFFFFF"/>
          <w:lang w:eastAsia="zh-CN"/>
        </w:rPr>
        <w:t xml:space="preserve"> </w:t>
      </w:r>
      <w:r>
        <w:rPr>
          <w:rFonts w:ascii="Times New Roman" w:hAnsi="Times New Roman" w:eastAsia="宋体" w:cs="Times New Roman"/>
          <w:color w:val="000000"/>
          <w:sz w:val="24"/>
          <w:szCs w:val="24"/>
          <w:shd w:val="clear" w:color="auto" w:fill="FFFFFF"/>
        </w:rPr>
        <w:t xml:space="preserve">Thank you for this valuable feedback. </w:t>
      </w:r>
      <w:r>
        <w:rPr>
          <w:rFonts w:ascii="Times New Roman" w:hAnsi="Times New Roman" w:eastAsia="宋体" w:cs="Times New Roman"/>
          <w:color w:val="000000"/>
          <w:sz w:val="24"/>
          <w:szCs w:val="24"/>
          <w:shd w:val="clear" w:color="auto" w:fill="FFFFFF"/>
          <w:lang w:val="en-US"/>
        </w:rPr>
        <w:t>We deleted the sentence you mentioned.</w:t>
      </w:r>
      <w:r>
        <w:rPr>
          <w:rFonts w:ascii="Times New Roman" w:hAnsi="Times New Roman" w:eastAsia="宋体" w:cs="Times New Roman"/>
          <w:sz w:val="24"/>
          <w:szCs w:val="24"/>
          <w:lang w:val="en-US" w:eastAsia="zh-CN"/>
        </w:rPr>
        <w:t xml:space="preserve"> We apologize for this avoidable error, we have changed this detail and again we are deeply sorry.</w:t>
      </w:r>
    </w:p>
    <w:p w14:paraId="7EF3FE89">
      <w:pPr>
        <w:spacing w:line="360" w:lineRule="auto"/>
        <w:ind w:firstLine="480" w:firstLineChars="200"/>
        <w:rPr>
          <w:rFonts w:ascii="Times New Roman" w:hAnsi="Times New Roman" w:eastAsia="宋体"/>
          <w:sz w:val="24"/>
          <w:szCs w:val="22"/>
        </w:rPr>
      </w:pPr>
      <w:r>
        <w:rPr>
          <w:rFonts w:ascii="Times New Roman" w:hAnsi="Times New Roman" w:eastAsia="宋体"/>
          <w:sz w:val="24"/>
          <w:szCs w:val="22"/>
        </w:rPr>
        <w:t xml:space="preserve">Thank you very much for your consideration. According to your valuable suggestions, we have made targeted amendments to the article. We look forward to your favorable decision. </w:t>
      </w:r>
    </w:p>
    <w:p w14:paraId="3743201F">
      <w:pPr>
        <w:spacing w:line="360" w:lineRule="auto"/>
        <w:jc w:val="right"/>
        <w:rPr>
          <w:rFonts w:ascii="Times New Roman" w:hAnsi="Times New Roman" w:eastAsia="宋体"/>
          <w:szCs w:val="21"/>
        </w:rPr>
      </w:pPr>
    </w:p>
    <w:p w14:paraId="047953E1">
      <w:pPr>
        <w:spacing w:line="360" w:lineRule="auto"/>
        <w:jc w:val="right"/>
        <w:rPr>
          <w:rFonts w:hint="default" w:ascii="Times New Roman" w:hAnsi="Times New Roman" w:eastAsia="Times New Roman" w:cs="Times New Roman"/>
          <w:snapToGrid w:val="0"/>
          <w:color w:val="000000"/>
          <w:kern w:val="0"/>
          <w:sz w:val="24"/>
          <w:szCs w:val="24"/>
          <w:lang w:val="en-US" w:eastAsia="de-DE" w:bidi="en-US"/>
        </w:rPr>
      </w:pPr>
      <w:r>
        <w:rPr>
          <w:rFonts w:hint="default" w:ascii="Times New Roman" w:hAnsi="Times New Roman" w:eastAsia="Times New Roman" w:cs="Times New Roman"/>
          <w:snapToGrid w:val="0"/>
          <w:color w:val="000000"/>
          <w:kern w:val="0"/>
          <w:sz w:val="24"/>
          <w:szCs w:val="24"/>
          <w:lang w:val="en-US" w:eastAsia="de-DE" w:bidi="en-US"/>
        </w:rPr>
        <w:t>Yours sincerely,</w:t>
      </w:r>
    </w:p>
    <w:p w14:paraId="0E0A575C">
      <w:pPr>
        <w:spacing w:line="360" w:lineRule="auto"/>
        <w:jc w:val="right"/>
        <w:rPr>
          <w:rFonts w:hint="default" w:ascii="Times New Roman" w:hAnsi="Times New Roman" w:eastAsia="Times New Roman" w:cs="Times New Roman"/>
          <w:snapToGrid w:val="0"/>
          <w:color w:val="000000"/>
          <w:kern w:val="0"/>
          <w:sz w:val="24"/>
          <w:szCs w:val="24"/>
          <w:lang w:val="en-US" w:eastAsia="de-DE" w:bidi="en-US"/>
        </w:rPr>
      </w:pPr>
      <w:r>
        <w:rPr>
          <w:rFonts w:hint="default" w:ascii="Times New Roman" w:hAnsi="Times New Roman" w:eastAsia="Times New Roman" w:cs="Times New Roman"/>
          <w:snapToGrid w:val="0"/>
          <w:color w:val="000000"/>
          <w:kern w:val="0"/>
          <w:sz w:val="24"/>
          <w:szCs w:val="24"/>
          <w:lang w:val="en-US" w:eastAsia="de-DE" w:bidi="en-US"/>
        </w:rPr>
        <w:t>Yuguang Lv</w:t>
      </w:r>
    </w:p>
    <w:p w14:paraId="675A8E6B">
      <w:pPr>
        <w:spacing w:line="360" w:lineRule="auto"/>
        <w:jc w:val="right"/>
        <w:rPr>
          <w:rFonts w:hint="default" w:ascii="Times New Roman" w:hAnsi="Times New Roman" w:eastAsia="Times New Roman" w:cs="Times New Roman"/>
          <w:snapToGrid w:val="0"/>
          <w:color w:val="000000"/>
          <w:kern w:val="0"/>
          <w:sz w:val="24"/>
          <w:szCs w:val="24"/>
          <w:lang w:val="en-US" w:eastAsia="de-DE" w:bidi="en-US"/>
        </w:rPr>
      </w:pPr>
      <w:r>
        <w:rPr>
          <w:rFonts w:hint="default" w:ascii="Times New Roman" w:hAnsi="Times New Roman" w:eastAsia="Times New Roman" w:cs="Times New Roman"/>
          <w:snapToGrid w:val="0"/>
          <w:color w:val="000000"/>
          <w:kern w:val="0"/>
          <w:sz w:val="24"/>
          <w:szCs w:val="24"/>
          <w:lang w:val="en-US" w:eastAsia="de-DE" w:bidi="en-US"/>
        </w:rPr>
        <w:t>yuguanglv@163.com</w:t>
      </w:r>
    </w:p>
    <w:p w14:paraId="2C32F502">
      <w:pPr>
        <w:spacing w:line="360" w:lineRule="auto"/>
        <w:rPr>
          <w:rFonts w:hint="eastAsia" w:ascii="Times New Roman" w:hAnsi="Times New Roman" w:eastAsia="宋体"/>
          <w:szCs w:val="21"/>
        </w:rPr>
      </w:pPr>
    </w:p>
    <w:p w14:paraId="7DA284B3">
      <w:pPr>
        <w:spacing w:before="100" w:beforeAutospacing="1" w:after="100" w:afterAutospacing="1" w:line="360" w:lineRule="auto"/>
        <w:rPr>
          <w:rFonts w:ascii="Times New Roman" w:hAnsi="Times New Roman" w:eastAsia="宋体" w:cs="Times New Roman"/>
          <w:sz w:val="24"/>
          <w:szCs w:val="24"/>
          <w:lang w:val="en-US" w:eastAsia="zh-CN"/>
        </w:rPr>
      </w:pPr>
    </w:p>
    <w:sectPr>
      <w:pgSz w:w="11906" w:h="16838"/>
      <w:pgMar w:top="1417" w:right="1417" w:bottom="1417" w:left="1417"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Palatino Linotype">
    <w:panose1 w:val="02040502050505030304"/>
    <w:charset w:val="00"/>
    <w:family w:val="roman"/>
    <w:pitch w:val="default"/>
    <w:sig w:usb0="E0000287" w:usb1="40000013" w:usb2="00000000" w:usb3="00000000" w:csb0="2000019F" w:csb1="00000000"/>
  </w:font>
  <w:font w:name="Cambria Math">
    <w:panose1 w:val="02040503050406030204"/>
    <w:charset w:val="00"/>
    <w:family w:val="roman"/>
    <w:pitch w:val="default"/>
    <w:sig w:usb0="E00006FF" w:usb1="420024FF" w:usb2="02000000" w:usb3="00000000" w:csb0="2000019F" w:csb1="00000000"/>
  </w:font>
  <w:font w:name="Segoe UI">
    <w:panose1 w:val="020B0502040204020203"/>
    <w:charset w:val="00"/>
    <w:family w:val="auto"/>
    <w:pitch w:val="default"/>
    <w:sig w:usb0="E4002EFF" w:usb1="C000E47F"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removePersonalInformation/>
  <w:bordersDoNotSurroundHeader w:val="0"/>
  <w:bordersDoNotSurroundFooter w:val="0"/>
  <w:documentProtection w:enforcement="0"/>
  <w:defaultTabStop w:val="708"/>
  <w:hyphenationZone w:val="425"/>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D29"/>
    <w:rsid w:val="000159A2"/>
    <w:rsid w:val="00053692"/>
    <w:rsid w:val="00084E62"/>
    <w:rsid w:val="001111EC"/>
    <w:rsid w:val="00132EFA"/>
    <w:rsid w:val="001A42A1"/>
    <w:rsid w:val="001A6B58"/>
    <w:rsid w:val="001F3FE2"/>
    <w:rsid w:val="00264E10"/>
    <w:rsid w:val="002C6111"/>
    <w:rsid w:val="003303B7"/>
    <w:rsid w:val="00336B7F"/>
    <w:rsid w:val="003804DD"/>
    <w:rsid w:val="00392E96"/>
    <w:rsid w:val="00424AC8"/>
    <w:rsid w:val="00427992"/>
    <w:rsid w:val="00440FF3"/>
    <w:rsid w:val="004877B1"/>
    <w:rsid w:val="004C5D1A"/>
    <w:rsid w:val="0053022C"/>
    <w:rsid w:val="00563342"/>
    <w:rsid w:val="0057473D"/>
    <w:rsid w:val="005E4F08"/>
    <w:rsid w:val="006B63BD"/>
    <w:rsid w:val="00723A4B"/>
    <w:rsid w:val="0075618B"/>
    <w:rsid w:val="007800FB"/>
    <w:rsid w:val="00792B9F"/>
    <w:rsid w:val="00825C9E"/>
    <w:rsid w:val="00836CC7"/>
    <w:rsid w:val="00887A18"/>
    <w:rsid w:val="008A274A"/>
    <w:rsid w:val="008A37EC"/>
    <w:rsid w:val="008A569E"/>
    <w:rsid w:val="008F3D29"/>
    <w:rsid w:val="009467F9"/>
    <w:rsid w:val="009618E5"/>
    <w:rsid w:val="0096397D"/>
    <w:rsid w:val="00997C51"/>
    <w:rsid w:val="009B12A4"/>
    <w:rsid w:val="009B5B79"/>
    <w:rsid w:val="009D753E"/>
    <w:rsid w:val="009E569D"/>
    <w:rsid w:val="00A046E4"/>
    <w:rsid w:val="00A50877"/>
    <w:rsid w:val="00A537D4"/>
    <w:rsid w:val="00AA6968"/>
    <w:rsid w:val="00B12E27"/>
    <w:rsid w:val="00B15446"/>
    <w:rsid w:val="00B366C7"/>
    <w:rsid w:val="00B4731F"/>
    <w:rsid w:val="00B83A2C"/>
    <w:rsid w:val="00BA41F0"/>
    <w:rsid w:val="00C84A07"/>
    <w:rsid w:val="00D0315E"/>
    <w:rsid w:val="00D33A42"/>
    <w:rsid w:val="00D87CAB"/>
    <w:rsid w:val="00DA501A"/>
    <w:rsid w:val="00DB0CDF"/>
    <w:rsid w:val="00DE483C"/>
    <w:rsid w:val="00E05780"/>
    <w:rsid w:val="00E325BC"/>
    <w:rsid w:val="00ED1562"/>
    <w:rsid w:val="00F11E90"/>
    <w:rsid w:val="00F2629E"/>
    <w:rsid w:val="00F5598C"/>
    <w:rsid w:val="00F74F36"/>
    <w:rsid w:val="00FA07E2"/>
    <w:rsid w:val="00FA15F6"/>
    <w:rsid w:val="00FD083E"/>
    <w:rsid w:val="03D609D8"/>
    <w:rsid w:val="14283890"/>
    <w:rsid w:val="3CF84845"/>
    <w:rsid w:val="431E0BA5"/>
  </w:rsids>
  <m:mathPr>
    <m:mathFont m:val="Cambria Math"/>
    <m:brkBin m:val="before"/>
    <m:brkBinSub m:val="--"/>
    <m:smallFrac m:val="0"/>
    <m:dispDef/>
    <m:lMargin m:val="0"/>
    <m:rMargin m:val="0"/>
    <m:defJc m:val="centerGroup"/>
    <m:wrapIndent m:val="1440"/>
    <m:intLim m:val="subSup"/>
    <m:naryLim m:val="undOvr"/>
  </m:mathPr>
  <w:themeFontLang w:val="pl-PL"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pl-PL" w:eastAsia="en-US"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3"/>
    <w:qFormat/>
    <w:uiPriority w:val="0"/>
    <w:pPr>
      <w:widowControl w:val="0"/>
      <w:spacing w:after="0" w:line="240" w:lineRule="auto"/>
      <w:jc w:val="both"/>
    </w:pPr>
    <w:rPr>
      <w:rFonts w:ascii="Times New Roman" w:hAnsi="Times New Roman" w:eastAsia="宋体" w:cs="Times New Roman"/>
      <w:kern w:val="2"/>
      <w:sz w:val="21"/>
      <w:szCs w:val="21"/>
      <w:lang w:val="en-US" w:eastAsia="zh-CN"/>
    </w:rPr>
  </w:style>
  <w:style w:type="paragraph" w:styleId="3">
    <w:name w:val="footer"/>
    <w:basedOn w:val="1"/>
    <w:link w:val="12"/>
    <w:unhideWhenUsed/>
    <w:qFormat/>
    <w:uiPriority w:val="99"/>
    <w:pPr>
      <w:tabs>
        <w:tab w:val="center" w:pos="4153"/>
        <w:tab w:val="right" w:pos="8306"/>
      </w:tabs>
      <w:snapToGrid w:val="0"/>
      <w:spacing w:line="240" w:lineRule="auto"/>
    </w:pPr>
    <w:rPr>
      <w:sz w:val="18"/>
      <w:szCs w:val="18"/>
    </w:rPr>
  </w:style>
  <w:style w:type="paragraph" w:styleId="4">
    <w:name w:val="header"/>
    <w:basedOn w:val="1"/>
    <w:link w:val="11"/>
    <w:unhideWhenUsed/>
    <w:uiPriority w:val="99"/>
    <w:pPr>
      <w:tabs>
        <w:tab w:val="center" w:pos="4153"/>
        <w:tab w:val="right" w:pos="8306"/>
      </w:tabs>
      <w:snapToGrid w:val="0"/>
      <w:spacing w:line="240" w:lineRule="auto"/>
      <w:jc w:val="center"/>
    </w:pPr>
    <w:rPr>
      <w:sz w:val="18"/>
      <w:szCs w:val="18"/>
    </w:rPr>
  </w:style>
  <w:style w:type="paragraph" w:styleId="5">
    <w:name w:val="Normal (Web)"/>
    <w:basedOn w:val="1"/>
    <w:semiHidden/>
    <w:unhideWhenUsed/>
    <w:qFormat/>
    <w:uiPriority w:val="99"/>
    <w:rPr>
      <w:rFonts w:ascii="Times New Roman" w:hAnsi="Times New Roman" w:cs="Times New Roman"/>
      <w:sz w:val="24"/>
      <w:szCs w:val="24"/>
    </w:rPr>
  </w:style>
  <w:style w:type="character" w:styleId="8">
    <w:name w:val="Emphasis"/>
    <w:basedOn w:val="7"/>
    <w:qFormat/>
    <w:uiPriority w:val="20"/>
    <w:rPr>
      <w:i/>
      <w:iCs/>
    </w:rPr>
  </w:style>
  <w:style w:type="paragraph" w:styleId="9">
    <w:name w:val="List Paragraph"/>
    <w:basedOn w:val="1"/>
    <w:qFormat/>
    <w:uiPriority w:val="34"/>
    <w:pPr>
      <w:ind w:left="720"/>
      <w:contextualSpacing/>
    </w:pPr>
  </w:style>
  <w:style w:type="paragraph" w:customStyle="1" w:styleId="10">
    <w:name w:val="Default"/>
    <w:qFormat/>
    <w:uiPriority w:val="0"/>
    <w:pPr>
      <w:autoSpaceDE w:val="0"/>
      <w:autoSpaceDN w:val="0"/>
      <w:adjustRightInd w:val="0"/>
    </w:pPr>
    <w:rPr>
      <w:rFonts w:ascii="Palatino Linotype" w:hAnsi="Palatino Linotype" w:cs="Palatino Linotype" w:eastAsiaTheme="minorHAnsi"/>
      <w:color w:val="000000"/>
      <w:sz w:val="24"/>
      <w:szCs w:val="24"/>
      <w:lang w:val="pl-PL" w:eastAsia="en-US" w:bidi="ar-SA"/>
    </w:rPr>
  </w:style>
  <w:style w:type="character" w:customStyle="1" w:styleId="11">
    <w:name w:val="页眉 字符"/>
    <w:basedOn w:val="7"/>
    <w:link w:val="4"/>
    <w:qFormat/>
    <w:uiPriority w:val="99"/>
    <w:rPr>
      <w:rFonts w:eastAsiaTheme="minorHAnsi"/>
      <w:sz w:val="18"/>
      <w:szCs w:val="18"/>
      <w:lang w:val="pl-PL" w:eastAsia="en-US"/>
    </w:rPr>
  </w:style>
  <w:style w:type="character" w:customStyle="1" w:styleId="12">
    <w:name w:val="页脚 字符"/>
    <w:basedOn w:val="7"/>
    <w:link w:val="3"/>
    <w:uiPriority w:val="99"/>
    <w:rPr>
      <w:rFonts w:eastAsiaTheme="minorHAnsi"/>
      <w:sz w:val="18"/>
      <w:szCs w:val="18"/>
      <w:lang w:val="pl-PL" w:eastAsia="en-US"/>
    </w:rPr>
  </w:style>
  <w:style w:type="character" w:customStyle="1" w:styleId="13">
    <w:name w:val="纯文本 字符"/>
    <w:basedOn w:val="7"/>
    <w:link w:val="2"/>
    <w:qFormat/>
    <w:uiPriority w:val="0"/>
    <w:rPr>
      <w:rFonts w:ascii="Times New Roman" w:hAnsi="Times New Roman" w:eastAsia="宋体" w:cs="Times New Roman"/>
      <w:kern w:val="2"/>
      <w:sz w:val="21"/>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2.emf"/><Relationship Id="rId8" Type="http://schemas.openxmlformats.org/officeDocument/2006/relationships/oleObject" Target="embeddings/oleObject2.bin"/><Relationship Id="rId7" Type="http://schemas.openxmlformats.org/officeDocument/2006/relationships/image" Target="media/image1.e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image" Target="media/image4.emf"/><Relationship Id="rId12" Type="http://schemas.openxmlformats.org/officeDocument/2006/relationships/oleObject" Target="embeddings/oleObject4.bin"/><Relationship Id="rId11" Type="http://schemas.openxmlformats.org/officeDocument/2006/relationships/image" Target="media/image3.emf"/><Relationship Id="rId10" Type="http://schemas.openxmlformats.org/officeDocument/2006/relationships/oleObject" Target="embeddings/oleObject3.bin"/><Relationship Id="rId1" Type="http://schemas.openxmlformats.org/officeDocument/2006/relationships/styles" Target="style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622</Words>
  <Characters>3297</Characters>
  <Lines>31</Lines>
  <Paragraphs>8</Paragraphs>
  <TotalTime>5</TotalTime>
  <ScaleCrop>false</ScaleCrop>
  <LinksUpToDate>false</LinksUpToDate>
  <CharactersWithSpaces>3879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2025-03-16T11:10:00Z</dcterms:created>
  <dcterms:modified xsi:type="dcterms:W3CDTF">2025-03-19T09:44:17Z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0945193-57ff-457d-9504-518e9bfb59a9_Enabled">
    <vt:lpwstr>true</vt:lpwstr>
  </property>
  <property fmtid="{D5CDD505-2E9C-101B-9397-08002B2CF9AE}" pid="3" name="MSIP_Label_50945193-57ff-457d-9504-518e9bfb59a9_SetDate">
    <vt:lpwstr>2023-03-06T09:03:15Z</vt:lpwstr>
  </property>
  <property fmtid="{D5CDD505-2E9C-101B-9397-08002B2CF9AE}" pid="4" name="MSIP_Label_50945193-57ff-457d-9504-518e9bfb59a9_Method">
    <vt:lpwstr>Standard</vt:lpwstr>
  </property>
  <property fmtid="{D5CDD505-2E9C-101B-9397-08002B2CF9AE}" pid="5" name="MSIP_Label_50945193-57ff-457d-9504-518e9bfb59a9_Name">
    <vt:lpwstr>ZUT</vt:lpwstr>
  </property>
  <property fmtid="{D5CDD505-2E9C-101B-9397-08002B2CF9AE}" pid="6" name="MSIP_Label_50945193-57ff-457d-9504-518e9bfb59a9_SiteId">
    <vt:lpwstr>0aa66ad4-f98f-4515-b7c9-b60fd37ad027</vt:lpwstr>
  </property>
  <property fmtid="{D5CDD505-2E9C-101B-9397-08002B2CF9AE}" pid="7" name="MSIP_Label_50945193-57ff-457d-9504-518e9bfb59a9_ActionId">
    <vt:lpwstr>07d8bf05-ac8e-488d-9b07-cd119e319e6d</vt:lpwstr>
  </property>
  <property fmtid="{D5CDD505-2E9C-101B-9397-08002B2CF9AE}" pid="8" name="MSIP_Label_50945193-57ff-457d-9504-518e9bfb59a9_ContentBits">
    <vt:lpwstr>0</vt:lpwstr>
  </property>
  <property fmtid="{D5CDD505-2E9C-101B-9397-08002B2CF9AE}" pid="9" name="KSOProductBuildVer">
    <vt:lpwstr>2052-12.1.0.20305</vt:lpwstr>
  </property>
  <property fmtid="{D5CDD505-2E9C-101B-9397-08002B2CF9AE}" pid="10" name="ICV">
    <vt:lpwstr>0F9942463C5B4C9E9FF04129A214643C_13</vt:lpwstr>
  </property>
  <property fmtid="{D5CDD505-2E9C-101B-9397-08002B2CF9AE}" pid="11" name="KSOTemplateDocerSaveRecord">
    <vt:lpwstr>eyJoZGlkIjoiZjVhNGJiMWVmZTg4ZjFhYWZhYWFiMzBkODkwYWRkZmUiLCJ1c2VySWQiOiIxNjgzMTA4MDM0In0=</vt:lpwstr>
  </property>
</Properties>
</file>